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3F27C">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bookmarkStart w:id="0" w:name="_Toc10619"/>
    </w:p>
    <w:p w14:paraId="705BC6FE">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7EE62938">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bookmarkEnd w:id="0"/>
    <w:p w14:paraId="096C8A6E">
      <w:pPr>
        <w:keepNext w:val="0"/>
        <w:keepLines w:val="0"/>
        <w:widowControl/>
        <w:suppressLineNumbers w:val="0"/>
        <w:jc w:val="center"/>
        <w:rPr>
          <w:rStyle w:val="27"/>
          <w:rFonts w:hint="default" w:ascii="Times New Roman" w:hAnsi="Times New Roman" w:eastAsia="方正小标宋_GBK" w:cs="Times New Roman"/>
          <w:b w:val="0"/>
          <w:bCs/>
          <w:kern w:val="0"/>
          <w:sz w:val="52"/>
          <w:szCs w:val="52"/>
          <w:shd w:val="clear" w:color="auto" w:fill="auto"/>
          <w:lang w:val="en-US" w:eastAsia="zh-CN" w:bidi="ar-SA"/>
        </w:rPr>
      </w:pPr>
      <w:r>
        <w:rPr>
          <w:rStyle w:val="27"/>
          <w:rFonts w:hint="eastAsia" w:ascii="Times New Roman" w:hAnsi="Times New Roman" w:eastAsia="方正小标宋_GBK" w:cs="Times New Roman"/>
          <w:b w:val="0"/>
          <w:bCs/>
          <w:kern w:val="0"/>
          <w:sz w:val="52"/>
          <w:szCs w:val="52"/>
          <w:shd w:val="clear" w:color="auto" w:fill="auto"/>
          <w:lang w:val="en-US" w:eastAsia="zh-CN" w:bidi="ar-SA"/>
        </w:rPr>
        <w:t>伊吾县防沙治沙实施方案</w:t>
      </w:r>
    </w:p>
    <w:p w14:paraId="62DBB8BA">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r>
        <w:rPr>
          <w:rStyle w:val="27"/>
          <w:rFonts w:hint="default" w:ascii="Times New Roman" w:hAnsi="Times New Roman" w:eastAsia="方正小标宋_GBK" w:cs="Times New Roman"/>
          <w:b w:val="0"/>
          <w:bCs/>
          <w:kern w:val="0"/>
          <w:sz w:val="52"/>
          <w:szCs w:val="52"/>
          <w:shd w:val="clear" w:color="auto" w:fill="auto"/>
          <w:lang w:val="en-US" w:eastAsia="zh-CN" w:bidi="ar-SA"/>
        </w:rPr>
        <w:t>（</w:t>
      </w:r>
      <w:r>
        <w:rPr>
          <w:rStyle w:val="27"/>
          <w:rFonts w:hint="eastAsia" w:ascii="Times New Roman" w:hAnsi="Times New Roman" w:eastAsia="方正小标宋_GBK" w:cs="Times New Roman"/>
          <w:b w:val="0"/>
          <w:bCs/>
          <w:kern w:val="0"/>
          <w:sz w:val="52"/>
          <w:szCs w:val="52"/>
          <w:shd w:val="clear" w:color="auto" w:fill="auto"/>
          <w:lang w:val="en-US" w:eastAsia="zh-CN" w:bidi="ar-SA"/>
        </w:rPr>
        <w:t>2026-2030年</w:t>
      </w:r>
      <w:r>
        <w:rPr>
          <w:rStyle w:val="27"/>
          <w:rFonts w:hint="default" w:ascii="Times New Roman" w:hAnsi="Times New Roman" w:eastAsia="方正小标宋_GBK" w:cs="Times New Roman"/>
          <w:b w:val="0"/>
          <w:bCs/>
          <w:kern w:val="0"/>
          <w:sz w:val="52"/>
          <w:szCs w:val="52"/>
          <w:shd w:val="clear" w:color="auto" w:fill="auto"/>
          <w:lang w:val="en-US" w:eastAsia="zh-CN" w:bidi="ar-SA"/>
        </w:rPr>
        <w:t>）</w:t>
      </w:r>
    </w:p>
    <w:p w14:paraId="2E63F78A">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r>
        <w:rPr>
          <w:rFonts w:hint="eastAsia" w:ascii="Times New Roman" w:hAnsi="Times New Roman" w:cs="Times New Roman"/>
          <w:b/>
          <w:bCs/>
          <w:color w:val="000000"/>
          <w:kern w:val="0"/>
          <w:sz w:val="48"/>
          <w:szCs w:val="48"/>
          <w:shd w:val="clear" w:color="auto" w:fill="auto"/>
          <w:lang w:val="en-US" w:eastAsia="zh-CN" w:bidi="ar"/>
        </w:rPr>
        <w:t>（征求意见稿）</w:t>
      </w:r>
    </w:p>
    <w:p w14:paraId="37770FCA">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04FAA972">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2B31932A">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06883479">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004F05AA">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173F8275">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3A762F8C">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1EC88232">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3B2820B1">
      <w:pPr>
        <w:keepNext w:val="0"/>
        <w:keepLines w:val="0"/>
        <w:widowControl/>
        <w:suppressLineNumbers w:val="0"/>
        <w:jc w:val="both"/>
        <w:rPr>
          <w:rFonts w:hint="default" w:ascii="Times New Roman" w:hAnsi="Times New Roman" w:eastAsia="仿宋_GB2312" w:cs="Times New Roman"/>
          <w:b/>
          <w:bCs/>
          <w:color w:val="000000"/>
          <w:kern w:val="0"/>
          <w:sz w:val="48"/>
          <w:szCs w:val="48"/>
          <w:shd w:val="clear" w:color="auto" w:fill="auto"/>
          <w:lang w:val="en-US" w:eastAsia="zh-CN" w:bidi="ar"/>
        </w:rPr>
      </w:pPr>
    </w:p>
    <w:p w14:paraId="31CEA43D">
      <w:pPr>
        <w:pStyle w:val="10"/>
        <w:pageBreakBefore w:val="0"/>
        <w:tabs>
          <w:tab w:val="right" w:leader="dot" w:pos="9069"/>
        </w:tabs>
        <w:kinsoku/>
        <w:wordWrap/>
        <w:topLinePunct w:val="0"/>
        <w:autoSpaceDE/>
        <w:autoSpaceDN/>
        <w:bidi w:val="0"/>
        <w:adjustRightInd/>
        <w:spacing w:line="590" w:lineRule="exact"/>
        <w:ind w:firstLine="540" w:firstLineChars="150"/>
        <w:rPr>
          <w:rFonts w:hint="default" w:ascii="Times New Roman" w:hAnsi="Times New Roman" w:eastAsia="方正小标宋_GBK" w:cs="Times New Roman"/>
          <w:kern w:val="2"/>
          <w:sz w:val="36"/>
          <w:szCs w:val="36"/>
          <w:shd w:val="clear" w:color="auto" w:fill="auto"/>
          <w:lang w:val="en-US" w:eastAsia="zh-CN" w:bidi="ar-SA"/>
        </w:rPr>
      </w:pPr>
      <w:r>
        <w:rPr>
          <w:rFonts w:hint="default" w:ascii="Times New Roman" w:hAnsi="Times New Roman" w:eastAsia="方正小标宋_GBK" w:cs="Times New Roman"/>
          <w:kern w:val="2"/>
          <w:sz w:val="36"/>
          <w:szCs w:val="36"/>
          <w:shd w:val="clear" w:color="auto" w:fill="auto"/>
          <w:lang w:val="en-US" w:eastAsia="zh-CN" w:bidi="ar-SA"/>
        </w:rPr>
        <w:t>伊吾县林业和草原局</w:t>
      </w:r>
    </w:p>
    <w:p w14:paraId="4084CADF">
      <w:pPr>
        <w:keepNext w:val="0"/>
        <w:keepLines w:val="0"/>
        <w:widowControl/>
        <w:suppressLineNumbers w:val="0"/>
        <w:jc w:val="center"/>
        <w:outlineLvl w:val="0"/>
        <w:rPr>
          <w:rFonts w:hint="default" w:ascii="Times New Roman" w:hAnsi="Times New Roman" w:eastAsia="方正小标宋_GBK" w:cs="Times New Roman"/>
          <w:kern w:val="2"/>
          <w:sz w:val="36"/>
          <w:szCs w:val="36"/>
          <w:shd w:val="clear" w:color="auto" w:fill="auto"/>
          <w:lang w:val="en-US" w:eastAsia="zh-CN" w:bidi="ar-SA"/>
        </w:rPr>
      </w:pPr>
      <w:bookmarkStart w:id="1" w:name="_Toc22482"/>
      <w:bookmarkStart w:id="2" w:name="_Toc20068"/>
      <w:bookmarkStart w:id="3" w:name="_Toc18069"/>
      <w:bookmarkStart w:id="4" w:name="_Toc2429"/>
      <w:bookmarkStart w:id="5" w:name="_Toc32636"/>
      <w:bookmarkStart w:id="6" w:name="_Toc28420"/>
      <w:r>
        <w:rPr>
          <w:rFonts w:hint="default" w:ascii="Times New Roman" w:hAnsi="Times New Roman" w:eastAsia="方正小标宋_GBK" w:cs="Times New Roman"/>
          <w:kern w:val="2"/>
          <w:sz w:val="36"/>
          <w:szCs w:val="36"/>
          <w:shd w:val="clear" w:color="auto" w:fill="auto"/>
          <w:lang w:val="en-US" w:eastAsia="zh-CN" w:bidi="ar-SA"/>
        </w:rPr>
        <w:t>中国</w:t>
      </w:r>
      <w:bookmarkEnd w:id="1"/>
      <w:r>
        <w:rPr>
          <w:rFonts w:hint="default" w:ascii="Times New Roman" w:hAnsi="Times New Roman" w:eastAsia="方正小标宋_GBK" w:cs="Times New Roman"/>
          <w:kern w:val="2"/>
          <w:sz w:val="36"/>
          <w:szCs w:val="36"/>
          <w:shd w:val="clear" w:color="auto" w:fill="auto"/>
          <w:lang w:val="en-US" w:eastAsia="zh-CN" w:bidi="ar-SA"/>
        </w:rPr>
        <w:t>科苑沙漠工程勘察设计院有限公司</w:t>
      </w:r>
      <w:bookmarkEnd w:id="2"/>
      <w:bookmarkEnd w:id="3"/>
      <w:bookmarkEnd w:id="4"/>
      <w:bookmarkEnd w:id="5"/>
      <w:bookmarkEnd w:id="6"/>
    </w:p>
    <w:p w14:paraId="29E0FB49">
      <w:pPr>
        <w:keepNext w:val="0"/>
        <w:keepLines w:val="0"/>
        <w:widowControl/>
        <w:suppressLineNumbers w:val="0"/>
        <w:jc w:val="center"/>
        <w:outlineLvl w:val="9"/>
        <w:rPr>
          <w:rFonts w:hint="default" w:ascii="Times New Roman" w:hAnsi="Times New Roman" w:eastAsia="方正小标宋_GBK" w:cs="Times New Roman"/>
          <w:kern w:val="2"/>
          <w:sz w:val="36"/>
          <w:szCs w:val="36"/>
          <w:shd w:val="clear" w:color="auto" w:fill="auto"/>
          <w:lang w:val="en-US" w:eastAsia="zh-CN" w:bidi="ar-SA"/>
        </w:rPr>
      </w:pPr>
    </w:p>
    <w:p w14:paraId="5AA3D31D">
      <w:pPr>
        <w:keepNext w:val="0"/>
        <w:keepLines w:val="0"/>
        <w:widowControl/>
        <w:suppressLineNumbers w:val="0"/>
        <w:jc w:val="center"/>
        <w:rPr>
          <w:rFonts w:hint="default" w:ascii="Times New Roman" w:hAnsi="Times New Roman" w:eastAsia="仿宋_GB2312" w:cs="Times New Roman"/>
          <w:shd w:val="clear" w:color="auto" w:fill="auto"/>
        </w:rPr>
      </w:pPr>
      <w:r>
        <w:rPr>
          <w:rFonts w:hint="default" w:ascii="Times New Roman" w:hAnsi="Times New Roman" w:eastAsia="方正小标宋_GBK" w:cs="Times New Roman"/>
          <w:kern w:val="2"/>
          <w:sz w:val="36"/>
          <w:szCs w:val="36"/>
          <w:shd w:val="clear" w:color="auto" w:fill="auto"/>
          <w:lang w:val="en-US" w:eastAsia="zh-CN" w:bidi="ar-SA"/>
        </w:rPr>
        <w:t>202</w:t>
      </w:r>
      <w:r>
        <w:rPr>
          <w:rFonts w:hint="eastAsia" w:ascii="Times New Roman" w:hAnsi="Times New Roman" w:eastAsia="方正小标宋_GBK" w:cs="Times New Roman"/>
          <w:kern w:val="2"/>
          <w:sz w:val="36"/>
          <w:szCs w:val="36"/>
          <w:shd w:val="clear" w:color="auto" w:fill="auto"/>
          <w:lang w:val="en-US" w:eastAsia="zh-CN" w:bidi="ar-SA"/>
        </w:rPr>
        <w:t>5</w:t>
      </w:r>
      <w:r>
        <w:rPr>
          <w:rFonts w:hint="default" w:ascii="Times New Roman" w:hAnsi="Times New Roman" w:eastAsia="方正小标宋_GBK" w:cs="Times New Roman"/>
          <w:kern w:val="2"/>
          <w:sz w:val="36"/>
          <w:szCs w:val="36"/>
          <w:shd w:val="clear" w:color="auto" w:fill="auto"/>
          <w:lang w:val="en-US" w:eastAsia="zh-CN" w:bidi="ar-SA"/>
        </w:rPr>
        <w:t xml:space="preserve"> 年 11 月</w:t>
      </w:r>
    </w:p>
    <w:p w14:paraId="5442B540">
      <w:pPr>
        <w:shd w:val="clear" w:fill="FFFFFF" w:themeFill="background1"/>
        <w:rPr>
          <w:rFonts w:hint="default" w:ascii="Times New Roman" w:hAnsi="Times New Roman" w:eastAsia="仿宋_GB2312" w:cs="Times New Roman"/>
          <w:i w:val="0"/>
          <w:iCs w:val="0"/>
          <w:caps w:val="0"/>
          <w:color w:val="333333"/>
          <w:spacing w:val="0"/>
          <w:sz w:val="22"/>
          <w:szCs w:val="22"/>
          <w:shd w:val="clear" w:color="auto" w:fill="auto"/>
        </w:rPr>
        <w:sectPr>
          <w:pgSz w:w="11906" w:h="16838"/>
          <w:pgMar w:top="1440" w:right="1800" w:bottom="1440" w:left="1800" w:header="851" w:footer="992" w:gutter="0"/>
          <w:cols w:space="425" w:num="1"/>
          <w:docGrid w:type="lines" w:linePitch="312" w:charSpace="0"/>
        </w:sectPr>
      </w:pPr>
    </w:p>
    <w:p w14:paraId="4EC138A7">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4B734C0A">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73D924E7">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37A5F99E">
      <w:pPr>
        <w:keepNext w:val="0"/>
        <w:keepLines w:val="0"/>
        <w:widowControl/>
        <w:suppressLineNumbers w:val="0"/>
        <w:jc w:val="center"/>
        <w:rPr>
          <w:rStyle w:val="27"/>
          <w:rFonts w:hint="default" w:ascii="Times New Roman" w:hAnsi="Times New Roman" w:eastAsia="方正小标宋_GBK" w:cs="Times New Roman"/>
          <w:b w:val="0"/>
          <w:bCs/>
          <w:kern w:val="0"/>
          <w:sz w:val="52"/>
          <w:szCs w:val="52"/>
          <w:shd w:val="clear" w:color="auto" w:fill="auto"/>
          <w:lang w:val="en-US" w:eastAsia="zh-CN" w:bidi="ar-SA"/>
        </w:rPr>
      </w:pPr>
      <w:r>
        <w:rPr>
          <w:rStyle w:val="27"/>
          <w:rFonts w:hint="eastAsia" w:ascii="Times New Roman" w:hAnsi="Times New Roman" w:eastAsia="方正小标宋_GBK" w:cs="Times New Roman"/>
          <w:b w:val="0"/>
          <w:bCs/>
          <w:kern w:val="0"/>
          <w:sz w:val="52"/>
          <w:szCs w:val="52"/>
          <w:shd w:val="clear" w:color="auto" w:fill="auto"/>
          <w:lang w:val="en-US" w:eastAsia="zh-CN" w:bidi="ar-SA"/>
        </w:rPr>
        <w:t>伊吾县防沙治沙实施方案</w:t>
      </w:r>
    </w:p>
    <w:p w14:paraId="0B19F5B8">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r>
        <w:rPr>
          <w:rStyle w:val="27"/>
          <w:rFonts w:hint="default" w:ascii="Times New Roman" w:hAnsi="Times New Roman" w:eastAsia="方正小标宋_GBK" w:cs="Times New Roman"/>
          <w:b w:val="0"/>
          <w:bCs/>
          <w:kern w:val="0"/>
          <w:sz w:val="52"/>
          <w:szCs w:val="52"/>
          <w:shd w:val="clear" w:color="auto" w:fill="auto"/>
          <w:lang w:val="en-US" w:eastAsia="zh-CN" w:bidi="ar-SA"/>
        </w:rPr>
        <w:t>（</w:t>
      </w:r>
      <w:r>
        <w:rPr>
          <w:rStyle w:val="27"/>
          <w:rFonts w:hint="eastAsia" w:ascii="Times New Roman" w:hAnsi="Times New Roman" w:eastAsia="方正小标宋_GBK" w:cs="Times New Roman"/>
          <w:b w:val="0"/>
          <w:bCs/>
          <w:kern w:val="0"/>
          <w:sz w:val="52"/>
          <w:szCs w:val="52"/>
          <w:shd w:val="clear" w:color="auto" w:fill="auto"/>
          <w:lang w:val="en-US" w:eastAsia="zh-CN" w:bidi="ar-SA"/>
        </w:rPr>
        <w:t>2026-2030年</w:t>
      </w:r>
      <w:r>
        <w:rPr>
          <w:rStyle w:val="27"/>
          <w:rFonts w:hint="default" w:ascii="Times New Roman" w:hAnsi="Times New Roman" w:eastAsia="方正小标宋_GBK" w:cs="Times New Roman"/>
          <w:b w:val="0"/>
          <w:bCs/>
          <w:kern w:val="0"/>
          <w:sz w:val="52"/>
          <w:szCs w:val="52"/>
          <w:shd w:val="clear" w:color="auto" w:fill="auto"/>
          <w:lang w:val="en-US" w:eastAsia="zh-CN" w:bidi="ar-SA"/>
        </w:rPr>
        <w:t>）</w:t>
      </w:r>
    </w:p>
    <w:p w14:paraId="297E7C8B">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r>
        <w:rPr>
          <w:rFonts w:hint="eastAsia" w:ascii="Times New Roman" w:hAnsi="Times New Roman" w:cs="Times New Roman"/>
          <w:b/>
          <w:bCs/>
          <w:color w:val="000000"/>
          <w:kern w:val="0"/>
          <w:sz w:val="48"/>
          <w:szCs w:val="48"/>
          <w:shd w:val="clear" w:color="auto" w:fill="auto"/>
          <w:lang w:val="en-US" w:eastAsia="zh-CN" w:bidi="ar"/>
        </w:rPr>
        <w:t>（征求意见稿）</w:t>
      </w:r>
    </w:p>
    <w:p w14:paraId="42CB8CFE">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44F5A227">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451129D8">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06DFB1DE">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2345BA05">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3A8E4992">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6580A196">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021F51BE">
      <w:pPr>
        <w:keepNext w:val="0"/>
        <w:keepLines w:val="0"/>
        <w:widowControl/>
        <w:suppressLineNumbers w:val="0"/>
        <w:jc w:val="center"/>
        <w:rPr>
          <w:rFonts w:hint="default" w:ascii="Times New Roman" w:hAnsi="Times New Roman" w:eastAsia="仿宋_GB2312" w:cs="Times New Roman"/>
          <w:b/>
          <w:bCs/>
          <w:color w:val="000000"/>
          <w:kern w:val="0"/>
          <w:sz w:val="48"/>
          <w:szCs w:val="48"/>
          <w:shd w:val="clear" w:color="auto" w:fill="auto"/>
          <w:lang w:val="en-US" w:eastAsia="zh-CN" w:bidi="ar"/>
        </w:rPr>
      </w:pPr>
    </w:p>
    <w:p w14:paraId="4DA2FA28">
      <w:pPr>
        <w:keepNext w:val="0"/>
        <w:keepLines w:val="0"/>
        <w:widowControl/>
        <w:suppressLineNumbers w:val="0"/>
        <w:jc w:val="both"/>
        <w:rPr>
          <w:rFonts w:hint="default" w:ascii="Times New Roman" w:hAnsi="Times New Roman" w:eastAsia="仿宋_GB2312" w:cs="Times New Roman"/>
          <w:b/>
          <w:bCs/>
          <w:color w:val="000000"/>
          <w:kern w:val="0"/>
          <w:sz w:val="48"/>
          <w:szCs w:val="48"/>
          <w:shd w:val="clear" w:color="auto" w:fill="auto"/>
          <w:lang w:val="en-US" w:eastAsia="zh-CN" w:bidi="ar"/>
        </w:rPr>
      </w:pPr>
    </w:p>
    <w:p w14:paraId="25B1717F">
      <w:pPr>
        <w:keepNext w:val="0"/>
        <w:keepLines w:val="0"/>
        <w:widowControl/>
        <w:suppressLineNumbers w:val="0"/>
        <w:jc w:val="center"/>
        <w:outlineLvl w:val="0"/>
        <w:rPr>
          <w:rFonts w:hint="default" w:ascii="Times New Roman" w:hAnsi="Times New Roman" w:eastAsia="方正小标宋_GBK" w:cs="Times New Roman"/>
          <w:kern w:val="2"/>
          <w:sz w:val="36"/>
          <w:szCs w:val="36"/>
          <w:shd w:val="clear" w:color="auto" w:fill="auto"/>
          <w:lang w:val="en-US" w:eastAsia="zh-CN" w:bidi="ar-SA"/>
        </w:rPr>
      </w:pPr>
      <w:bookmarkStart w:id="7" w:name="_Toc1571"/>
      <w:bookmarkStart w:id="8" w:name="_Toc19063"/>
      <w:bookmarkStart w:id="9" w:name="_Toc5791"/>
      <w:bookmarkStart w:id="10" w:name="_Toc1407"/>
      <w:bookmarkStart w:id="11" w:name="_Toc6087"/>
      <w:r>
        <w:rPr>
          <w:rFonts w:hint="default" w:ascii="Times New Roman" w:hAnsi="Times New Roman" w:eastAsia="方正小标宋_GBK" w:cs="Times New Roman"/>
          <w:kern w:val="2"/>
          <w:sz w:val="36"/>
          <w:szCs w:val="36"/>
          <w:shd w:val="clear" w:color="auto" w:fill="auto"/>
          <w:lang w:val="en-US" w:eastAsia="zh-CN" w:bidi="ar-SA"/>
        </w:rPr>
        <w:t>新疆科苑沙漠工程勘察设计院有限公司</w:t>
      </w:r>
      <w:bookmarkEnd w:id="7"/>
      <w:bookmarkEnd w:id="8"/>
      <w:bookmarkEnd w:id="9"/>
      <w:bookmarkEnd w:id="10"/>
      <w:bookmarkEnd w:id="11"/>
    </w:p>
    <w:p w14:paraId="064771AB">
      <w:pPr>
        <w:keepNext w:val="0"/>
        <w:keepLines w:val="0"/>
        <w:widowControl/>
        <w:suppressLineNumbers w:val="0"/>
        <w:jc w:val="center"/>
        <w:outlineLvl w:val="9"/>
        <w:rPr>
          <w:rFonts w:hint="default" w:ascii="Times New Roman" w:hAnsi="Times New Roman" w:eastAsia="方正小标宋_GBK" w:cs="Times New Roman"/>
          <w:kern w:val="2"/>
          <w:sz w:val="36"/>
          <w:szCs w:val="36"/>
          <w:shd w:val="clear" w:color="auto" w:fill="auto"/>
          <w:lang w:val="en-US" w:eastAsia="zh-CN" w:bidi="ar-SA"/>
        </w:rPr>
      </w:pPr>
    </w:p>
    <w:p w14:paraId="67503FDF">
      <w:pPr>
        <w:keepNext w:val="0"/>
        <w:keepLines w:val="0"/>
        <w:widowControl/>
        <w:suppressLineNumbers w:val="0"/>
        <w:jc w:val="center"/>
        <w:rPr>
          <w:rFonts w:hint="default" w:ascii="Times New Roman" w:hAnsi="Times New Roman" w:eastAsia="仿宋_GB2312" w:cs="Times New Roman"/>
          <w:shd w:val="clear" w:color="auto" w:fill="auto"/>
        </w:rPr>
      </w:pPr>
      <w:r>
        <w:rPr>
          <w:rFonts w:hint="default" w:ascii="Times New Roman" w:hAnsi="Times New Roman" w:eastAsia="方正小标宋_GBK" w:cs="Times New Roman"/>
          <w:kern w:val="2"/>
          <w:sz w:val="36"/>
          <w:szCs w:val="36"/>
          <w:shd w:val="clear" w:color="auto" w:fill="auto"/>
          <w:lang w:val="en-US" w:eastAsia="zh-CN" w:bidi="ar-SA"/>
        </w:rPr>
        <w:t>202</w:t>
      </w:r>
      <w:r>
        <w:rPr>
          <w:rFonts w:hint="eastAsia" w:ascii="Times New Roman" w:hAnsi="Times New Roman" w:eastAsia="方正小标宋_GBK" w:cs="Times New Roman"/>
          <w:kern w:val="2"/>
          <w:sz w:val="36"/>
          <w:szCs w:val="36"/>
          <w:shd w:val="clear" w:color="auto" w:fill="auto"/>
          <w:lang w:val="en-US" w:eastAsia="zh-CN" w:bidi="ar-SA"/>
        </w:rPr>
        <w:t>5</w:t>
      </w:r>
      <w:r>
        <w:rPr>
          <w:rFonts w:hint="default" w:ascii="Times New Roman" w:hAnsi="Times New Roman" w:eastAsia="方正小标宋_GBK" w:cs="Times New Roman"/>
          <w:kern w:val="2"/>
          <w:sz w:val="36"/>
          <w:szCs w:val="36"/>
          <w:shd w:val="clear" w:color="auto" w:fill="auto"/>
          <w:lang w:val="en-US" w:eastAsia="zh-CN" w:bidi="ar-SA"/>
        </w:rPr>
        <w:t xml:space="preserve"> 年 11 月</w:t>
      </w:r>
    </w:p>
    <w:p w14:paraId="0084A04B">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65BEFEF7">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2BE1BCD9">
      <w:pPr>
        <w:keepNext w:val="0"/>
        <w:keepLines w:val="0"/>
        <w:widowControl/>
        <w:suppressLineNumbers w:val="0"/>
        <w:jc w:val="center"/>
        <w:outlineLvl w:val="9"/>
        <w:rPr>
          <w:rFonts w:hint="default" w:ascii="Times New Roman" w:hAnsi="Times New Roman" w:eastAsia="仿宋_GB2312" w:cs="Times New Roman"/>
          <w:color w:val="000000"/>
          <w:kern w:val="0"/>
          <w:sz w:val="48"/>
          <w:szCs w:val="48"/>
          <w:shd w:val="clear" w:color="auto" w:fill="auto"/>
          <w:lang w:val="en-US" w:eastAsia="zh-CN" w:bidi="ar"/>
        </w:rPr>
      </w:pPr>
    </w:p>
    <w:p w14:paraId="6A645DE8">
      <w:pPr>
        <w:spacing w:before="0" w:beforeLines="0" w:after="0" w:afterLines="0" w:line="240" w:lineRule="auto"/>
        <w:ind w:left="0" w:leftChars="0" w:right="0" w:rightChars="0" w:firstLine="0" w:firstLineChars="0"/>
        <w:jc w:val="center"/>
        <w:rPr>
          <w:rFonts w:hint="default" w:ascii="Times New Roman" w:hAnsi="Times New Roman" w:eastAsia="宋体" w:cs="Times New Roman"/>
          <w:sz w:val="21"/>
          <w:shd w:val="clear" w:color="auto" w:fill="auto"/>
          <w:lang w:eastAsia="zh-CN"/>
        </w:rPr>
      </w:pPr>
      <w:r>
        <w:rPr>
          <w:rFonts w:hint="default" w:ascii="Times New Roman" w:hAnsi="Times New Roman" w:eastAsia="宋体" w:cs="Times New Roman"/>
          <w:sz w:val="21"/>
          <w:shd w:val="clear" w:color="auto" w:fill="auto"/>
          <w:lang w:eastAsia="zh-CN"/>
        </w:rPr>
        <w:drawing>
          <wp:inline distT="0" distB="0" distL="114300" distR="114300">
            <wp:extent cx="7633970" cy="5400040"/>
            <wp:effectExtent l="0" t="0" r="10160" b="5080"/>
            <wp:docPr id="4" name="图片 4" descr="6985fc571aa49ff3c9f1c364bb83b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985fc571aa49ff3c9f1c364bb83ba1"/>
                    <pic:cNvPicPr>
                      <a:picLocks noChangeAspect="1"/>
                    </pic:cNvPicPr>
                  </pic:nvPicPr>
                  <pic:blipFill>
                    <a:blip r:embed="rId9"/>
                    <a:stretch>
                      <a:fillRect/>
                    </a:stretch>
                  </pic:blipFill>
                  <pic:spPr>
                    <a:xfrm rot="5400000">
                      <a:off x="0" y="0"/>
                      <a:ext cx="7633970" cy="5400040"/>
                    </a:xfrm>
                    <a:prstGeom prst="rect">
                      <a:avLst/>
                    </a:prstGeom>
                  </pic:spPr>
                </pic:pic>
              </a:graphicData>
            </a:graphic>
          </wp:inline>
        </w:drawing>
      </w:r>
    </w:p>
    <w:p w14:paraId="563F8258">
      <w:pPr>
        <w:spacing w:before="0" w:beforeLines="0" w:after="0" w:afterLines="0" w:line="240" w:lineRule="auto"/>
        <w:ind w:left="0" w:leftChars="0" w:right="0" w:rightChars="0" w:firstLine="0" w:firstLineChars="0"/>
        <w:jc w:val="center"/>
        <w:rPr>
          <w:rFonts w:hint="default" w:ascii="Times New Roman" w:hAnsi="Times New Roman" w:eastAsia="宋体" w:cs="Times New Roman"/>
          <w:sz w:val="21"/>
          <w:shd w:val="clear" w:color="auto" w:fill="auto"/>
          <w:lang w:eastAsia="zh-CN"/>
        </w:rPr>
      </w:pPr>
    </w:p>
    <w:p w14:paraId="320EEF66">
      <w:pPr>
        <w:spacing w:before="0" w:beforeLines="0" w:after="0" w:afterLines="0" w:line="240" w:lineRule="auto"/>
        <w:ind w:left="0" w:leftChars="0" w:right="0" w:rightChars="0" w:firstLine="0" w:firstLineChars="0"/>
        <w:jc w:val="center"/>
        <w:rPr>
          <w:rFonts w:hint="default" w:ascii="Times New Roman" w:hAnsi="Times New Roman" w:eastAsia="宋体" w:cs="Times New Roman"/>
          <w:sz w:val="21"/>
          <w:shd w:val="clear" w:color="auto" w:fill="auto"/>
          <w:lang w:eastAsia="zh-CN"/>
        </w:rPr>
      </w:pPr>
    </w:p>
    <w:p w14:paraId="148E1908">
      <w:pPr>
        <w:pStyle w:val="2"/>
        <w:pageBreakBefore w:val="0"/>
        <w:numPr>
          <w:ilvl w:val="0"/>
          <w:numId w:val="0"/>
        </w:numPr>
        <w:kinsoku/>
        <w:wordWrap/>
        <w:topLinePunct w:val="0"/>
        <w:autoSpaceDE/>
        <w:autoSpaceDN/>
        <w:bidi w:val="0"/>
        <w:adjustRightInd/>
        <w:spacing w:before="312" w:beforeLines="100" w:after="624" w:afterLines="200" w:line="590" w:lineRule="exact"/>
        <w:ind w:left="0" w:leftChars="0" w:right="0" w:rightChars="0" w:firstLine="0" w:firstLineChars="0"/>
        <w:jc w:val="center"/>
        <w:rPr>
          <w:rFonts w:hint="default" w:ascii="Times New Roman" w:hAnsi="Times New Roman" w:eastAsia="方正小标宋_GBK" w:cs="Times New Roman"/>
          <w:b w:val="0"/>
          <w:bCs w:val="0"/>
          <w:sz w:val="32"/>
          <w:szCs w:val="32"/>
          <w:shd w:val="clear" w:color="auto" w:fill="auto"/>
        </w:rPr>
      </w:pPr>
      <w:bookmarkStart w:id="12" w:name="_Toc31016"/>
      <w:bookmarkStart w:id="13" w:name="_Toc6460"/>
      <w:bookmarkStart w:id="14" w:name="_Toc7023"/>
      <w:bookmarkStart w:id="15" w:name="_Toc17417"/>
      <w:bookmarkStart w:id="16" w:name="_Toc5624"/>
      <w:r>
        <w:rPr>
          <w:rFonts w:hint="eastAsia" w:ascii="Times New Roman" w:hAnsi="Times New Roman" w:eastAsia="方正小标宋_GBK" w:cs="Times New Roman"/>
          <w:b w:val="0"/>
          <w:bCs w:val="0"/>
          <w:sz w:val="32"/>
          <w:szCs w:val="32"/>
          <w:shd w:val="clear" w:color="auto" w:fill="auto"/>
          <w:lang w:val="en-US" w:eastAsia="zh-CN"/>
        </w:rPr>
        <w:t>伊吾县防沙治沙实施方案</w:t>
      </w:r>
      <w:r>
        <w:rPr>
          <w:rFonts w:hint="default" w:ascii="Times New Roman" w:hAnsi="Times New Roman" w:eastAsia="方正小标宋_GBK" w:cs="Times New Roman"/>
          <w:b w:val="0"/>
          <w:bCs w:val="0"/>
          <w:sz w:val="32"/>
          <w:szCs w:val="32"/>
          <w:shd w:val="clear" w:color="auto" w:fill="auto"/>
        </w:rPr>
        <w:t>编制工作</w:t>
      </w:r>
      <w:bookmarkEnd w:id="12"/>
      <w:bookmarkEnd w:id="13"/>
      <w:bookmarkEnd w:id="14"/>
      <w:bookmarkEnd w:id="15"/>
      <w:bookmarkEnd w:id="16"/>
    </w:p>
    <w:p w14:paraId="782333A9">
      <w:pPr>
        <w:pStyle w:val="13"/>
        <w:outlineLvl w:val="9"/>
        <w:rPr>
          <w:rFonts w:hint="default" w:ascii="Times New Roman" w:hAnsi="Times New Roman" w:cs="Times New Roman"/>
          <w:shd w:val="clear" w:color="auto" w:fill="auto"/>
        </w:rPr>
      </w:pPr>
    </w:p>
    <w:p w14:paraId="56CD10F5">
      <w:pPr>
        <w:spacing w:line="480" w:lineRule="auto"/>
        <w:jc w:val="left"/>
        <w:rPr>
          <w:rFonts w:hint="default" w:ascii="Times New Roman" w:hAnsi="Times New Roman" w:eastAsia="方正仿宋_GBK" w:cs="Times New Roman"/>
          <w:b w:val="0"/>
          <w:bCs/>
          <w:sz w:val="32"/>
          <w:shd w:val="clear" w:color="auto" w:fill="auto"/>
        </w:rPr>
      </w:pPr>
      <w:r>
        <w:rPr>
          <w:rFonts w:hint="default" w:ascii="Times New Roman" w:hAnsi="Times New Roman" w:eastAsia="方正仿宋_GBK" w:cs="Times New Roman"/>
          <w:b w:val="0"/>
          <w:bCs/>
          <w:sz w:val="32"/>
          <w:shd w:val="clear" w:color="auto" w:fill="auto"/>
        </w:rPr>
        <w:t>领导组</w:t>
      </w:r>
    </w:p>
    <w:p w14:paraId="10159C7D">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组长：严建勇 伊吾县林业和草原局 党组书记</w:t>
      </w:r>
      <w:r>
        <w:rPr>
          <w:rFonts w:hint="default" w:ascii="Times New Roman" w:hAnsi="Times New Roman" w:eastAsia="方正仿宋_GBK" w:cs="Times New Roman"/>
          <w:b w:val="0"/>
          <w:bCs/>
          <w:sz w:val="32"/>
          <w:shd w:val="clear" w:color="auto" w:fill="auto"/>
          <w:lang w:eastAsia="zh-CN"/>
        </w:rPr>
        <w:tab/>
      </w:r>
    </w:p>
    <w:p w14:paraId="2E541400">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副组长：斯拉木·艾力 伊吾县林业和草原局 局长 副书记</w:t>
      </w:r>
    </w:p>
    <w:p w14:paraId="5A13CDF1">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成员：杨晓丽 伊吾县林业和草原局 副局长</w:t>
      </w:r>
    </w:p>
    <w:p w14:paraId="1AC59A68">
      <w:pPr>
        <w:spacing w:line="480" w:lineRule="auto"/>
        <w:jc w:val="left"/>
        <w:rPr>
          <w:rFonts w:hint="default" w:ascii="Times New Roman" w:hAnsi="Times New Roman" w:eastAsia="方正仿宋_GBK" w:cs="Times New Roman"/>
          <w:b w:val="0"/>
          <w:bCs/>
          <w:sz w:val="32"/>
          <w:shd w:val="clear" w:color="auto" w:fill="auto"/>
          <w:lang w:val="en-US" w:eastAsia="zh-CN"/>
        </w:rPr>
      </w:pPr>
      <w:r>
        <w:rPr>
          <w:rFonts w:hint="eastAsia" w:ascii="Times New Roman" w:hAnsi="Times New Roman" w:eastAsia="方正仿宋_GBK" w:cs="Times New Roman"/>
          <w:b w:val="0"/>
          <w:bCs/>
          <w:sz w:val="32"/>
          <w:shd w:val="clear" w:color="auto" w:fill="auto"/>
          <w:lang w:val="en-US" w:eastAsia="zh-CN"/>
        </w:rPr>
        <w:t xml:space="preserve">      艾合买提·卡德尔</w:t>
      </w:r>
      <w:r>
        <w:rPr>
          <w:rFonts w:hint="eastAsia" w:ascii="Times New Roman" w:hAnsi="Times New Roman" w:eastAsia="方正仿宋_GBK" w:cs="Times New Roman"/>
          <w:b w:val="0"/>
          <w:bCs/>
          <w:sz w:val="32"/>
          <w:shd w:val="clear" w:color="auto" w:fill="auto"/>
          <w:lang w:val="en-US" w:eastAsia="zh-CN"/>
        </w:rPr>
        <w:tab/>
      </w:r>
      <w:r>
        <w:rPr>
          <w:rFonts w:hint="eastAsia" w:ascii="Times New Roman" w:hAnsi="Times New Roman" w:eastAsia="方正仿宋_GBK" w:cs="Times New Roman"/>
          <w:b w:val="0"/>
          <w:bCs/>
          <w:sz w:val="32"/>
          <w:shd w:val="clear" w:color="auto" w:fill="auto"/>
          <w:lang w:val="en-US" w:eastAsia="zh-CN"/>
        </w:rPr>
        <w:t>高级工程师</w:t>
      </w:r>
    </w:p>
    <w:p w14:paraId="1AA69C28">
      <w:pPr>
        <w:spacing w:line="480" w:lineRule="auto"/>
        <w:jc w:val="left"/>
        <w:rPr>
          <w:rFonts w:hint="default" w:ascii="Times New Roman" w:hAnsi="Times New Roman" w:eastAsia="方正仿宋_GBK" w:cs="Times New Roman"/>
          <w:b w:val="0"/>
          <w:bCs/>
          <w:sz w:val="32"/>
          <w:shd w:val="clear" w:color="auto" w:fill="auto"/>
          <w:lang w:eastAsia="zh-CN"/>
        </w:rPr>
      </w:pPr>
    </w:p>
    <w:p w14:paraId="53BB97FB">
      <w:pPr>
        <w:spacing w:line="480" w:lineRule="auto"/>
        <w:jc w:val="left"/>
        <w:rPr>
          <w:rFonts w:hint="default" w:ascii="Times New Roman" w:hAnsi="Times New Roman" w:eastAsia="方正仿宋_GBK" w:cs="Times New Roman"/>
          <w:b w:val="0"/>
          <w:bCs/>
          <w:sz w:val="32"/>
          <w:shd w:val="clear" w:color="auto" w:fill="auto"/>
          <w:lang w:eastAsia="zh-CN"/>
        </w:rPr>
      </w:pPr>
    </w:p>
    <w:p w14:paraId="6578E2CC">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编写组</w:t>
      </w:r>
    </w:p>
    <w:p w14:paraId="44E3D483">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组长：艾合买提·卡德尔</w:t>
      </w:r>
      <w:r>
        <w:rPr>
          <w:rFonts w:hint="default" w:ascii="Times New Roman" w:hAnsi="Times New Roman" w:eastAsia="方正仿宋_GBK" w:cs="Times New Roman"/>
          <w:b w:val="0"/>
          <w:bCs/>
          <w:sz w:val="32"/>
          <w:shd w:val="clear" w:color="auto" w:fill="auto"/>
          <w:lang w:eastAsia="zh-CN"/>
        </w:rPr>
        <w:tab/>
      </w:r>
      <w:r>
        <w:rPr>
          <w:rFonts w:hint="default" w:ascii="Times New Roman" w:hAnsi="Times New Roman" w:eastAsia="方正仿宋_GBK" w:cs="Times New Roman"/>
          <w:b w:val="0"/>
          <w:bCs/>
          <w:sz w:val="32"/>
          <w:shd w:val="clear" w:color="auto" w:fill="auto"/>
          <w:lang w:eastAsia="zh-CN"/>
        </w:rPr>
        <w:t>高级工程师</w:t>
      </w:r>
    </w:p>
    <w:p w14:paraId="6C026F27">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成员：李晓江 高级工程师</w:t>
      </w:r>
    </w:p>
    <w:p w14:paraId="202FA6EC">
      <w:pPr>
        <w:spacing w:line="480" w:lineRule="auto"/>
        <w:jc w:val="left"/>
        <w:rPr>
          <w:rFonts w:hint="default" w:ascii="Times New Roman" w:hAnsi="Times New Roman" w:eastAsia="仿宋" w:cs="Times New Roman"/>
          <w:b/>
          <w:sz w:val="32"/>
          <w:shd w:val="clear" w:color="auto" w:fill="auto"/>
        </w:rPr>
      </w:pPr>
      <w:r>
        <w:rPr>
          <w:rFonts w:hint="default" w:ascii="Times New Roman" w:hAnsi="Times New Roman" w:eastAsia="方正仿宋_GBK" w:cs="Times New Roman"/>
          <w:b w:val="0"/>
          <w:bCs/>
          <w:sz w:val="32"/>
          <w:shd w:val="clear" w:color="auto" w:fill="auto"/>
          <w:lang w:eastAsia="zh-CN"/>
        </w:rPr>
        <w:t xml:space="preserve">      李伟 中级工程师</w:t>
      </w:r>
      <w:r>
        <w:rPr>
          <w:rFonts w:hint="default" w:ascii="Times New Roman" w:hAnsi="Times New Roman" w:eastAsia="仿宋" w:cs="Times New Roman"/>
          <w:b/>
          <w:sz w:val="32"/>
          <w:shd w:val="clear" w:color="auto" w:fill="auto"/>
        </w:rPr>
        <w:br w:type="page"/>
      </w:r>
    </w:p>
    <w:p w14:paraId="187AD701">
      <w:pPr>
        <w:pStyle w:val="2"/>
        <w:pageBreakBefore w:val="0"/>
        <w:numPr>
          <w:ilvl w:val="0"/>
          <w:numId w:val="0"/>
        </w:numPr>
        <w:kinsoku/>
        <w:wordWrap/>
        <w:topLinePunct w:val="0"/>
        <w:autoSpaceDE/>
        <w:autoSpaceDN/>
        <w:bidi w:val="0"/>
        <w:adjustRightInd/>
        <w:spacing w:before="312" w:beforeLines="100" w:after="624" w:afterLines="200" w:line="590" w:lineRule="exact"/>
        <w:ind w:left="0" w:leftChars="0" w:right="0" w:rightChars="0" w:firstLine="0" w:firstLineChars="0"/>
        <w:jc w:val="center"/>
        <w:rPr>
          <w:rFonts w:hint="default" w:ascii="Times New Roman" w:hAnsi="Times New Roman" w:eastAsia="方正小标宋_GBK" w:cs="Times New Roman"/>
          <w:b w:val="0"/>
          <w:bCs w:val="0"/>
          <w:sz w:val="32"/>
          <w:szCs w:val="32"/>
          <w:shd w:val="clear" w:color="auto" w:fill="auto"/>
        </w:rPr>
      </w:pPr>
      <w:bookmarkStart w:id="17" w:name="_Toc23211"/>
      <w:bookmarkStart w:id="18" w:name="_Toc25019"/>
      <w:bookmarkStart w:id="19" w:name="_Toc26626"/>
      <w:bookmarkStart w:id="20" w:name="_Toc26855"/>
      <w:bookmarkStart w:id="21" w:name="_Toc17814"/>
      <w:r>
        <w:rPr>
          <w:rFonts w:hint="default" w:ascii="Times New Roman" w:hAnsi="Times New Roman" w:eastAsia="方正小标宋_GBK" w:cs="Times New Roman"/>
          <w:b w:val="0"/>
          <w:bCs w:val="0"/>
          <w:sz w:val="32"/>
          <w:szCs w:val="32"/>
          <w:shd w:val="clear" w:color="auto" w:fill="auto"/>
        </w:rPr>
        <w:t>中国科学院新疆生态与地理研究所</w:t>
      </w:r>
      <w:bookmarkEnd w:id="17"/>
      <w:bookmarkEnd w:id="18"/>
      <w:bookmarkEnd w:id="19"/>
      <w:bookmarkEnd w:id="20"/>
      <w:bookmarkEnd w:id="21"/>
    </w:p>
    <w:p w14:paraId="11AF4C62">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主要编写人员：</w:t>
      </w:r>
    </w:p>
    <w:p w14:paraId="063C0716">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eastAsia="zh-CN"/>
        </w:rPr>
        <w:t>刘国军，新疆科苑沙漠工程勘察设计院有限公司高级工程师，博士</w:t>
      </w:r>
    </w:p>
    <w:p w14:paraId="23D54E0B">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eastAsia="zh-CN"/>
        </w:rPr>
        <w:t>李生宇，新疆科苑沙漠工程勘察设计院有限公司研究员，博士</w:t>
      </w:r>
    </w:p>
    <w:p w14:paraId="481B3987">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eastAsia="zh-CN"/>
        </w:rPr>
        <w:t>李凯辉，新疆科苑沙漠工程勘察设计院有限公司</w:t>
      </w:r>
      <w:r>
        <w:rPr>
          <w:rFonts w:hint="eastAsia" w:ascii="Times New Roman" w:hAnsi="Times New Roman" w:eastAsia="方正仿宋_GBK" w:cs="Times New Roman"/>
          <w:b w:val="0"/>
          <w:bCs/>
          <w:sz w:val="30"/>
          <w:szCs w:val="30"/>
          <w:shd w:val="clear" w:color="auto" w:fill="auto"/>
          <w:lang w:val="en-US" w:eastAsia="zh-CN"/>
        </w:rPr>
        <w:t>研究员</w:t>
      </w:r>
      <w:r>
        <w:rPr>
          <w:rFonts w:hint="default" w:ascii="Times New Roman" w:hAnsi="Times New Roman" w:eastAsia="方正仿宋_GBK" w:cs="Times New Roman"/>
          <w:b w:val="0"/>
          <w:bCs/>
          <w:sz w:val="30"/>
          <w:szCs w:val="30"/>
          <w:shd w:val="clear" w:color="auto" w:fill="auto"/>
          <w:lang w:eastAsia="zh-CN"/>
        </w:rPr>
        <w:t>，博士</w:t>
      </w:r>
    </w:p>
    <w:p w14:paraId="248E0993">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eastAsia="zh-CN"/>
        </w:rPr>
        <w:t>王世杰，新疆科苑沙漠工程勘察设计院有限公司工程师，博士</w:t>
      </w:r>
    </w:p>
    <w:p w14:paraId="682C44EE">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eastAsia="zh-CN"/>
        </w:rPr>
        <w:t>张</w:t>
      </w:r>
      <w:r>
        <w:rPr>
          <w:rFonts w:hint="default" w:ascii="Times New Roman" w:hAnsi="Times New Roman" w:eastAsia="方正仿宋_GBK" w:cs="Times New Roman"/>
          <w:b w:val="0"/>
          <w:bCs/>
          <w:sz w:val="30"/>
          <w:szCs w:val="30"/>
          <w:shd w:val="clear" w:color="auto" w:fill="auto"/>
          <w:lang w:val="en-US" w:eastAsia="zh-CN"/>
        </w:rPr>
        <w:t xml:space="preserve">  </w:t>
      </w:r>
      <w:r>
        <w:rPr>
          <w:rFonts w:hint="default" w:ascii="Times New Roman" w:hAnsi="Times New Roman" w:eastAsia="方正仿宋_GBK" w:cs="Times New Roman"/>
          <w:b w:val="0"/>
          <w:bCs/>
          <w:sz w:val="30"/>
          <w:szCs w:val="30"/>
          <w:shd w:val="clear" w:color="auto" w:fill="auto"/>
          <w:lang w:eastAsia="zh-CN"/>
        </w:rPr>
        <w:t>恒，新疆科苑沙漠工程勘察设计院有限公司工程师，博士</w:t>
      </w:r>
    </w:p>
    <w:p w14:paraId="444D9445">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val="en-US" w:eastAsia="zh-CN"/>
        </w:rPr>
        <w:t>万小龙，</w:t>
      </w:r>
      <w:r>
        <w:rPr>
          <w:rFonts w:hint="default" w:ascii="Times New Roman" w:hAnsi="Times New Roman" w:eastAsia="方正仿宋_GBK" w:cs="Times New Roman"/>
          <w:b w:val="0"/>
          <w:bCs/>
          <w:sz w:val="30"/>
          <w:szCs w:val="30"/>
          <w:shd w:val="clear" w:color="auto" w:fill="auto"/>
          <w:lang w:eastAsia="zh-CN"/>
        </w:rPr>
        <w:t>新疆科苑沙漠工程勘察设计院有限公司工程师，</w:t>
      </w:r>
      <w:r>
        <w:rPr>
          <w:rFonts w:hint="default" w:ascii="Times New Roman" w:hAnsi="Times New Roman" w:eastAsia="方正仿宋_GBK" w:cs="Times New Roman"/>
          <w:b w:val="0"/>
          <w:bCs/>
          <w:sz w:val="30"/>
          <w:szCs w:val="30"/>
          <w:shd w:val="clear" w:color="auto" w:fill="auto"/>
          <w:lang w:val="en-US" w:eastAsia="zh-CN"/>
        </w:rPr>
        <w:t>学</w:t>
      </w:r>
      <w:r>
        <w:rPr>
          <w:rFonts w:hint="default" w:ascii="Times New Roman" w:hAnsi="Times New Roman" w:eastAsia="方正仿宋_GBK" w:cs="Times New Roman"/>
          <w:b w:val="0"/>
          <w:bCs/>
          <w:sz w:val="30"/>
          <w:szCs w:val="30"/>
          <w:shd w:val="clear" w:color="auto" w:fill="auto"/>
          <w:lang w:eastAsia="zh-CN"/>
        </w:rPr>
        <w:t>士</w:t>
      </w:r>
    </w:p>
    <w:p w14:paraId="38039CE5">
      <w:pPr>
        <w:spacing w:line="480" w:lineRule="auto"/>
        <w:jc w:val="left"/>
        <w:rPr>
          <w:rFonts w:hint="default" w:ascii="Times New Roman" w:hAnsi="Times New Roman" w:eastAsia="方正仿宋_GBK" w:cs="Times New Roman"/>
          <w:b w:val="0"/>
          <w:bCs/>
          <w:sz w:val="32"/>
          <w:shd w:val="clear" w:color="auto" w:fill="auto"/>
          <w:lang w:val="en-US" w:eastAsia="zh-CN"/>
        </w:rPr>
      </w:pPr>
    </w:p>
    <w:p w14:paraId="351C601A">
      <w:pPr>
        <w:adjustRightInd w:val="0"/>
        <w:snapToGrid w:val="0"/>
        <w:spacing w:line="360" w:lineRule="auto"/>
        <w:rPr>
          <w:rFonts w:hint="default" w:ascii="Times New Roman" w:hAnsi="Times New Roman" w:eastAsia="仿宋" w:cs="Times New Roman"/>
          <w:color w:val="000000"/>
          <w:sz w:val="32"/>
          <w:szCs w:val="32"/>
          <w:shd w:val="clear" w:color="auto" w:fill="auto"/>
        </w:rPr>
      </w:pPr>
    </w:p>
    <w:p w14:paraId="729341BB">
      <w:pPr>
        <w:spacing w:line="480" w:lineRule="auto"/>
        <w:jc w:val="left"/>
        <w:rPr>
          <w:rFonts w:hint="default" w:ascii="Times New Roman" w:hAnsi="Times New Roman" w:eastAsia="方正仿宋_GBK" w:cs="Times New Roman"/>
          <w:b w:val="0"/>
          <w:bCs/>
          <w:sz w:val="32"/>
          <w:shd w:val="clear" w:color="auto" w:fill="auto"/>
          <w:lang w:eastAsia="zh-CN"/>
        </w:rPr>
      </w:pPr>
      <w:r>
        <w:rPr>
          <w:rFonts w:hint="default" w:ascii="Times New Roman" w:hAnsi="Times New Roman" w:eastAsia="方正仿宋_GBK" w:cs="Times New Roman"/>
          <w:b w:val="0"/>
          <w:bCs/>
          <w:sz w:val="32"/>
          <w:shd w:val="clear" w:color="auto" w:fill="auto"/>
          <w:lang w:eastAsia="zh-CN"/>
        </w:rPr>
        <w:t>制图：</w:t>
      </w:r>
    </w:p>
    <w:p w14:paraId="7B64AB4A">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eastAsia="zh-CN"/>
        </w:rPr>
        <w:t>王世杰，新疆科苑沙漠工程勘察设计院有限公司工程师，博士</w:t>
      </w:r>
    </w:p>
    <w:p w14:paraId="728042C5">
      <w:pPr>
        <w:spacing w:line="480" w:lineRule="auto"/>
        <w:jc w:val="left"/>
        <w:rPr>
          <w:rFonts w:hint="default" w:ascii="Times New Roman" w:hAnsi="Times New Roman" w:eastAsia="方正仿宋_GBK" w:cs="Times New Roman"/>
          <w:b w:val="0"/>
          <w:bCs/>
          <w:sz w:val="30"/>
          <w:szCs w:val="30"/>
          <w:shd w:val="clear" w:color="auto" w:fill="auto"/>
          <w:lang w:eastAsia="zh-CN"/>
        </w:rPr>
      </w:pPr>
      <w:r>
        <w:rPr>
          <w:rFonts w:hint="default" w:ascii="Times New Roman" w:hAnsi="Times New Roman" w:eastAsia="方正仿宋_GBK" w:cs="Times New Roman"/>
          <w:b w:val="0"/>
          <w:bCs/>
          <w:sz w:val="30"/>
          <w:szCs w:val="30"/>
          <w:shd w:val="clear" w:color="auto" w:fill="auto"/>
          <w:lang w:val="en-US" w:eastAsia="zh-CN"/>
        </w:rPr>
        <w:t>万小龙，</w:t>
      </w:r>
      <w:r>
        <w:rPr>
          <w:rFonts w:hint="default" w:ascii="Times New Roman" w:hAnsi="Times New Roman" w:eastAsia="方正仿宋_GBK" w:cs="Times New Roman"/>
          <w:b w:val="0"/>
          <w:bCs/>
          <w:sz w:val="30"/>
          <w:szCs w:val="30"/>
          <w:shd w:val="clear" w:color="auto" w:fill="auto"/>
          <w:lang w:eastAsia="zh-CN"/>
        </w:rPr>
        <w:t>新疆科苑沙漠工程勘察设计院有限公司工程师，</w:t>
      </w:r>
      <w:r>
        <w:rPr>
          <w:rFonts w:hint="default" w:ascii="Times New Roman" w:hAnsi="Times New Roman" w:eastAsia="方正仿宋_GBK" w:cs="Times New Roman"/>
          <w:b w:val="0"/>
          <w:bCs/>
          <w:sz w:val="30"/>
          <w:szCs w:val="30"/>
          <w:shd w:val="clear" w:color="auto" w:fill="auto"/>
          <w:lang w:val="en-US" w:eastAsia="zh-CN"/>
        </w:rPr>
        <w:t>学</w:t>
      </w:r>
      <w:r>
        <w:rPr>
          <w:rFonts w:hint="default" w:ascii="Times New Roman" w:hAnsi="Times New Roman" w:eastAsia="方正仿宋_GBK" w:cs="Times New Roman"/>
          <w:b w:val="0"/>
          <w:bCs/>
          <w:sz w:val="30"/>
          <w:szCs w:val="30"/>
          <w:shd w:val="clear" w:color="auto" w:fill="auto"/>
          <w:lang w:eastAsia="zh-CN"/>
        </w:rPr>
        <w:t>士</w:t>
      </w:r>
    </w:p>
    <w:p w14:paraId="2E490F94">
      <w:pPr>
        <w:spacing w:line="480" w:lineRule="auto"/>
        <w:jc w:val="left"/>
        <w:rPr>
          <w:rFonts w:hint="default" w:ascii="Times New Roman" w:hAnsi="Times New Roman" w:eastAsia="方正仿宋_GBK" w:cs="Times New Roman"/>
          <w:b w:val="0"/>
          <w:bCs/>
          <w:sz w:val="32"/>
          <w:shd w:val="clear" w:color="auto" w:fill="auto"/>
          <w:lang w:eastAsia="zh-CN"/>
        </w:rPr>
      </w:pPr>
    </w:p>
    <w:p w14:paraId="1C6EC661">
      <w:pPr>
        <w:spacing w:line="480" w:lineRule="auto"/>
        <w:jc w:val="left"/>
        <w:rPr>
          <w:rFonts w:hint="default" w:ascii="Times New Roman" w:hAnsi="Times New Roman" w:eastAsia="方正仿宋_GBK" w:cs="Times New Roman"/>
          <w:b w:val="0"/>
          <w:bCs/>
          <w:sz w:val="32"/>
          <w:shd w:val="clear" w:color="auto" w:fill="auto"/>
          <w:lang w:eastAsia="zh-CN"/>
        </w:rPr>
      </w:pPr>
    </w:p>
    <w:p w14:paraId="14351359">
      <w:pPr>
        <w:spacing w:line="480" w:lineRule="auto"/>
        <w:jc w:val="left"/>
        <w:rPr>
          <w:rFonts w:hint="default" w:ascii="Times New Roman" w:hAnsi="Times New Roman" w:eastAsia="方正仿宋_GBK" w:cs="Times New Roman"/>
          <w:b w:val="0"/>
          <w:bCs/>
          <w:sz w:val="32"/>
          <w:shd w:val="clear" w:color="auto" w:fill="auto"/>
          <w:lang w:eastAsia="zh-CN"/>
        </w:rPr>
      </w:pPr>
      <w:bookmarkStart w:id="22" w:name="_Toc381201939"/>
      <w:r>
        <w:rPr>
          <w:rFonts w:hint="default" w:ascii="Times New Roman" w:hAnsi="Times New Roman" w:eastAsia="方正仿宋_GBK" w:cs="Times New Roman"/>
          <w:b w:val="0"/>
          <w:bCs/>
          <w:sz w:val="32"/>
          <w:shd w:val="clear" w:color="auto" w:fill="auto"/>
          <w:lang w:eastAsia="zh-CN"/>
        </w:rPr>
        <w:t>项目审核：</w:t>
      </w:r>
      <w:bookmarkEnd w:id="22"/>
    </w:p>
    <w:p w14:paraId="0B479962">
      <w:pPr>
        <w:spacing w:line="480" w:lineRule="auto"/>
        <w:jc w:val="left"/>
        <w:rPr>
          <w:rFonts w:hint="default" w:ascii="Times New Roman" w:hAnsi="Times New Roman" w:eastAsia="方正仿宋_GBK" w:cs="Times New Roman"/>
          <w:b w:val="0"/>
          <w:bCs/>
          <w:sz w:val="30"/>
          <w:szCs w:val="30"/>
          <w:shd w:val="clear" w:color="auto" w:fill="auto"/>
          <w:lang w:eastAsia="zh-CN"/>
        </w:rPr>
      </w:pPr>
      <w:bookmarkStart w:id="23" w:name="_Toc2122"/>
      <w:r>
        <w:rPr>
          <w:rFonts w:hint="default" w:ascii="Times New Roman" w:hAnsi="Times New Roman" w:eastAsia="方正仿宋_GBK" w:cs="Times New Roman"/>
          <w:b w:val="0"/>
          <w:bCs/>
          <w:sz w:val="30"/>
          <w:szCs w:val="30"/>
          <w:shd w:val="clear" w:color="auto" w:fill="auto"/>
          <w:lang w:eastAsia="zh-CN"/>
        </w:rPr>
        <w:t>李生宇，新疆科苑沙漠工程勘察设计院有限公司研究员，博士</w:t>
      </w:r>
    </w:p>
    <w:p w14:paraId="104145E8">
      <w:pPr>
        <w:spacing w:line="480" w:lineRule="auto"/>
        <w:jc w:val="left"/>
        <w:rPr>
          <w:rFonts w:hint="default" w:ascii="Times New Roman" w:hAnsi="Times New Roman" w:eastAsia="方正仿宋_GBK" w:cs="Times New Roman"/>
          <w:b w:val="0"/>
          <w:bCs/>
          <w:sz w:val="30"/>
          <w:szCs w:val="30"/>
          <w:shd w:val="clear" w:color="auto" w:fill="auto"/>
          <w:lang w:eastAsia="zh-CN"/>
        </w:rPr>
      </w:pPr>
    </w:p>
    <w:p w14:paraId="767714E5">
      <w:pPr>
        <w:pStyle w:val="2"/>
        <w:pageBreakBefore w:val="0"/>
        <w:widowControl w:val="0"/>
        <w:numPr>
          <w:ilvl w:val="0"/>
          <w:numId w:val="0"/>
        </w:numPr>
        <w:kinsoku/>
        <w:wordWrap/>
        <w:topLinePunct w:val="0"/>
        <w:autoSpaceDE/>
        <w:autoSpaceDN/>
        <w:bidi w:val="0"/>
        <w:adjustRightInd/>
        <w:spacing w:before="312" w:beforeLines="100" w:beforeAutospacing="0" w:after="624" w:afterLines="200" w:afterAutospacing="0" w:line="590" w:lineRule="exact"/>
        <w:ind w:left="0" w:leftChars="0" w:right="0" w:rightChars="0" w:firstLine="0" w:firstLineChars="0"/>
        <w:jc w:val="center"/>
        <w:rPr>
          <w:rFonts w:hint="default" w:ascii="Times New Roman" w:hAnsi="Times New Roman" w:eastAsia="方正小标宋_GBK" w:cs="Times New Roman"/>
          <w:b w:val="0"/>
          <w:bCs w:val="0"/>
          <w:sz w:val="32"/>
          <w:szCs w:val="32"/>
          <w:shd w:val="clear" w:color="auto" w:fill="auto"/>
          <w:lang w:val="en-US" w:eastAsia="zh-CN" w:bidi="ar-SA"/>
        </w:rPr>
      </w:pPr>
      <w:bookmarkStart w:id="24" w:name="_Toc28467"/>
      <w:bookmarkStart w:id="25" w:name="_Toc11662"/>
      <w:bookmarkStart w:id="26" w:name="_Toc26260"/>
      <w:bookmarkStart w:id="27" w:name="_Toc32024"/>
      <w:r>
        <w:rPr>
          <w:rFonts w:hint="default" w:ascii="Times New Roman" w:hAnsi="Times New Roman" w:eastAsia="方正小标宋_GBK" w:cs="Times New Roman"/>
          <w:b w:val="0"/>
          <w:bCs w:val="0"/>
          <w:sz w:val="32"/>
          <w:szCs w:val="32"/>
          <w:shd w:val="clear" w:color="auto" w:fill="auto"/>
          <w:lang w:val="en-US" w:eastAsia="zh-CN" w:bidi="ar-SA"/>
        </w:rPr>
        <w:t>前  言</w:t>
      </w:r>
      <w:bookmarkEnd w:id="23"/>
      <w:bookmarkEnd w:id="24"/>
      <w:bookmarkEnd w:id="25"/>
      <w:bookmarkEnd w:id="26"/>
      <w:bookmarkEnd w:id="27"/>
    </w:p>
    <w:p w14:paraId="41F47E71">
      <w:pPr>
        <w:pStyle w:val="33"/>
        <w:keepNext w:val="0"/>
        <w:keepLines w:val="0"/>
        <w:pageBreakBefore w:val="0"/>
        <w:widowControl/>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en-US" w:eastAsia="zh-CN" w:bidi="ar-SA"/>
        </w:rPr>
      </w:pPr>
      <w:r>
        <w:rPr>
          <w:rFonts w:hint="default" w:ascii="Times New Roman" w:hAnsi="Times New Roman" w:eastAsia="方正仿宋_GBK" w:cs="Times New Roman"/>
          <w:kern w:val="2"/>
          <w:sz w:val="32"/>
          <w:szCs w:val="32"/>
          <w:shd w:val="clear" w:color="auto" w:fill="auto"/>
          <w:lang w:val="zh-CN" w:eastAsia="zh-CN" w:bidi="ar-SA"/>
        </w:rPr>
        <w:t>伊吾县隶属新疆维吾尔自治区哈密地区，位于新疆维吾尔自治区东北部，天山北麓东段，东北部与蒙古人民共和国交界，南部与哈密市隔山相望，西部与巴里坤哈萨克自治县相邻。</w:t>
      </w:r>
      <w:r>
        <w:rPr>
          <w:rFonts w:hint="default" w:ascii="Times New Roman" w:hAnsi="Times New Roman" w:eastAsia="方正仿宋_GBK" w:cs="Times New Roman"/>
          <w:kern w:val="2"/>
          <w:sz w:val="32"/>
          <w:szCs w:val="32"/>
          <w:shd w:val="clear" w:color="auto" w:fill="auto"/>
          <w:lang w:val="en-US" w:eastAsia="zh-CN" w:bidi="ar-SA"/>
        </w:rPr>
        <w:t>伊吾县沙化土地总面积127.57万公顷，约占哈密市沙漠化土地</w:t>
      </w:r>
      <w:r>
        <w:rPr>
          <w:rFonts w:hint="eastAsia" w:ascii="Times New Roman" w:hAnsi="Times New Roman" w:eastAsia="方正仿宋_GBK" w:cs="Times New Roman"/>
          <w:kern w:val="2"/>
          <w:sz w:val="32"/>
          <w:szCs w:val="32"/>
          <w:shd w:val="clear" w:color="auto" w:fill="auto"/>
          <w:lang w:val="en-US" w:eastAsia="zh-CN" w:bidi="ar-SA"/>
        </w:rPr>
        <w:t>的13.72%</w:t>
      </w:r>
      <w:r>
        <w:rPr>
          <w:rFonts w:hint="default" w:ascii="Times New Roman" w:hAnsi="Times New Roman" w:eastAsia="方正仿宋_GBK" w:cs="Times New Roman"/>
          <w:kern w:val="2"/>
          <w:sz w:val="32"/>
          <w:szCs w:val="32"/>
          <w:shd w:val="clear" w:color="auto" w:fill="auto"/>
          <w:lang w:val="en-US" w:eastAsia="zh-CN" w:bidi="ar-SA"/>
        </w:rPr>
        <w:t>，占伊吾县国土面积的</w:t>
      </w:r>
      <w:r>
        <w:rPr>
          <w:rFonts w:hint="eastAsia" w:ascii="Times New Roman" w:hAnsi="Times New Roman" w:eastAsia="方正仿宋_GBK" w:cs="Times New Roman"/>
          <w:kern w:val="2"/>
          <w:sz w:val="32"/>
          <w:szCs w:val="32"/>
          <w:shd w:val="clear" w:color="auto" w:fill="auto"/>
          <w:lang w:val="en-US" w:eastAsia="zh-CN" w:bidi="ar-SA"/>
        </w:rPr>
        <w:t>65.32</w:t>
      </w:r>
      <w:r>
        <w:rPr>
          <w:rFonts w:hint="default" w:ascii="Times New Roman" w:hAnsi="Times New Roman" w:eastAsia="方正仿宋_GBK" w:cs="Times New Roman"/>
          <w:kern w:val="2"/>
          <w:sz w:val="32"/>
          <w:szCs w:val="32"/>
          <w:shd w:val="clear" w:color="auto" w:fill="auto"/>
          <w:lang w:val="en-US" w:eastAsia="zh-CN" w:bidi="ar-SA"/>
        </w:rPr>
        <w:t>%。伊吾县是全疆受风沙危害较重区域，也是新疆防沙治沙的前沿区域。</w:t>
      </w:r>
      <w:r>
        <w:rPr>
          <w:rFonts w:hint="default" w:ascii="Times New Roman" w:hAnsi="Times New Roman" w:eastAsia="方正仿宋_GBK" w:cs="Times New Roman"/>
          <w:snapToGrid w:val="0"/>
          <w:spacing w:val="6"/>
          <w:kern w:val="0"/>
          <w:sz w:val="32"/>
          <w:szCs w:val="32"/>
          <w:shd w:val="clear" w:color="auto" w:fill="auto"/>
          <w:lang w:val="en-US" w:eastAsia="zh-CN" w:bidi="ar-SA"/>
        </w:rPr>
        <w:t>做好防沙治沙工作，做好保护和开发有效结合，既能保护好当地的生态环境</w:t>
      </w:r>
      <w:r>
        <w:rPr>
          <w:rFonts w:hint="eastAsia" w:ascii="Times New Roman" w:hAnsi="Times New Roman" w:eastAsia="方正仿宋_GBK" w:cs="Times New Roman"/>
          <w:snapToGrid w:val="0"/>
          <w:spacing w:val="6"/>
          <w:kern w:val="0"/>
          <w:sz w:val="32"/>
          <w:szCs w:val="32"/>
          <w:shd w:val="clear" w:color="auto" w:fill="auto"/>
          <w:lang w:val="en-US" w:eastAsia="zh-CN" w:bidi="ar-SA"/>
        </w:rPr>
        <w:t>，也能有</w:t>
      </w:r>
      <w:r>
        <w:rPr>
          <w:rFonts w:hint="default" w:ascii="Times New Roman" w:hAnsi="Times New Roman" w:eastAsia="方正仿宋_GBK" w:cs="Times New Roman"/>
          <w:snapToGrid w:val="0"/>
          <w:spacing w:val="6"/>
          <w:kern w:val="0"/>
          <w:sz w:val="32"/>
          <w:szCs w:val="32"/>
          <w:shd w:val="clear" w:color="auto" w:fill="auto"/>
          <w:lang w:val="en-US" w:eastAsia="zh-CN" w:bidi="ar-SA"/>
        </w:rPr>
        <w:t>效</w:t>
      </w:r>
      <w:r>
        <w:rPr>
          <w:rFonts w:hint="eastAsia" w:ascii="Times New Roman" w:hAnsi="Times New Roman" w:eastAsia="方正仿宋_GBK" w:cs="Times New Roman"/>
          <w:snapToGrid w:val="0"/>
          <w:spacing w:val="6"/>
          <w:kern w:val="0"/>
          <w:sz w:val="32"/>
          <w:szCs w:val="32"/>
          <w:shd w:val="clear" w:color="auto" w:fill="auto"/>
          <w:lang w:val="en-US" w:eastAsia="zh-CN" w:bidi="ar-SA"/>
        </w:rPr>
        <w:t>地</w:t>
      </w:r>
      <w:r>
        <w:rPr>
          <w:rFonts w:hint="default" w:ascii="Times New Roman" w:hAnsi="Times New Roman" w:eastAsia="方正仿宋_GBK" w:cs="Times New Roman"/>
          <w:snapToGrid w:val="0"/>
          <w:spacing w:val="6"/>
          <w:kern w:val="0"/>
          <w:sz w:val="32"/>
          <w:szCs w:val="32"/>
          <w:shd w:val="clear" w:color="auto" w:fill="auto"/>
          <w:lang w:val="en-US" w:eastAsia="zh-CN" w:bidi="ar-SA"/>
        </w:rPr>
        <w:t>防治区域沙尘，能够为伊吾县生态治理带来防沙治沙发展新机遇。</w:t>
      </w:r>
    </w:p>
    <w:p w14:paraId="390CA3D8">
      <w:pPr>
        <w:keepNext w:val="0"/>
        <w:keepLines w:val="0"/>
        <w:pageBreakBefore w:val="0"/>
        <w:widowControl w:val="0"/>
        <w:kinsoku/>
        <w:wordWrap/>
        <w:overflowPunct/>
        <w:topLinePunct w:val="0"/>
        <w:autoSpaceDE/>
        <w:autoSpaceDN/>
        <w:bidi w:val="0"/>
        <w:adjustRightInd/>
        <w:snapToGrid/>
        <w:spacing w:line="590" w:lineRule="exact"/>
        <w:ind w:firstLine="480" w:firstLineChars="150"/>
        <w:jc w:val="both"/>
        <w:textAlignment w:val="auto"/>
        <w:rPr>
          <w:rFonts w:hint="default" w:ascii="Times New Roman" w:hAnsi="Times New Roman" w:eastAsia="方正仿宋_GBK" w:cs="Times New Roman"/>
          <w:kern w:val="2"/>
          <w:sz w:val="32"/>
          <w:szCs w:val="32"/>
          <w:shd w:val="clear" w:color="auto" w:fill="auto"/>
          <w:lang w:val="en-US" w:eastAsia="zh-CN" w:bidi="ar-SA"/>
        </w:rPr>
      </w:pPr>
      <w:r>
        <w:rPr>
          <w:rFonts w:hint="default" w:ascii="Times New Roman" w:hAnsi="Times New Roman" w:eastAsia="方正仿宋_GBK" w:cs="Times New Roman"/>
          <w:kern w:val="2"/>
          <w:sz w:val="32"/>
          <w:szCs w:val="32"/>
          <w:shd w:val="clear" w:color="auto" w:fill="auto"/>
          <w:lang w:val="en-US" w:eastAsia="zh-CN" w:bidi="ar-SA"/>
        </w:rPr>
        <w:t>为进一步推进伊吾县防沙治沙工作，开展科学防沙治沙</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en-US" w:eastAsia="zh-CN" w:bidi="ar-SA"/>
        </w:rPr>
        <w:t>伊吾县启动《</w:t>
      </w:r>
      <w:r>
        <w:rPr>
          <w:rFonts w:hint="eastAsia" w:ascii="Times New Roman" w:hAnsi="Times New Roman" w:eastAsia="方正仿宋_GBK" w:cs="Times New Roman"/>
          <w:kern w:val="2"/>
          <w:sz w:val="32"/>
          <w:szCs w:val="32"/>
          <w:shd w:val="clear" w:color="auto" w:fill="auto"/>
          <w:lang w:val="en-US" w:eastAsia="zh-CN" w:bidi="ar-SA"/>
        </w:rPr>
        <w:t>伊吾县防沙治沙实施方案</w:t>
      </w:r>
      <w:r>
        <w:rPr>
          <w:rFonts w:hint="default" w:ascii="Times New Roman" w:hAnsi="Times New Roman" w:eastAsia="方正仿宋_GBK" w:cs="Times New Roman"/>
          <w:kern w:val="2"/>
          <w:sz w:val="32"/>
          <w:szCs w:val="32"/>
          <w:shd w:val="clear" w:color="auto" w:fill="auto"/>
          <w:lang w:val="en-US" w:eastAsia="zh-CN" w:bidi="ar-SA"/>
        </w:rPr>
        <w:t>（202</w:t>
      </w:r>
      <w:r>
        <w:rPr>
          <w:rFonts w:hint="eastAsia" w:ascii="Times New Roman" w:hAnsi="Times New Roman" w:eastAsia="方正仿宋_GBK" w:cs="Times New Roman"/>
          <w:kern w:val="2"/>
          <w:sz w:val="32"/>
          <w:szCs w:val="32"/>
          <w:shd w:val="clear" w:color="auto" w:fill="auto"/>
          <w:lang w:val="en-US" w:eastAsia="zh-CN" w:bidi="ar-SA"/>
        </w:rPr>
        <w:t>6</w:t>
      </w:r>
      <w:r>
        <w:rPr>
          <w:rFonts w:hint="default" w:ascii="Times New Roman" w:hAnsi="Times New Roman" w:eastAsia="方正仿宋_GBK" w:cs="Times New Roman"/>
          <w:kern w:val="2"/>
          <w:sz w:val="32"/>
          <w:szCs w:val="32"/>
          <w:shd w:val="clear" w:color="auto" w:fill="auto"/>
          <w:lang w:val="en-US" w:eastAsia="zh-CN" w:bidi="ar-SA"/>
        </w:rPr>
        <w:t>—2030年）》（以下简称《规划》）编制工作。《规划》以《中华人民共和国防沙治沙法》、《全国防沙治沙规划（2021—2030年）》为指南，与《新疆维吾尔自治区防沙治沙规划（2021—2030年）》、《哈密市防沙治沙规划（2021—2030年）》、《哈密市三北六期工程规划（2021—2030年）》进行了衔接。</w:t>
      </w:r>
    </w:p>
    <w:p w14:paraId="78E101DF">
      <w:pPr>
        <w:keepNext w:val="0"/>
        <w:keepLines w:val="0"/>
        <w:pageBreakBefore w:val="0"/>
        <w:widowControl w:val="0"/>
        <w:kinsoku/>
        <w:wordWrap/>
        <w:overflowPunct/>
        <w:topLinePunct w:val="0"/>
        <w:autoSpaceDE/>
        <w:autoSpaceDN/>
        <w:bidi w:val="0"/>
        <w:adjustRightInd/>
        <w:snapToGrid/>
        <w:spacing w:line="590" w:lineRule="exact"/>
        <w:ind w:firstLine="480" w:firstLineChars="150"/>
        <w:jc w:val="both"/>
        <w:textAlignment w:val="auto"/>
        <w:rPr>
          <w:rFonts w:hint="default" w:ascii="Times New Roman" w:hAnsi="Times New Roman" w:eastAsia="方正仿宋_GBK" w:cs="Times New Roman"/>
          <w:kern w:val="2"/>
          <w:sz w:val="32"/>
          <w:szCs w:val="32"/>
          <w:shd w:val="clear" w:color="auto" w:fill="auto"/>
          <w:lang w:val="en-US" w:eastAsia="zh-CN" w:bidi="ar-SA"/>
        </w:rPr>
      </w:pPr>
      <w:r>
        <w:rPr>
          <w:rFonts w:hint="default" w:ascii="Times New Roman" w:hAnsi="Times New Roman" w:eastAsia="方正仿宋_GBK" w:cs="Times New Roman"/>
          <w:kern w:val="2"/>
          <w:sz w:val="32"/>
          <w:szCs w:val="32"/>
          <w:shd w:val="clear" w:color="auto" w:fill="auto"/>
          <w:lang w:val="en-US" w:eastAsia="zh-CN" w:bidi="ar-SA"/>
        </w:rPr>
        <w:t>伊吾县林业和草原局规划编制项目组认真总结了“十三五”期间防沙治沙工作取得的成效，</w:t>
      </w:r>
      <w:r>
        <w:rPr>
          <w:rFonts w:hint="eastAsia" w:ascii="Times New Roman" w:hAnsi="Times New Roman" w:eastAsia="方正仿宋_GBK" w:cs="Times New Roman"/>
          <w:kern w:val="2"/>
          <w:sz w:val="32"/>
          <w:szCs w:val="32"/>
          <w:shd w:val="clear" w:color="auto" w:fill="auto"/>
          <w:lang w:val="en-US" w:eastAsia="zh-CN" w:bidi="ar-SA"/>
        </w:rPr>
        <w:t>并</w:t>
      </w:r>
      <w:r>
        <w:rPr>
          <w:rFonts w:hint="default" w:ascii="Times New Roman" w:hAnsi="Times New Roman" w:eastAsia="方正仿宋_GBK" w:cs="Times New Roman"/>
          <w:kern w:val="2"/>
          <w:sz w:val="32"/>
          <w:szCs w:val="32"/>
          <w:shd w:val="clear" w:color="auto" w:fill="auto"/>
          <w:lang w:val="en-US" w:eastAsia="zh-CN" w:bidi="ar-SA"/>
        </w:rPr>
        <w:t>分析了存在的问题。通过收集资料、开展现地调查、调研座谈等方法，科学分析防沙治沙形势，统筹区域经济发展、社会民生、生态保护等协调发展。坚持宜林则林、宜草则草、宜荒则荒、宜沙则沙，科学推进荒漠化综合治理。以自然恢复为主，促进荒漠植被恢复，保护修复荒漠生态系统。</w:t>
      </w:r>
    </w:p>
    <w:p w14:paraId="0FFA9859">
      <w:pPr>
        <w:keepNext w:val="0"/>
        <w:keepLines w:val="0"/>
        <w:pageBreakBefore w:val="0"/>
        <w:widowControl w:val="0"/>
        <w:kinsoku/>
        <w:wordWrap/>
        <w:overflowPunct/>
        <w:topLinePunct w:val="0"/>
        <w:autoSpaceDE/>
        <w:autoSpaceDN/>
        <w:bidi w:val="0"/>
        <w:adjustRightInd/>
        <w:snapToGrid/>
        <w:spacing w:line="590" w:lineRule="exact"/>
        <w:ind w:firstLine="480" w:firstLineChars="150"/>
        <w:jc w:val="both"/>
        <w:textAlignment w:val="auto"/>
        <w:rPr>
          <w:rFonts w:hint="default" w:ascii="Times New Roman" w:hAnsi="Times New Roman" w:eastAsia="方正仿宋_GBK" w:cs="Times New Roman"/>
          <w:color w:val="000000"/>
          <w:kern w:val="0"/>
          <w:sz w:val="32"/>
          <w:szCs w:val="32"/>
          <w:shd w:val="clear" w:color="auto" w:fill="auto"/>
          <w:lang w:val="en-US" w:eastAsia="zh-CN" w:bidi="ar"/>
        </w:rPr>
      </w:pPr>
      <w:r>
        <w:rPr>
          <w:rFonts w:hint="default" w:ascii="Times New Roman" w:hAnsi="Times New Roman" w:eastAsia="方正仿宋_GBK" w:cs="Times New Roman"/>
          <w:kern w:val="2"/>
          <w:sz w:val="32"/>
          <w:szCs w:val="32"/>
          <w:shd w:val="clear" w:color="auto" w:fill="auto"/>
          <w:lang w:val="en-US" w:eastAsia="zh-CN" w:bidi="ar-SA"/>
        </w:rPr>
        <w:t>围绕“生态建设产业化、产业发展生态化”思路，以防沙治沙为主攻方向，以生态治理、绿色发展为建设目标，以产业发展推动防沙治沙，实现防沙治沙的可持续发展。本规划立足伊吾县特有的环境资源条件，对沙化土地进行保</w:t>
      </w:r>
      <w:r>
        <w:rPr>
          <w:rFonts w:hint="default" w:ascii="Times New Roman" w:hAnsi="Times New Roman" w:eastAsia="方正仿宋_GBK" w:cs="Times New Roman"/>
          <w:color w:val="auto"/>
          <w:kern w:val="2"/>
          <w:sz w:val="32"/>
          <w:szCs w:val="32"/>
          <w:shd w:val="clear" w:color="auto" w:fill="auto"/>
          <w:lang w:val="en-US" w:eastAsia="zh-CN" w:bidi="ar-SA"/>
        </w:rPr>
        <w:t>护</w:t>
      </w:r>
      <w:r>
        <w:rPr>
          <w:rFonts w:hint="eastAsia" w:ascii="Times New Roman" w:hAnsi="Times New Roman" w:eastAsia="方正仿宋_GBK" w:cs="Times New Roman"/>
          <w:color w:val="auto"/>
          <w:kern w:val="2"/>
          <w:sz w:val="32"/>
          <w:szCs w:val="32"/>
          <w:shd w:val="clear" w:color="auto" w:fill="auto"/>
          <w:lang w:val="en-US" w:eastAsia="zh-CN" w:bidi="ar-SA"/>
        </w:rPr>
        <w:t>性</w:t>
      </w:r>
      <w:r>
        <w:rPr>
          <w:rFonts w:hint="default" w:ascii="Times New Roman" w:hAnsi="Times New Roman" w:eastAsia="方正仿宋_GBK" w:cs="Times New Roman"/>
          <w:color w:val="auto"/>
          <w:kern w:val="2"/>
          <w:sz w:val="32"/>
          <w:szCs w:val="32"/>
          <w:shd w:val="clear" w:color="auto" w:fill="auto"/>
          <w:lang w:val="en-US" w:eastAsia="zh-CN" w:bidi="ar-SA"/>
        </w:rPr>
        <w:t>开发利用。采取以绿洲为中心、内治外防的防沙治沙战略，因</w:t>
      </w:r>
      <w:r>
        <w:rPr>
          <w:rFonts w:hint="default" w:ascii="Times New Roman" w:hAnsi="Times New Roman" w:eastAsia="方正仿宋_GBK" w:cs="Times New Roman"/>
          <w:kern w:val="2"/>
          <w:sz w:val="32"/>
          <w:szCs w:val="32"/>
          <w:shd w:val="clear" w:color="auto" w:fill="auto"/>
          <w:lang w:val="en-US" w:eastAsia="zh-CN" w:bidi="ar-SA"/>
        </w:rPr>
        <w:t>地施策，实施国土绿化、退化林修复、草原改良、沙产业等治理措施，最终形成“一区两带多基地”的总体布局。《规划》各项工程的实施，必将推进伊吾县新时代防沙治沙的高质量发展，实现生态效益、经济效益与社会效益多赢局面。规划期限为</w:t>
      </w:r>
      <w:r>
        <w:rPr>
          <w:rFonts w:hint="eastAsia" w:ascii="Times New Roman" w:hAnsi="Times New Roman" w:eastAsia="方正仿宋_GBK" w:cs="Times New Roman"/>
          <w:kern w:val="2"/>
          <w:sz w:val="32"/>
          <w:szCs w:val="32"/>
          <w:shd w:val="clear" w:color="auto" w:fill="auto"/>
          <w:lang w:val="en-US" w:eastAsia="zh-CN" w:bidi="ar-SA"/>
        </w:rPr>
        <w:t>2026-2030年</w:t>
      </w:r>
      <w:r>
        <w:rPr>
          <w:rFonts w:hint="default" w:ascii="Times New Roman" w:hAnsi="Times New Roman" w:eastAsia="方正仿宋_GBK" w:cs="Times New Roman"/>
          <w:kern w:val="2"/>
          <w:sz w:val="32"/>
          <w:szCs w:val="32"/>
          <w:shd w:val="clear" w:color="auto" w:fill="auto"/>
          <w:lang w:val="en-US" w:eastAsia="zh-CN" w:bidi="ar-SA"/>
        </w:rPr>
        <w:t>。</w:t>
      </w:r>
    </w:p>
    <w:p w14:paraId="52E7AEDE">
      <w:pPr>
        <w:rPr>
          <w:rFonts w:hint="default" w:ascii="Times New Roman" w:hAnsi="Times New Roman" w:cs="Times New Roman"/>
          <w:shd w:val="clear" w:color="auto" w:fill="auto"/>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default" w:ascii="Times New Roman" w:hAnsi="Times New Roman" w:cs="Times New Roman"/>
          <w:shd w:val="clear" w:color="auto" w:fill="auto"/>
          <w:lang w:val="en-US" w:eastAsia="zh-CN"/>
        </w:rPr>
        <w:br w:type="page"/>
      </w:r>
    </w:p>
    <w:sdt>
      <w:sdtPr>
        <w:rPr>
          <w:rFonts w:ascii="宋体" w:hAnsi="宋体" w:eastAsia="宋体" w:cstheme="minorBidi"/>
          <w:kern w:val="0"/>
          <w:sz w:val="21"/>
          <w:szCs w:val="24"/>
          <w:lang w:val="en-US" w:eastAsia="zh-CN" w:bidi="ar"/>
        </w:rPr>
        <w:id w:val="147469110"/>
        <w15:color w:val="DBDBDB"/>
        <w:docPartObj>
          <w:docPartGallery w:val="Table of Contents"/>
          <w:docPartUnique/>
        </w:docPartObj>
      </w:sdtPr>
      <w:sdtEndPr>
        <w:rPr>
          <w:rFonts w:hint="default" w:ascii="宋体" w:hAnsi="宋体" w:eastAsia="宋体" w:cstheme="minorBidi"/>
          <w:kern w:val="0"/>
          <w:sz w:val="32"/>
          <w:szCs w:val="32"/>
          <w:lang w:val="en-US" w:eastAsia="zh-CN" w:bidi="ar"/>
        </w:rPr>
      </w:sdtEndPr>
      <w:sdtContent>
        <w:p w14:paraId="524C74EE">
          <w:pPr>
            <w:spacing w:before="0" w:beforeLines="0" w:after="0" w:afterLines="0" w:line="240" w:lineRule="auto"/>
            <w:ind w:left="0" w:leftChars="0" w:right="0" w:rightChars="0" w:firstLine="0" w:firstLineChars="0"/>
            <w:jc w:val="center"/>
          </w:pPr>
          <w:r>
            <w:rPr>
              <w:rFonts w:hint="default" w:ascii="Times New Roman" w:hAnsi="Times New Roman" w:eastAsia="方正仿宋_GBK" w:cs="Times New Roman"/>
              <w:b/>
              <w:bCs/>
              <w:kern w:val="2"/>
              <w:sz w:val="40"/>
              <w:szCs w:val="40"/>
              <w:lang w:bidi="ar-SA"/>
            </w:rPr>
            <w:t>目录</w:t>
          </w:r>
        </w:p>
        <w:p w14:paraId="52BE7483">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TOC \o "1-3" \h \u </w:instrText>
          </w:r>
          <w:r>
            <w:rPr>
              <w:rFonts w:hint="eastAsia" w:ascii="方正仿宋_GB2312" w:hAnsi="方正仿宋_GB2312" w:eastAsia="方正仿宋_GB2312" w:cs="方正仿宋_GB2312"/>
              <w:sz w:val="32"/>
              <w:szCs w:val="32"/>
            </w:rPr>
            <w:fldChar w:fldCharType="separate"/>
          </w:r>
        </w:p>
        <w:p w14:paraId="65E729CC">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_Toc7175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第一章 规划区概况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_Toc7175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2B48347F">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_Toc14210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一、地理区位</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_Toc14210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467F568B">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_Toc927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二、自然地理概况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_Toc927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1CC778E">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_Toc4296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三、经济社会概况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_Toc4296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8DAF28C">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_Toc4015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fill="auto"/>
              <w:lang w:val="en-US" w:eastAsia="zh-CN" w:bidi="ar-SA"/>
            </w:rPr>
            <w:t>四、</w:t>
          </w:r>
          <w:r>
            <w:rPr>
              <w:rFonts w:hint="eastAsia" w:ascii="方正仿宋_GB2312" w:hAnsi="方正仿宋_GB2312" w:eastAsia="方正仿宋_GB2312" w:cs="方正仿宋_GB2312"/>
              <w:bCs w:val="0"/>
              <w:kern w:val="2"/>
              <w:szCs w:val="32"/>
              <w:shd w:val="clear" w:color="auto" w:fill="auto"/>
              <w:lang w:val="en-US" w:eastAsia="zh-CN" w:bidi="ar-SA"/>
            </w:rPr>
            <w:t>伊吾县资源情况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_Toc4015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6255828">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_Toc19320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第二章 防沙治沙现状、成效和形势</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_Toc19320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135A8129">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_Toc15714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一、伊吾县土地沙漠化现状</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_Toc15714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2B7C5F35">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_Toc25706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二、伊吾县沙漠化治理成效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_Toc25706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58457F6A">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_Toc19507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三、伊吾县防沙治沙面临的形势</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_Toc19507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2698306">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_Toc43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四、防沙治沙工作存在的问题</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497E727F">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_Toc31647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第三章 规划总体思路</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_Toc31647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20</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0B4F1AA4">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_Toc11774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一、指导思想</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_Toc11774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20</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4E65165">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_Toc3344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二、基本原则</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_Toc3344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20</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FC45F9D">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_Toc6819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三、规划依据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_Toc6819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58A6C220">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_Toc776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四、目标任务</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_Toc776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59536733">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_Toc5162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第四章 规划布局</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_Toc5162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51BA3BB5">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_Toc15217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一、规划布局</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_Toc15217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12A329BA">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_Toc20737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二、规划治理区</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_Toc20737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30</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86BF5A5">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_Toc2389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第五章 建设内容与规模</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_Toc2389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165E8C41">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_Toc12840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一、国土绿化提升工程</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_Toc12840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930563C">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_Toc6969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fill="auto"/>
              <w:lang w:val="en-US" w:eastAsia="zh-CN" w:bidi="ar-SA"/>
            </w:rPr>
            <w:t>二、</w:t>
          </w:r>
          <w:r>
            <w:rPr>
              <w:rFonts w:hint="eastAsia" w:ascii="方正仿宋_GB2312" w:hAnsi="方正仿宋_GB2312" w:eastAsia="方正仿宋_GB2312" w:cs="方正仿宋_GB2312"/>
              <w:bCs w:val="0"/>
              <w:kern w:val="2"/>
              <w:szCs w:val="32"/>
              <w:shd w:val="clear" w:color="auto" w:fill="auto"/>
              <w:lang w:val="en-US" w:eastAsia="zh-CN" w:bidi="ar-SA"/>
            </w:rPr>
            <w:t>退化草原治理工程</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_Toc6969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7B90C972">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_Toc3962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fill="auto"/>
              <w:lang w:val="en-US" w:eastAsia="zh-CN" w:bidi="ar-SA"/>
            </w:rPr>
            <w:t>三、</w:t>
          </w:r>
          <w:r>
            <w:rPr>
              <w:rFonts w:hint="eastAsia" w:ascii="方正仿宋_GB2312" w:hAnsi="方正仿宋_GB2312" w:eastAsia="方正仿宋_GB2312" w:cs="方正仿宋_GB2312"/>
              <w:bCs w:val="0"/>
              <w:kern w:val="2"/>
              <w:szCs w:val="32"/>
              <w:shd w:val="clear" w:color="auto" w:fill="auto"/>
              <w:lang w:val="en-US" w:eastAsia="zh-CN" w:bidi="ar-SA"/>
            </w:rPr>
            <w:t>特色沙产业</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_Toc3962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1342333B">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_Toc29868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trike w:val="0"/>
              <w:dstrike w:val="0"/>
              <w:kern w:val="2"/>
              <w:szCs w:val="32"/>
              <w:shd w:val="clear" w:fill="auto"/>
              <w:lang w:val="en-US" w:eastAsia="zh-CN" w:bidi="ar-SA"/>
            </w:rPr>
            <w:t>四、</w:t>
          </w:r>
          <w:r>
            <w:rPr>
              <w:rFonts w:hint="eastAsia" w:ascii="方正仿宋_GB2312" w:hAnsi="方正仿宋_GB2312" w:eastAsia="方正仿宋_GB2312" w:cs="方正仿宋_GB2312"/>
              <w:bCs w:val="0"/>
              <w:strike w:val="0"/>
              <w:dstrike w:val="0"/>
              <w:kern w:val="2"/>
              <w:szCs w:val="32"/>
              <w:shd w:val="clear" w:color="auto" w:fill="auto"/>
              <w:lang w:val="en-US" w:eastAsia="zh-CN" w:bidi="ar-SA"/>
            </w:rPr>
            <w:t>矿山生态修复</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_Toc29868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0678A0B8">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_Toc5745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五、国家沙漠公园建设</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_Toc5745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61D180F">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_Toc31349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六、加强沙化土地监测体系建设</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_Toc31349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1667BA06">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_Toc27682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第六章 水资源平衡分析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_Toc27682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839AA13">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_Toc4323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一、计算依据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_Toc4323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AFAF007">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_Toc31862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二、规划年可供水资源总量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_Toc31862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0A4C2D7E">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_Toc5797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fill="auto"/>
              <w:lang w:val="en-US" w:eastAsia="zh-CN" w:bidi="ar-SA"/>
            </w:rPr>
            <w:t>三、</w:t>
          </w:r>
          <w:r>
            <w:rPr>
              <w:rFonts w:hint="eastAsia" w:ascii="方正仿宋_GB2312" w:hAnsi="方正仿宋_GB2312" w:eastAsia="方正仿宋_GB2312" w:cs="方正仿宋_GB2312"/>
              <w:bCs w:val="0"/>
              <w:kern w:val="2"/>
              <w:szCs w:val="32"/>
              <w:shd w:val="clear" w:color="auto" w:fill="auto"/>
              <w:lang w:val="en-US" w:eastAsia="zh-CN" w:bidi="ar-SA"/>
            </w:rPr>
            <w:t>规划新增工程需水量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_Toc5797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45EFCC7A">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_Toc12817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fill="auto"/>
              <w:lang w:val="en-US" w:eastAsia="zh-CN" w:bidi="ar-SA"/>
            </w:rPr>
            <w:t>四、</w:t>
          </w:r>
          <w:r>
            <w:rPr>
              <w:rFonts w:hint="eastAsia" w:ascii="方正仿宋_GB2312" w:hAnsi="方正仿宋_GB2312" w:eastAsia="方正仿宋_GB2312" w:cs="方正仿宋_GB2312"/>
              <w:bCs w:val="0"/>
              <w:kern w:val="2"/>
              <w:szCs w:val="32"/>
              <w:shd w:val="clear" w:color="auto" w:fill="auto"/>
              <w:lang w:val="en-US" w:eastAsia="zh-CN" w:bidi="ar-SA"/>
            </w:rPr>
            <w:t>水资源供需平衡分析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_Toc12817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E548369">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_Toc24536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fill="auto"/>
              <w:lang w:val="en-US" w:eastAsia="zh-CN"/>
            </w:rPr>
            <w:t xml:space="preserve">第七章 </w:t>
          </w:r>
          <w:r>
            <w:rPr>
              <w:rFonts w:hint="eastAsia" w:ascii="方正仿宋_GB2312" w:hAnsi="方正仿宋_GB2312" w:eastAsia="方正仿宋_GB2312" w:cs="方正仿宋_GB2312"/>
              <w:bCs w:val="0"/>
              <w:shd w:val="clear" w:color="auto" w:fill="auto"/>
              <w:lang w:val="en-US" w:eastAsia="zh-CN"/>
            </w:rPr>
            <w:t>投资估算</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_Toc24536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0002FF76">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_Toc23694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一、估算依据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_Toc23694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9A2E16E">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_Toc438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二、投资估算说明</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_Toc438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CBB74B7">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_Toc30736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三、投资估算</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_Toc30736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165050A8">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_Toc31870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四、投资规模及资金来源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_Toc31870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50</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24557F2D">
          <w:pPr>
            <w:pStyle w:val="10"/>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_Toc11760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shd w:val="clear" w:color="auto" w:fill="auto"/>
              <w:lang w:val="en-US" w:eastAsia="zh-CN"/>
            </w:rPr>
            <w:t>第八章 保障措施</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_Toc11760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1A126AE">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_Toc15826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一、强化组织保障</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_Toc15826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5136C841">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_Toc16437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二、强化制度建设</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_Toc16437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67D4892D">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_Toc1766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三、强化资金保障</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_Toc1766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74798CA8">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_Toc23933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四、强化资源要素保障</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_Toc23933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28A45719">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_Toc23849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五、强化科技支撑</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_Toc23849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F3D852C">
          <w:pPr>
            <w:pStyle w:val="11"/>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_Toc2430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bCs w:val="0"/>
              <w:kern w:val="2"/>
              <w:szCs w:val="32"/>
              <w:shd w:val="clear" w:color="auto" w:fill="auto"/>
              <w:lang w:val="en-US" w:eastAsia="zh-CN" w:bidi="ar-SA"/>
            </w:rPr>
            <w:t>六、加强宣传教育</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_Toc2430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53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zCs w:val="32"/>
            </w:rPr>
            <w:fldChar w:fldCharType="end"/>
          </w:r>
        </w:p>
        <w:p w14:paraId="3F559495">
          <w:pPr>
            <w:pStyle w:val="10"/>
            <w:tabs>
              <w:tab w:val="right" w:leader="dot" w:pos="8306"/>
            </w:tabs>
            <w:jc w:val="both"/>
            <w:rPr>
              <w:rFonts w:hint="eastAsia" w:ascii="方正仿宋_GB2312" w:hAnsi="方正仿宋_GB2312" w:eastAsia="方正仿宋_GB2312" w:cs="方正仿宋_GB2312"/>
              <w:b/>
              <w:bCs/>
              <w:szCs w:val="32"/>
              <w:lang w:val="en-US" w:eastAsia="zh-CN"/>
            </w:rPr>
          </w:pPr>
          <w:r>
            <w:rPr>
              <w:rFonts w:hint="eastAsia" w:ascii="方正仿宋_GB2312" w:hAnsi="方正仿宋_GB2312" w:eastAsia="方正仿宋_GB2312" w:cs="方正仿宋_GB2312"/>
              <w:b/>
              <w:bCs/>
              <w:szCs w:val="32"/>
              <w:lang w:val="en-US" w:eastAsia="zh-CN"/>
            </w:rPr>
            <w:t>附表：</w:t>
          </w:r>
        </w:p>
        <w:p w14:paraId="22025D89">
          <w:pPr>
            <w:pStyle w:val="10"/>
            <w:tabs>
              <w:tab w:val="right" w:leader="dot" w:pos="8306"/>
            </w:tabs>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_Toc8543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kern w:val="0"/>
              <w:szCs w:val="31"/>
              <w:shd w:val="clear" w:color="auto" w:fill="auto"/>
              <w:lang w:val="en-US" w:eastAsia="zh-CN" w:bidi="ar"/>
            </w:rPr>
            <w:t xml:space="preserve">附表1 </w:t>
          </w:r>
          <w:r>
            <w:rPr>
              <w:rFonts w:hint="eastAsia" w:ascii="方正仿宋_GB2312" w:hAnsi="方正仿宋_GB2312" w:eastAsia="方正仿宋_GB2312" w:cs="方正仿宋_GB2312"/>
              <w:kern w:val="0"/>
              <w:szCs w:val="32"/>
              <w:highlight w:val="none"/>
              <w:shd w:val="clear" w:color="auto" w:fill="auto"/>
              <w:lang w:val="en-US" w:eastAsia="zh-CN" w:bidi="ar"/>
            </w:rPr>
            <w:t>伊吾县防沙治沙建设内容与规模表</w:t>
          </w:r>
          <w:r>
            <w:rPr>
              <w:rFonts w:hint="eastAsia" w:ascii="方正仿宋_GB2312" w:hAnsi="方正仿宋_GB2312" w:eastAsia="方正仿宋_GB2312" w:cs="方正仿宋_GB2312"/>
              <w:szCs w:val="32"/>
            </w:rPr>
            <w:fldChar w:fldCharType="end"/>
          </w:r>
        </w:p>
        <w:p w14:paraId="7A1264F3">
          <w:pPr>
            <w:pStyle w:val="10"/>
            <w:tabs>
              <w:tab w:val="right" w:leader="dot" w:pos="8306"/>
            </w:tabs>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_Toc19722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kern w:val="0"/>
              <w:szCs w:val="31"/>
              <w:shd w:val="clear" w:color="auto" w:fill="auto"/>
              <w:lang w:val="en-US" w:eastAsia="zh-CN" w:bidi="ar"/>
            </w:rPr>
            <w:t xml:space="preserve">附表2 </w:t>
          </w:r>
          <w:r>
            <w:rPr>
              <w:rFonts w:hint="eastAsia" w:ascii="方正仿宋_GB2312" w:hAnsi="方正仿宋_GB2312" w:eastAsia="方正仿宋_GB2312" w:cs="方正仿宋_GB2312"/>
              <w:kern w:val="0"/>
              <w:szCs w:val="32"/>
              <w:shd w:val="clear" w:color="auto" w:fill="auto"/>
              <w:lang w:val="en-US" w:eastAsia="zh-CN" w:bidi="ar"/>
            </w:rPr>
            <w:t>伊吾县防沙治沙建设内容分解表</w:t>
          </w:r>
          <w:r>
            <w:rPr>
              <w:rFonts w:hint="eastAsia" w:ascii="方正仿宋_GB2312" w:hAnsi="方正仿宋_GB2312" w:eastAsia="方正仿宋_GB2312" w:cs="方正仿宋_GB2312"/>
              <w:szCs w:val="32"/>
            </w:rPr>
            <w:fldChar w:fldCharType="end"/>
          </w:r>
        </w:p>
        <w:p w14:paraId="210800FA">
          <w:pPr>
            <w:pStyle w:val="10"/>
            <w:tabs>
              <w:tab w:val="right" w:leader="dot" w:pos="8306"/>
            </w:tabs>
            <w:ind w:firstLine="560" w:firstLineChars="200"/>
            <w:jc w:val="both"/>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Cs w:val="32"/>
            </w:rPr>
            <w:fldChar w:fldCharType="begin"/>
          </w:r>
          <w:r>
            <w:rPr>
              <w:rFonts w:hint="eastAsia" w:ascii="方正仿宋_GB2312" w:hAnsi="方正仿宋_GB2312" w:eastAsia="方正仿宋_GB2312" w:cs="方正仿宋_GB2312"/>
              <w:szCs w:val="32"/>
            </w:rPr>
            <w:instrText xml:space="preserve"> HYPERLINK \l _Toc22676 </w:instrText>
          </w:r>
          <w:r>
            <w:rPr>
              <w:rFonts w:hint="eastAsia" w:ascii="方正仿宋_GB2312" w:hAnsi="方正仿宋_GB2312" w:eastAsia="方正仿宋_GB2312" w:cs="方正仿宋_GB2312"/>
              <w:szCs w:val="32"/>
            </w:rPr>
            <w:fldChar w:fldCharType="separate"/>
          </w:r>
          <w:r>
            <w:rPr>
              <w:rFonts w:hint="eastAsia" w:ascii="方正仿宋_GB2312" w:hAnsi="方正仿宋_GB2312" w:eastAsia="方正仿宋_GB2312" w:cs="方正仿宋_GB2312"/>
              <w:kern w:val="0"/>
              <w:szCs w:val="31"/>
              <w:shd w:val="clear" w:color="auto" w:fill="auto"/>
              <w:lang w:val="en-US" w:eastAsia="zh-CN" w:bidi="ar"/>
            </w:rPr>
            <w:t xml:space="preserve">附表3 </w:t>
          </w:r>
          <w:r>
            <w:rPr>
              <w:rFonts w:hint="eastAsia" w:ascii="方正仿宋_GB2312" w:hAnsi="方正仿宋_GB2312" w:eastAsia="方正仿宋_GB2312" w:cs="方正仿宋_GB2312"/>
              <w:kern w:val="0"/>
              <w:szCs w:val="32"/>
              <w:shd w:val="clear" w:color="auto" w:fill="auto"/>
              <w:lang w:val="en-US" w:eastAsia="zh-CN" w:bidi="ar"/>
            </w:rPr>
            <w:t>伊吾县防沙治沙实施方案</w:t>
          </w:r>
          <w:r>
            <w:rPr>
              <w:rFonts w:hint="eastAsia" w:ascii="方正仿宋_GB2312" w:hAnsi="方正仿宋_GB2312" w:eastAsia="方正仿宋_GB2312" w:cs="方正仿宋_GB2312"/>
              <w:kern w:val="0"/>
              <w:szCs w:val="31"/>
              <w:shd w:val="clear" w:color="auto" w:fill="auto"/>
              <w:lang w:val="en-US" w:eastAsia="zh-CN" w:bidi="ar"/>
            </w:rPr>
            <w:t>工程建设投资汇总表</w:t>
          </w:r>
          <w:r>
            <w:rPr>
              <w:rFonts w:hint="eastAsia" w:ascii="方正仿宋_GB2312" w:hAnsi="方正仿宋_GB2312" w:eastAsia="方正仿宋_GB2312" w:cs="方正仿宋_GB2312"/>
              <w:szCs w:val="32"/>
            </w:rPr>
            <w:fldChar w:fldCharType="end"/>
          </w:r>
        </w:p>
        <w:p w14:paraId="73C49650">
          <w:pPr>
            <w:rPr>
              <w:rFonts w:hint="eastAsia" w:ascii="方正仿宋_GB2312" w:hAnsi="方正仿宋_GB2312" w:eastAsia="方正仿宋_GB2312" w:cs="方正仿宋_GB2312"/>
              <w:b/>
              <w:bCs/>
              <w:szCs w:val="32"/>
              <w:lang w:val="en-US" w:eastAsia="zh-CN"/>
            </w:rPr>
          </w:pPr>
          <w:r>
            <w:rPr>
              <w:rFonts w:hint="eastAsia" w:ascii="方正仿宋_GB2312" w:hAnsi="方正仿宋_GB2312" w:eastAsia="方正仿宋_GB2312" w:cs="方正仿宋_GB2312"/>
              <w:b/>
              <w:bCs/>
              <w:szCs w:val="32"/>
              <w:lang w:val="en-US" w:eastAsia="zh-CN"/>
            </w:rPr>
            <w:t>附图：</w:t>
          </w:r>
        </w:p>
        <w:p w14:paraId="68367F08">
          <w:pPr>
            <w:ind w:firstLine="560" w:firstLineChars="200"/>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kern w:val="0"/>
              <w:sz w:val="28"/>
              <w:szCs w:val="32"/>
              <w:highlight w:val="none"/>
              <w:shd w:val="clear" w:color="auto" w:fill="auto"/>
              <w:lang w:val="en-US" w:eastAsia="zh-CN" w:bidi="ar"/>
            </w:rPr>
            <w:t>附图1 伊吾县沙化程度图</w:t>
          </w:r>
          <w:r>
            <w:rPr>
              <w:rFonts w:hint="eastAsia" w:ascii="方正仿宋_GB2312" w:hAnsi="方正仿宋_GB2312" w:eastAsia="方正仿宋_GB2312" w:cs="方正仿宋_GB2312"/>
              <w:szCs w:val="32"/>
            </w:rPr>
            <w:fldChar w:fldCharType="end"/>
          </w:r>
        </w:p>
        <w:p w14:paraId="181128D2">
          <w:pPr>
            <w:ind w:firstLine="560" w:firstLineChars="200"/>
            <w:rPr>
              <w:rFonts w:hint="eastAsia" w:ascii="方正仿宋_GB2312" w:hAnsi="方正仿宋_GB2312" w:eastAsia="方正仿宋_GB2312" w:cs="方正仿宋_GB2312"/>
              <w:kern w:val="0"/>
              <w:sz w:val="28"/>
              <w:szCs w:val="32"/>
              <w:highlight w:val="none"/>
              <w:shd w:val="clear" w:color="auto" w:fill="auto"/>
              <w:lang w:val="en-US" w:eastAsia="zh-CN" w:bidi="ar"/>
            </w:rPr>
          </w:pPr>
          <w:r>
            <w:rPr>
              <w:rFonts w:hint="eastAsia" w:ascii="方正仿宋_GB2312" w:hAnsi="方正仿宋_GB2312" w:eastAsia="方正仿宋_GB2312" w:cs="方正仿宋_GB2312"/>
              <w:kern w:val="0"/>
              <w:sz w:val="28"/>
              <w:szCs w:val="32"/>
              <w:highlight w:val="none"/>
              <w:shd w:val="clear" w:color="auto" w:fill="auto"/>
              <w:lang w:val="en-US" w:eastAsia="zh-CN" w:bidi="ar"/>
            </w:rPr>
            <w:t>附图2 伊吾县沙化土地类型图</w:t>
          </w:r>
        </w:p>
        <w:p w14:paraId="28A5DB10">
          <w:pPr>
            <w:ind w:firstLine="560" w:firstLineChars="200"/>
            <w:rPr>
              <w:rFonts w:hint="eastAsia" w:ascii="方正仿宋_GB2312" w:hAnsi="方正仿宋_GB2312" w:eastAsia="方正仿宋_GB2312" w:cs="方正仿宋_GB2312"/>
              <w:kern w:val="0"/>
              <w:sz w:val="28"/>
              <w:szCs w:val="32"/>
              <w:highlight w:val="none"/>
              <w:shd w:val="clear" w:color="auto" w:fill="auto"/>
              <w:lang w:val="en-US" w:eastAsia="zh-CN" w:bidi="ar"/>
            </w:rPr>
          </w:pPr>
          <w:r>
            <w:rPr>
              <w:rFonts w:hint="eastAsia" w:ascii="方正仿宋_GB2312" w:hAnsi="方正仿宋_GB2312" w:eastAsia="方正仿宋_GB2312" w:cs="方正仿宋_GB2312"/>
              <w:kern w:val="0"/>
              <w:sz w:val="28"/>
              <w:szCs w:val="32"/>
              <w:highlight w:val="none"/>
              <w:shd w:val="clear" w:color="auto" w:fill="auto"/>
              <w:lang w:val="en-US" w:eastAsia="zh-CN" w:bidi="ar"/>
            </w:rPr>
            <w:t>附图3 伊吾县可治理沙化土地分布图</w:t>
          </w:r>
        </w:p>
        <w:p w14:paraId="4A76EC1E">
          <w:pPr>
            <w:ind w:firstLine="560" w:firstLineChars="200"/>
            <w:rPr>
              <w:rFonts w:hint="default"/>
              <w:sz w:val="32"/>
              <w:szCs w:val="32"/>
              <w:lang w:val="en-US"/>
            </w:rPr>
          </w:pPr>
          <w:r>
            <w:rPr>
              <w:rFonts w:hint="eastAsia" w:ascii="方正仿宋_GB2312" w:hAnsi="方正仿宋_GB2312" w:eastAsia="方正仿宋_GB2312" w:cs="方正仿宋_GB2312"/>
              <w:kern w:val="0"/>
              <w:sz w:val="28"/>
              <w:szCs w:val="32"/>
              <w:highlight w:val="none"/>
              <w:shd w:val="clear" w:color="auto" w:fill="auto"/>
              <w:lang w:val="en-US" w:eastAsia="zh-CN" w:bidi="ar"/>
            </w:rPr>
            <w:t>附图4 伊吾县防沙治沙工程建设布局图</w:t>
          </w:r>
        </w:p>
      </w:sdtContent>
    </w:sdt>
    <w:p w14:paraId="7C90521A">
      <w:pPr>
        <w:rPr>
          <w:rFonts w:hint="default"/>
          <w:lang w:val="en-US" w:eastAsia="zh-CN"/>
        </w:rPr>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pPr>
    </w:p>
    <w:p w14:paraId="05C44878">
      <w:pPr>
        <w:pStyle w:val="2"/>
        <w:keepNext/>
        <w:keepLines/>
        <w:pageBreakBefore w:val="0"/>
        <w:widowControl/>
        <w:kinsoku/>
        <w:wordWrap/>
        <w:overflowPunct/>
        <w:topLinePunct w:val="0"/>
        <w:autoSpaceDE/>
        <w:autoSpaceDN/>
        <w:bidi w:val="0"/>
        <w:adjustRightInd/>
        <w:snapToGrid/>
        <w:spacing w:after="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28" w:name="_Toc7175"/>
      <w:r>
        <w:rPr>
          <w:rFonts w:hint="default" w:ascii="Times New Roman" w:hAnsi="Times New Roman" w:eastAsia="方正公文小标宋" w:cs="Times New Roman"/>
          <w:b w:val="0"/>
          <w:bCs w:val="0"/>
          <w:shd w:val="clear" w:color="auto" w:fill="auto"/>
          <w:lang w:val="en-US" w:eastAsia="zh-CN"/>
        </w:rPr>
        <w:t>第一章 规划区概况</w:t>
      </w:r>
      <w:bookmarkEnd w:id="28"/>
    </w:p>
    <w:p w14:paraId="5ED86993">
      <w:pPr>
        <w:pStyle w:val="3"/>
        <w:keepNext/>
        <w:keepLines/>
        <w:pageBreakBefore w:val="0"/>
        <w:widowControl/>
        <w:kinsoku/>
        <w:wordWrap/>
        <w:overflowPunct/>
        <w:topLinePunct w:val="0"/>
        <w:autoSpaceDE/>
        <w:autoSpaceDN/>
        <w:bidi w:val="0"/>
        <w:adjustRightInd/>
        <w:snapToGrid/>
        <w:spacing w:before="0" w:after="0" w:line="596" w:lineRule="exact"/>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29" w:name="_Toc9226"/>
      <w:bookmarkStart w:id="30" w:name="_Toc14210"/>
      <w:bookmarkStart w:id="31" w:name="_Toc24121"/>
      <w:r>
        <w:rPr>
          <w:rFonts w:hint="default" w:ascii="Times New Roman" w:hAnsi="Times New Roman" w:eastAsia="方正公文黑体" w:cs="Times New Roman"/>
          <w:b w:val="0"/>
          <w:bCs w:val="0"/>
          <w:kern w:val="2"/>
          <w:sz w:val="32"/>
          <w:szCs w:val="32"/>
          <w:shd w:val="clear" w:color="auto" w:fill="auto"/>
          <w:lang w:val="en-US" w:eastAsia="zh-CN" w:bidi="ar-SA"/>
        </w:rPr>
        <w:t>一、地理区位</w:t>
      </w:r>
      <w:bookmarkEnd w:id="29"/>
      <w:bookmarkEnd w:id="30"/>
      <w:bookmarkEnd w:id="31"/>
    </w:p>
    <w:p w14:paraId="5E8BAF38">
      <w:pPr>
        <w:pStyle w:val="33"/>
        <w:keepNext w:val="0"/>
        <w:keepLines w:val="0"/>
        <w:pageBreakBefore w:val="0"/>
        <w:widowControl/>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drawing>
          <wp:anchor distT="0" distB="0" distL="114300" distR="114300" simplePos="0" relativeHeight="251659264" behindDoc="1" locked="0" layoutInCell="1" allowOverlap="1">
            <wp:simplePos x="0" y="0"/>
            <wp:positionH relativeFrom="column">
              <wp:posOffset>-43180</wp:posOffset>
            </wp:positionH>
            <wp:positionV relativeFrom="paragraph">
              <wp:posOffset>2511425</wp:posOffset>
            </wp:positionV>
            <wp:extent cx="5410835" cy="4498975"/>
            <wp:effectExtent l="0" t="0" r="0" b="0"/>
            <wp:wrapTight wrapText="bothSides">
              <wp:wrapPolygon>
                <wp:start x="0" y="0"/>
                <wp:lineTo x="0" y="21524"/>
                <wp:lineTo x="21547" y="21524"/>
                <wp:lineTo x="21547" y="0"/>
                <wp:lineTo x="0" y="0"/>
              </wp:wrapPolygon>
            </wp:wrapTight>
            <wp:docPr id="8" name="图片 8" descr="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区位图"/>
                    <pic:cNvPicPr>
                      <a:picLocks noChangeAspect="1"/>
                    </pic:cNvPicPr>
                  </pic:nvPicPr>
                  <pic:blipFill>
                    <a:blip r:embed="rId10"/>
                    <a:stretch>
                      <a:fillRect/>
                    </a:stretch>
                  </pic:blipFill>
                  <pic:spPr>
                    <a:xfrm>
                      <a:off x="0" y="0"/>
                      <a:ext cx="5410835" cy="4498975"/>
                    </a:xfrm>
                    <a:prstGeom prst="rect">
                      <a:avLst/>
                    </a:prstGeom>
                  </pic:spPr>
                </pic:pic>
              </a:graphicData>
            </a:graphic>
          </wp:anchor>
        </w:drawing>
      </w:r>
      <w:r>
        <w:rPr>
          <w:rFonts w:hint="default" w:ascii="Times New Roman" w:hAnsi="Times New Roman" w:eastAsia="方正仿宋_GBK" w:cs="Times New Roman"/>
          <w:kern w:val="2"/>
          <w:sz w:val="32"/>
          <w:szCs w:val="32"/>
          <w:shd w:val="clear" w:color="auto" w:fill="auto"/>
          <w:lang w:val="zh-CN" w:eastAsia="zh-CN" w:bidi="ar-SA"/>
        </w:rPr>
        <w:t>伊吾县隶属新疆维吾尔自治区哈密地区，位于新疆维吾尔自治区东北部，天山北麓东段，</w:t>
      </w:r>
      <w:r>
        <w:rPr>
          <w:rFonts w:hint="eastAsia" w:ascii="Times New Roman" w:hAnsi="Times New Roman" w:eastAsia="方正仿宋_GBK" w:cs="Times New Roman"/>
          <w:kern w:val="2"/>
          <w:sz w:val="32"/>
          <w:szCs w:val="32"/>
          <w:shd w:val="clear" w:color="auto" w:fill="auto"/>
          <w:lang w:val="zh-CN" w:eastAsia="zh-CN" w:bidi="ar-SA"/>
        </w:rPr>
        <w:t>地理坐标</w:t>
      </w:r>
      <w:r>
        <w:rPr>
          <w:rFonts w:hint="default" w:ascii="Times New Roman" w:hAnsi="Times New Roman" w:eastAsia="方正仿宋_GBK" w:cs="Times New Roman"/>
          <w:kern w:val="2"/>
          <w:sz w:val="32"/>
          <w:szCs w:val="32"/>
          <w:shd w:val="clear" w:color="auto" w:fill="auto"/>
          <w:lang w:val="zh-CN" w:eastAsia="zh-CN" w:bidi="ar-SA"/>
        </w:rPr>
        <w:t>为北纬42°54′</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44°29′，东经93°35′</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96°23′之间。县境东西长215千米，南北宽175千米，全县总面积195</w:t>
      </w:r>
      <w:r>
        <w:rPr>
          <w:rFonts w:hint="default" w:ascii="Times New Roman" w:hAnsi="Times New Roman" w:eastAsia="方正仿宋_GBK" w:cs="Times New Roman"/>
          <w:kern w:val="2"/>
          <w:sz w:val="32"/>
          <w:szCs w:val="32"/>
          <w:shd w:val="clear" w:color="auto" w:fill="auto"/>
          <w:lang w:val="en-US" w:eastAsia="zh-CN" w:bidi="ar-SA"/>
        </w:rPr>
        <w:t>3075.9</w:t>
      </w:r>
      <w:r>
        <w:rPr>
          <w:rFonts w:hint="eastAsia" w:ascii="Times New Roman" w:hAnsi="Times New Roman" w:eastAsia="方正仿宋_GBK" w:cs="Times New Roman"/>
          <w:kern w:val="2"/>
          <w:sz w:val="32"/>
          <w:szCs w:val="32"/>
          <w:shd w:val="clear" w:color="auto" w:fill="auto"/>
          <w:lang w:val="en-US" w:eastAsia="zh-CN" w:bidi="ar-SA"/>
        </w:rPr>
        <w:t>0</w:t>
      </w:r>
      <w:r>
        <w:rPr>
          <w:rFonts w:hint="default" w:ascii="Times New Roman" w:hAnsi="Times New Roman" w:eastAsia="方正仿宋_GBK" w:cs="Times New Roman"/>
          <w:kern w:val="2"/>
          <w:sz w:val="32"/>
          <w:szCs w:val="32"/>
          <w:shd w:val="clear" w:color="auto" w:fill="auto"/>
          <w:lang w:val="zh-CN" w:eastAsia="zh-CN" w:bidi="ar-SA"/>
        </w:rPr>
        <w:t>公顷，占全疆总面积的1.19%。东北部与蒙古人民共和国</w:t>
      </w:r>
      <w:r>
        <w:rPr>
          <w:rFonts w:hint="eastAsia" w:ascii="Times New Roman" w:hAnsi="Times New Roman" w:eastAsia="方正仿宋_GBK" w:cs="Times New Roman"/>
          <w:kern w:val="2"/>
          <w:sz w:val="32"/>
          <w:szCs w:val="32"/>
          <w:shd w:val="clear" w:color="auto" w:fill="auto"/>
          <w:lang w:val="en-US" w:eastAsia="zh-CN" w:bidi="ar-SA"/>
        </w:rPr>
        <w:t>接壤</w:t>
      </w:r>
      <w:r>
        <w:rPr>
          <w:rFonts w:hint="default" w:ascii="Times New Roman" w:hAnsi="Times New Roman" w:eastAsia="方正仿宋_GBK" w:cs="Times New Roman"/>
          <w:kern w:val="2"/>
          <w:sz w:val="32"/>
          <w:szCs w:val="32"/>
          <w:shd w:val="clear" w:color="auto" w:fill="auto"/>
          <w:lang w:val="zh-CN" w:eastAsia="zh-CN" w:bidi="ar-SA"/>
        </w:rPr>
        <w:t>，南部与</w:t>
      </w:r>
      <w:r>
        <w:rPr>
          <w:rFonts w:hint="eastAsia" w:ascii="Times New Roman" w:hAnsi="Times New Roman" w:eastAsia="方正仿宋_GBK" w:cs="方正仿宋_GBK"/>
          <w:snapToGrid w:val="0"/>
          <w:color w:val="000000"/>
          <w:kern w:val="0"/>
          <w:sz w:val="32"/>
          <w:szCs w:val="32"/>
          <w:lang w:val="en-US" w:eastAsia="zh-CN" w:bidi="ar-SA"/>
        </w:rPr>
        <w:t>伊州区</w:t>
      </w:r>
      <w:r>
        <w:rPr>
          <w:rFonts w:hint="eastAsia" w:ascii="Times New Roman" w:hAnsi="Times New Roman" w:eastAsia="方正仿宋_GBK" w:cs="Times New Roman"/>
          <w:kern w:val="2"/>
          <w:sz w:val="32"/>
          <w:szCs w:val="32"/>
          <w:shd w:val="clear" w:color="auto" w:fill="auto"/>
          <w:lang w:val="en-US" w:eastAsia="zh-CN" w:bidi="ar-SA"/>
        </w:rPr>
        <w:t>相邻</w:t>
      </w:r>
      <w:r>
        <w:rPr>
          <w:rFonts w:hint="default" w:ascii="Times New Roman" w:hAnsi="Times New Roman" w:eastAsia="方正仿宋_GBK" w:cs="Times New Roman"/>
          <w:kern w:val="2"/>
          <w:sz w:val="32"/>
          <w:szCs w:val="32"/>
          <w:shd w:val="clear" w:color="auto" w:fill="auto"/>
          <w:lang w:val="zh-CN" w:eastAsia="zh-CN" w:bidi="ar-SA"/>
        </w:rPr>
        <w:t>，西部与巴里坤哈萨克自治县相邻。</w:t>
      </w:r>
    </w:p>
    <w:p w14:paraId="56F3356A">
      <w:pPr>
        <w:pStyle w:val="33"/>
        <w:keepNext w:val="0"/>
        <w:keepLines w:val="0"/>
        <w:pageBreakBefore w:val="0"/>
        <w:widowControl/>
        <w:kinsoku/>
        <w:wordWrap/>
        <w:overflowPunct/>
        <w:topLinePunct w:val="0"/>
        <w:autoSpaceDE/>
        <w:autoSpaceDN/>
        <w:bidi w:val="0"/>
        <w:adjustRightInd/>
        <w:snapToGrid/>
        <w:spacing w:line="596" w:lineRule="exact"/>
        <w:ind w:firstLine="560" w:firstLineChars="200"/>
        <w:jc w:val="center"/>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仿宋_GB2312" w:cs="Times New Roman"/>
          <w:color w:val="000000"/>
          <w:kern w:val="0"/>
          <w:sz w:val="28"/>
          <w:szCs w:val="28"/>
          <w:shd w:val="clear" w:color="auto" w:fill="auto"/>
          <w:lang w:val="en-US" w:eastAsia="zh-CN" w:bidi="ar"/>
        </w:rPr>
        <w:t xml:space="preserve">图 1-1 </w:t>
      </w:r>
      <w:r>
        <w:rPr>
          <w:rFonts w:hint="default" w:ascii="Times New Roman" w:hAnsi="Times New Roman" w:cs="Times New Roman"/>
          <w:color w:val="000000"/>
          <w:kern w:val="0"/>
          <w:sz w:val="28"/>
          <w:szCs w:val="28"/>
          <w:shd w:val="clear" w:color="auto" w:fill="auto"/>
          <w:lang w:val="en-US" w:eastAsia="zh-CN" w:bidi="ar"/>
        </w:rPr>
        <w:t>伊吾</w:t>
      </w:r>
      <w:r>
        <w:rPr>
          <w:rFonts w:hint="default" w:ascii="Times New Roman" w:hAnsi="Times New Roman" w:eastAsia="仿宋_GB2312" w:cs="Times New Roman"/>
          <w:color w:val="000000"/>
          <w:kern w:val="0"/>
          <w:sz w:val="28"/>
          <w:szCs w:val="28"/>
          <w:shd w:val="clear" w:color="auto" w:fill="auto"/>
          <w:lang w:val="en-US" w:eastAsia="zh-CN" w:bidi="ar"/>
        </w:rPr>
        <w:t>县区位图</w:t>
      </w:r>
    </w:p>
    <w:p w14:paraId="46BD8ED7">
      <w:pPr>
        <w:pStyle w:val="3"/>
        <w:keepNext/>
        <w:keepLines/>
        <w:pageBreakBefore w:val="0"/>
        <w:widowControl/>
        <w:kinsoku/>
        <w:wordWrap/>
        <w:overflowPunct/>
        <w:topLinePunct w:val="0"/>
        <w:autoSpaceDE/>
        <w:autoSpaceDN/>
        <w:bidi w:val="0"/>
        <w:adjustRightInd/>
        <w:snapToGrid/>
        <w:spacing w:before="0" w:after="0" w:line="413" w:lineRule="auto"/>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32" w:name="_Toc28456"/>
      <w:bookmarkStart w:id="33" w:name="_Toc927"/>
      <w:bookmarkStart w:id="34" w:name="_Toc510"/>
      <w:r>
        <w:rPr>
          <w:rFonts w:hint="default" w:ascii="Times New Roman" w:hAnsi="Times New Roman" w:eastAsia="方正公文黑体" w:cs="Times New Roman"/>
          <w:b w:val="0"/>
          <w:bCs w:val="0"/>
          <w:kern w:val="2"/>
          <w:sz w:val="32"/>
          <w:szCs w:val="32"/>
          <w:shd w:val="clear" w:color="auto" w:fill="auto"/>
          <w:lang w:val="en-US" w:eastAsia="zh-CN" w:bidi="ar-SA"/>
        </w:rPr>
        <w:t>二、自然地理概况</w:t>
      </w:r>
      <w:bookmarkEnd w:id="32"/>
      <w:bookmarkEnd w:id="33"/>
      <w:bookmarkEnd w:id="34"/>
    </w:p>
    <w:p w14:paraId="0763C365">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35" w:name="_Toc30288"/>
      <w:bookmarkStart w:id="36" w:name="_Toc28763"/>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一</w:t>
      </w:r>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地形地貌</w:t>
      </w:r>
      <w:bookmarkEnd w:id="35"/>
      <w:bookmarkEnd w:id="36"/>
    </w:p>
    <w:p w14:paraId="0DF8656B">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伊吾县位于新疆东北部的蒙新高原上，呈几何梯形状，北窄南宽，地势南高北低，形成三山夹两盆的地貌。北部沿中蒙边界的界山称为东准噶尔褶皱带的诺穆高原，南为淖毛湖盆地，是全县发展农业的主要基地；二是中间的莫钦乌拉山地，南为盐池盆地</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是全县面积最大的人工草料基地和春秋草场；三为最南部的喀尔里克山与哈密市为邻的山脊，其余脉横贯东西，是伊吾县径流形成区，也是水草丰美的夏牧场。伊吾河跨越2乡2镇，是全县农牧业的命脉，吐尔干流域也发源于此，灌溉着吐鲁坤农田和草场。</w:t>
      </w:r>
    </w:p>
    <w:p w14:paraId="60FCCA50">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诺穆高原(又称东准噶尔褶皱山系)，即伊吾北面和巴里坤哈萨克自治县接壤处的苏海廷山、巴勒干廷哈尔山和东南面低矮孤立分布的小山，构成中蒙边界上的岛弧形山体，屹立于诺穆高原上。诺穆高原，西起巴里坤哈萨克自治县的老爷庙，沿着中蒙边界上的岛弧形山体，往东至巴勒干廷哈尔山，该高原海拔一般在1000米左右。西北及北部，由于风蚀作用和物理风化强烈，岩石裸露，为石质荒漠。东部地势平坦，为荒漠戈壁。南部有分散在高原上的小山体，受冷空气影响，冬夏有降水形成，地表有荒漠草场分布其间。</w:t>
      </w:r>
    </w:p>
    <w:p w14:paraId="078FAD5D">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淖毛湖盆地，西连三塘湖盆地，其大体界线在巴里坤哈萨克自治县的鸭子泉(却勒明岗)和牛圈湖以东，色日克乔喀、萨依苏北山至诺尔其布拉克(淖毛湖北山矾矿东北)，沿着淖毛湖东部的荒漠胡杨林往南至诺木托拉依。淖毛湖盆地属洪积扇和冲积扇以下山麓缓斜平原，地势由南向北倾斜，海拔一般</w:t>
      </w:r>
      <w:r>
        <w:rPr>
          <w:rFonts w:hint="eastAsia" w:ascii="Times New Roman" w:hAnsi="Times New Roman" w:eastAsia="方正仿宋_GBK" w:cs="Times New Roman"/>
          <w:kern w:val="2"/>
          <w:sz w:val="32"/>
          <w:szCs w:val="32"/>
          <w:shd w:val="clear" w:color="auto" w:fill="auto"/>
          <w:lang w:val="zh-CN" w:eastAsia="zh-CN" w:bidi="ar-SA"/>
        </w:rPr>
        <w:t>在</w:t>
      </w:r>
      <w:r>
        <w:rPr>
          <w:rFonts w:hint="default" w:ascii="Times New Roman" w:hAnsi="Times New Roman" w:eastAsia="方正仿宋_GBK" w:cs="Times New Roman"/>
          <w:kern w:val="2"/>
          <w:sz w:val="32"/>
          <w:szCs w:val="32"/>
          <w:shd w:val="clear" w:color="auto" w:fill="auto"/>
          <w:lang w:val="zh-CN" w:eastAsia="zh-CN" w:bidi="ar-SA"/>
        </w:rPr>
        <w:t>400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500米，盆地中间带由于洪水、潜水作用流入闭塞凹地，在干旱条件下形成一些小的盐碱湖，在东部见有泥漠地貌。发源于喀尔里克山北坡的伊吾河顺着地势北流经吐葫芦、苇子峡至淖毛湖。盆地属干旱环境，为灌溉农业，低洼地区地下水丰富，周围多为戈壁荒漠景观。</w:t>
      </w:r>
    </w:p>
    <w:p w14:paraId="46224BDD">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莫钦乌拉山地，莫钦乌拉山地海拔一般在2000米以上，主峰大黑山海拔3962米。由于山体不</w:t>
      </w:r>
      <w:r>
        <w:rPr>
          <w:rFonts w:hint="eastAsia" w:ascii="Times New Roman" w:hAnsi="Times New Roman" w:eastAsia="方正仿宋_GBK" w:cs="Times New Roman"/>
          <w:kern w:val="2"/>
          <w:sz w:val="32"/>
          <w:szCs w:val="32"/>
          <w:shd w:val="clear" w:color="auto" w:fill="auto"/>
          <w:lang w:val="en-US" w:eastAsia="zh-CN" w:bidi="ar-SA"/>
        </w:rPr>
        <w:t>是</w:t>
      </w:r>
      <w:r>
        <w:rPr>
          <w:rFonts w:hint="default" w:ascii="Times New Roman" w:hAnsi="Times New Roman" w:eastAsia="方正仿宋_GBK" w:cs="Times New Roman"/>
          <w:kern w:val="2"/>
          <w:sz w:val="32"/>
          <w:szCs w:val="32"/>
          <w:shd w:val="clear" w:color="auto" w:fill="auto"/>
          <w:lang w:val="zh-CN" w:eastAsia="zh-CN" w:bidi="ar-SA"/>
        </w:rPr>
        <w:t>很高，冬季有积雪，但无冰川分布，山体宽约18千米，长54千米(在县境范围内)，山体南北呈梳状沟谷分布，在大黑山以东，由于断裂作用，形成盐池及苇子峡山间凹地，并向东倾伏于两盆地之间，是山间荒漠草场分布地带。</w:t>
      </w:r>
    </w:p>
    <w:p w14:paraId="1FE1D7CD">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伊吾山间盆地，位于莫钦乌拉山和喀尔里克山之间。由于构造作用，</w:t>
      </w:r>
      <w:r>
        <w:rPr>
          <w:rFonts w:hint="eastAsia" w:ascii="Times New Roman" w:hAnsi="Times New Roman" w:eastAsia="方正仿宋_GBK" w:cs="Times New Roman"/>
          <w:kern w:val="2"/>
          <w:sz w:val="32"/>
          <w:szCs w:val="32"/>
          <w:shd w:val="clear" w:color="auto" w:fill="auto"/>
          <w:lang w:val="en-US" w:eastAsia="zh-CN" w:bidi="ar-SA"/>
        </w:rPr>
        <w:t>而</w:t>
      </w:r>
      <w:r>
        <w:rPr>
          <w:rFonts w:hint="default" w:ascii="Times New Roman" w:hAnsi="Times New Roman" w:eastAsia="方正仿宋_GBK" w:cs="Times New Roman"/>
          <w:kern w:val="2"/>
          <w:sz w:val="32"/>
          <w:szCs w:val="32"/>
          <w:shd w:val="clear" w:color="auto" w:fill="auto"/>
          <w:lang w:val="zh-CN" w:eastAsia="zh-CN" w:bidi="ar-SA"/>
        </w:rPr>
        <w:t>形成山间断陷盆地呈一狭长条状，西部乌勒盖，东到下马崖，长约100千米，最宽22千米以上，由于地壳升降作用，在西部形成闭塞湖盆，面积25平方千米，沉积大量盐类矿产，是伊吾县化工原料基地。西部为干旱草场，东部为荒漠，盆地南北沿山间有草场分布，南坡部分山沟还有森林分布。</w:t>
      </w:r>
    </w:p>
    <w:p w14:paraId="2DF31679">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喀尔里克山北坡，与哈密市以山脊为界，北坡山体又窄又陡。该山属高山类型，海拔均在3000米以上，但冰川分布较少。因此干燥的剥蚀山体较为普遍，山间草场林带呈垂直分布，特别明显。其中阴坡多为森林，阳坡多为风化强烈的岩石裸露。该地区由于基岩为花岗岩和中酸性熔岩，常常形成陡峭的山峰和坡度较大的山地。最高峰喀尔里克山主峰，海拔4886米，为平顶冰川分布地带，亦是伊吾河的发源地。</w:t>
      </w:r>
    </w:p>
    <w:p w14:paraId="2D6E8CD4">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淖毛湖盆地属洪积扇和冲积扇以下山麓缓斜平原，地势由南向北倾斜，海拔一般在400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500米，盆地中间带由于洪水、潜水作用流入闭塞凹地，在干旱条件下形成一些小的盐碱湖，在东部</w:t>
      </w:r>
      <w:r>
        <w:rPr>
          <w:rFonts w:hint="eastAsia" w:ascii="Times New Roman" w:hAnsi="Times New Roman" w:eastAsia="方正仿宋_GBK" w:cs="Times New Roman"/>
          <w:kern w:val="2"/>
          <w:sz w:val="32"/>
          <w:szCs w:val="32"/>
          <w:shd w:val="clear" w:color="auto" w:fill="auto"/>
          <w:lang w:val="en-US" w:eastAsia="zh-CN" w:bidi="ar-SA"/>
        </w:rPr>
        <w:t>分布</w:t>
      </w:r>
      <w:r>
        <w:rPr>
          <w:rFonts w:hint="default" w:ascii="Times New Roman" w:hAnsi="Times New Roman" w:eastAsia="方正仿宋_GBK" w:cs="Times New Roman"/>
          <w:kern w:val="2"/>
          <w:sz w:val="32"/>
          <w:szCs w:val="32"/>
          <w:shd w:val="clear" w:color="auto" w:fill="auto"/>
          <w:lang w:val="zh-CN" w:eastAsia="zh-CN" w:bidi="ar-SA"/>
        </w:rPr>
        <w:t>有泥漠地貌。淖毛湖胡杨林周围多为戈壁荒漠。胡杨林管理站内以固定、半固定沙丘为主</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地表以杂色的砂岩</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灰白色的粗砂岩，夹杂薄层状的粉砂岩</w:t>
      </w:r>
      <w:r>
        <w:rPr>
          <w:rFonts w:hint="eastAsia" w:ascii="Times New Roman" w:hAnsi="Times New Roman" w:eastAsia="方正仿宋_GBK" w:cs="Times New Roman"/>
          <w:kern w:val="2"/>
          <w:sz w:val="32"/>
          <w:szCs w:val="32"/>
          <w:shd w:val="clear" w:color="auto" w:fill="auto"/>
          <w:lang w:val="en-US" w:eastAsia="zh-CN" w:bidi="ar-SA"/>
        </w:rPr>
        <w:t>为主</w:t>
      </w:r>
      <w:r>
        <w:rPr>
          <w:rFonts w:hint="default" w:ascii="Times New Roman" w:hAnsi="Times New Roman" w:eastAsia="方正仿宋_GBK" w:cs="Times New Roman"/>
          <w:kern w:val="2"/>
          <w:sz w:val="32"/>
          <w:szCs w:val="32"/>
          <w:shd w:val="clear" w:color="auto" w:fill="auto"/>
          <w:lang w:val="zh-CN" w:eastAsia="zh-CN" w:bidi="ar-SA"/>
        </w:rPr>
        <w:t>。起伏有序，陡缓交</w:t>
      </w:r>
      <w:r>
        <w:rPr>
          <w:rFonts w:hint="eastAsia" w:ascii="Times New Roman" w:hAnsi="Times New Roman" w:eastAsia="方正仿宋_GBK" w:cs="Times New Roman"/>
          <w:kern w:val="2"/>
          <w:sz w:val="32"/>
          <w:szCs w:val="32"/>
          <w:shd w:val="clear" w:color="auto" w:fill="auto"/>
          <w:lang w:val="zh-CN" w:eastAsia="zh-CN" w:bidi="ar-SA"/>
        </w:rPr>
        <w:t>错的</w:t>
      </w:r>
      <w:r>
        <w:rPr>
          <w:rFonts w:hint="default" w:ascii="Times New Roman" w:hAnsi="Times New Roman" w:eastAsia="方正仿宋_GBK" w:cs="Times New Roman"/>
          <w:kern w:val="2"/>
          <w:sz w:val="32"/>
          <w:szCs w:val="32"/>
          <w:shd w:val="clear" w:color="auto" w:fill="auto"/>
          <w:lang w:val="zh-CN" w:eastAsia="zh-CN" w:bidi="ar-SA"/>
        </w:rPr>
        <w:t>沙丘宛若天边的波浪，伸向天际，给人以空旷、神秘之感。沙丘圆滑流畅的线条与柔和的色彩，以及旭日东升、晚霞夕照的壮观景色</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是大自然的妙笔杰作，具有很高的美学欣赏价值。荒漠区与北部绿洲为衬托，景观层次分明，对比感强，又富有原始野趣。</w:t>
      </w:r>
    </w:p>
    <w:p w14:paraId="352B3521">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zh-CN" w:eastAsia="zh-CN" w:bidi="ar-SA"/>
        </w:rPr>
      </w:pPr>
      <w:bookmarkStart w:id="37" w:name="_Toc16657"/>
      <w:bookmarkStart w:id="38" w:name="_Toc28950"/>
      <w:bookmarkStart w:id="39" w:name="_Toc28627"/>
      <w:bookmarkStart w:id="40" w:name="_Toc21515"/>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二</w:t>
      </w:r>
      <w:r>
        <w:rPr>
          <w:rFonts w:hint="default" w:ascii="Times New Roman" w:hAnsi="Times New Roman" w:eastAsia="方正楷体_GBK" w:cs="Times New Roman"/>
          <w:b w:val="0"/>
          <w:bCs w:val="0"/>
          <w:kern w:val="2"/>
          <w:sz w:val="32"/>
          <w:szCs w:val="32"/>
          <w:shd w:val="clear" w:color="auto" w:fill="auto"/>
          <w:lang w:val="zh-CN" w:eastAsia="zh-CN" w:bidi="ar-SA"/>
        </w:rPr>
        <w:t>）气候</w:t>
      </w:r>
      <w:bookmarkEnd w:id="37"/>
      <w:bookmarkEnd w:id="38"/>
    </w:p>
    <w:p w14:paraId="57821F8E">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伊吾县属温暖极干旱区，冬季寒冷，夏季干热，年平均气温7.5</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9.8℃，极端最高温度40.0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43.5℃，极端最低温度-31.0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33.9℃，大风天数年平均达80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100天。日照充足，蒸发量很大，年均降水量仅11.5</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40.0毫米，年均蒸发量4378毫米，无霜期175天。南部的苇子峡、吐葫芦一带属</w:t>
      </w:r>
      <w:r>
        <w:rPr>
          <w:rFonts w:hint="eastAsia" w:ascii="Times New Roman" w:hAnsi="Times New Roman" w:eastAsia="方正仿宋_GBK" w:cs="Times New Roman"/>
          <w:kern w:val="2"/>
          <w:sz w:val="32"/>
          <w:szCs w:val="32"/>
          <w:shd w:val="clear" w:color="auto" w:fill="auto"/>
          <w:lang w:val="en-US" w:eastAsia="zh-CN" w:bidi="ar-SA"/>
        </w:rPr>
        <w:t>于</w:t>
      </w:r>
      <w:r>
        <w:rPr>
          <w:rFonts w:hint="default" w:ascii="Times New Roman" w:hAnsi="Times New Roman" w:eastAsia="方正仿宋_GBK" w:cs="Times New Roman"/>
          <w:kern w:val="2"/>
          <w:sz w:val="32"/>
          <w:szCs w:val="32"/>
          <w:shd w:val="clear" w:color="auto" w:fill="auto"/>
          <w:lang w:val="zh-CN" w:eastAsia="zh-CN" w:bidi="ar-SA"/>
        </w:rPr>
        <w:t>温带干旱区，冬冷夏凉，热量不足，年平均温度3.5</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6.0℃，极端最高温度32.0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35℃，极端最低温度</w:t>
      </w:r>
      <w:r>
        <w:rPr>
          <w:rFonts w:hint="eastAsia" w:ascii="Times New Roman" w:hAnsi="Times New Roman" w:eastAsia="方正仿宋_GBK" w:cs="Times New Roman"/>
          <w:kern w:val="2"/>
          <w:sz w:val="32"/>
          <w:szCs w:val="32"/>
          <w:shd w:val="clear" w:color="auto" w:fill="auto"/>
          <w:lang w:val="en-US" w:eastAsia="zh-CN" w:bidi="ar-SA"/>
        </w:rPr>
        <w:t>约</w:t>
      </w:r>
      <w:r>
        <w:rPr>
          <w:rFonts w:hint="default" w:ascii="Times New Roman" w:hAnsi="Times New Roman" w:eastAsia="方正仿宋_GBK" w:cs="Times New Roman"/>
          <w:kern w:val="2"/>
          <w:sz w:val="32"/>
          <w:szCs w:val="32"/>
          <w:shd w:val="clear" w:color="auto" w:fill="auto"/>
          <w:lang w:val="zh-CN" w:eastAsia="zh-CN" w:bidi="ar-SA"/>
        </w:rPr>
        <w:t>-32℃，年平均降水量60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90毫米，年均蒸发量2326毫米，年平均大风天数37</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50天。西部前山、盐池一带属</w:t>
      </w:r>
      <w:r>
        <w:rPr>
          <w:rFonts w:hint="eastAsia" w:ascii="Times New Roman" w:hAnsi="Times New Roman" w:eastAsia="方正仿宋_GBK" w:cs="Times New Roman"/>
          <w:kern w:val="2"/>
          <w:sz w:val="32"/>
          <w:szCs w:val="32"/>
          <w:shd w:val="clear" w:color="auto" w:fill="auto"/>
          <w:lang w:val="en-US" w:eastAsia="zh-CN" w:bidi="ar-SA"/>
        </w:rPr>
        <w:t>于</w:t>
      </w:r>
      <w:r>
        <w:rPr>
          <w:rFonts w:hint="default" w:ascii="Times New Roman" w:hAnsi="Times New Roman" w:eastAsia="方正仿宋_GBK" w:cs="Times New Roman"/>
          <w:kern w:val="2"/>
          <w:sz w:val="32"/>
          <w:szCs w:val="32"/>
          <w:shd w:val="clear" w:color="auto" w:fill="auto"/>
          <w:lang w:val="zh-CN" w:eastAsia="zh-CN" w:bidi="ar-SA"/>
        </w:rPr>
        <w:t>寒温带亚干旱地区，年平均气温小于0℃，无霜期</w:t>
      </w:r>
      <w:r>
        <w:rPr>
          <w:rFonts w:hint="eastAsia" w:ascii="Times New Roman" w:hAnsi="Times New Roman" w:eastAsia="方正仿宋_GBK" w:cs="Times New Roman"/>
          <w:kern w:val="2"/>
          <w:sz w:val="32"/>
          <w:szCs w:val="32"/>
          <w:shd w:val="clear" w:color="auto" w:fill="auto"/>
          <w:lang w:val="en-US" w:eastAsia="zh-CN" w:bidi="ar-SA"/>
        </w:rPr>
        <w:t>约</w:t>
      </w:r>
      <w:r>
        <w:rPr>
          <w:rFonts w:hint="default" w:ascii="Times New Roman" w:hAnsi="Times New Roman" w:eastAsia="方正仿宋_GBK" w:cs="Times New Roman"/>
          <w:kern w:val="2"/>
          <w:sz w:val="32"/>
          <w:szCs w:val="32"/>
          <w:shd w:val="clear" w:color="auto" w:fill="auto"/>
          <w:lang w:val="zh-CN" w:eastAsia="zh-CN" w:bidi="ar-SA"/>
        </w:rPr>
        <w:t>80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100天，极端最低温度-35.0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-40.0℃，极端最高温度28.0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30.0℃，年平均降水量为100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200毫米。天山北坡或前山丘陵地带海拔2000米以上，为亚寒带干旱区，无霜期小于80天，年降水量为200</w:t>
      </w:r>
      <w:r>
        <w:rPr>
          <w:rFonts w:hint="eastAsia" w:ascii="Times New Roman" w:hAnsi="Times New Roman" w:eastAsia="方正仿宋_GBK" w:cs="Times New Roman"/>
          <w:kern w:val="2"/>
          <w:sz w:val="32"/>
          <w:szCs w:val="32"/>
          <w:shd w:val="clear" w:color="auto" w:fill="auto"/>
          <w:lang w:val="en-US" w:eastAsia="zh-CN" w:bidi="ar-SA"/>
        </w:rPr>
        <w:t>-</w:t>
      </w:r>
      <w:r>
        <w:rPr>
          <w:rFonts w:hint="default" w:ascii="Times New Roman" w:hAnsi="Times New Roman" w:eastAsia="方正仿宋_GBK" w:cs="Times New Roman"/>
          <w:kern w:val="2"/>
          <w:sz w:val="32"/>
          <w:szCs w:val="32"/>
          <w:shd w:val="clear" w:color="auto" w:fill="auto"/>
          <w:lang w:val="zh-CN" w:eastAsia="zh-CN" w:bidi="ar-SA"/>
        </w:rPr>
        <w:t>300毫米。</w:t>
      </w:r>
    </w:p>
    <w:p w14:paraId="23DB5BD5">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zh-CN" w:eastAsia="zh-CN" w:bidi="ar-SA"/>
        </w:rPr>
      </w:pPr>
      <w:bookmarkStart w:id="41" w:name="_Toc16514"/>
      <w:bookmarkStart w:id="42" w:name="_Toc4753"/>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三</w:t>
      </w:r>
      <w:r>
        <w:rPr>
          <w:rFonts w:hint="default" w:ascii="Times New Roman" w:hAnsi="Times New Roman" w:eastAsia="方正楷体_GBK" w:cs="Times New Roman"/>
          <w:b w:val="0"/>
          <w:bCs w:val="0"/>
          <w:kern w:val="2"/>
          <w:sz w:val="32"/>
          <w:szCs w:val="32"/>
          <w:shd w:val="clear" w:color="auto" w:fill="auto"/>
          <w:lang w:val="zh-CN" w:eastAsia="zh-CN" w:bidi="ar-SA"/>
        </w:rPr>
        <w:t>）水文</w:t>
      </w:r>
      <w:bookmarkEnd w:id="41"/>
      <w:bookmarkEnd w:id="42"/>
    </w:p>
    <w:p w14:paraId="576216E5">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伊吾河流</w:t>
      </w:r>
      <w:r>
        <w:rPr>
          <w:rFonts w:hint="eastAsia" w:ascii="Times New Roman" w:hAnsi="Times New Roman" w:eastAsia="方正仿宋_GBK" w:cs="Times New Roman"/>
          <w:kern w:val="2"/>
          <w:sz w:val="32"/>
          <w:szCs w:val="32"/>
          <w:shd w:val="clear" w:color="auto" w:fill="auto"/>
          <w:lang w:val="en-US" w:eastAsia="zh-CN" w:bidi="ar-SA"/>
        </w:rPr>
        <w:t>域</w:t>
      </w:r>
      <w:r>
        <w:rPr>
          <w:rFonts w:hint="default" w:ascii="Times New Roman" w:hAnsi="Times New Roman" w:eastAsia="方正仿宋_GBK" w:cs="Times New Roman"/>
          <w:kern w:val="2"/>
          <w:sz w:val="32"/>
          <w:szCs w:val="32"/>
          <w:shd w:val="clear" w:color="auto" w:fill="auto"/>
          <w:lang w:val="zh-CN" w:eastAsia="zh-CN" w:bidi="ar-SA"/>
        </w:rPr>
        <w:t>，按其地形和流量，可分为三条自成体系又互为影响的小水系，即喀尔里克山中部</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西部和莫钦乌拉山南坡</w:t>
      </w:r>
      <w:r>
        <w:rPr>
          <w:rFonts w:hint="eastAsia" w:ascii="Times New Roman" w:hAnsi="Times New Roman" w:eastAsia="方正仿宋_GBK" w:cs="Times New Roman"/>
          <w:kern w:val="2"/>
          <w:sz w:val="32"/>
          <w:szCs w:val="32"/>
          <w:shd w:val="clear" w:color="auto" w:fill="auto"/>
          <w:lang w:val="en-US" w:eastAsia="zh-CN" w:bidi="ar-SA"/>
        </w:rPr>
        <w:t>三</w:t>
      </w:r>
      <w:r>
        <w:rPr>
          <w:rFonts w:hint="default" w:ascii="Times New Roman" w:hAnsi="Times New Roman" w:eastAsia="方正仿宋_GBK" w:cs="Times New Roman"/>
          <w:kern w:val="2"/>
          <w:sz w:val="32"/>
          <w:szCs w:val="32"/>
          <w:shd w:val="clear" w:color="auto" w:fill="auto"/>
          <w:lang w:val="zh-CN" w:eastAsia="zh-CN" w:bidi="ar-SA"/>
        </w:rPr>
        <w:t>条水系。径流的补给</w:t>
      </w:r>
      <w:r>
        <w:rPr>
          <w:rFonts w:hint="eastAsia" w:ascii="Times New Roman" w:hAnsi="Times New Roman" w:eastAsia="方正仿宋_GBK" w:cs="Times New Roman"/>
          <w:kern w:val="2"/>
          <w:sz w:val="32"/>
          <w:szCs w:val="32"/>
          <w:shd w:val="clear" w:color="auto" w:fill="auto"/>
          <w:lang w:val="en-US" w:eastAsia="zh-CN" w:bidi="ar-SA"/>
        </w:rPr>
        <w:t>主要来自</w:t>
      </w:r>
      <w:r>
        <w:rPr>
          <w:rFonts w:hint="default" w:ascii="Times New Roman" w:hAnsi="Times New Roman" w:eastAsia="方正仿宋_GBK" w:cs="Times New Roman"/>
          <w:kern w:val="2"/>
          <w:sz w:val="32"/>
          <w:szCs w:val="32"/>
          <w:shd w:val="clear" w:color="auto" w:fill="auto"/>
          <w:lang w:val="zh-CN" w:eastAsia="zh-CN" w:bidi="ar-SA"/>
        </w:rPr>
        <w:t>冰川</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积雪的消融和大气降水。河流的径流变化随季节、气温、降水的变化而变化，具有不稳定</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变化大、间歇性等水文特征。全县共有大小河流23条，</w:t>
      </w:r>
      <w:r>
        <w:rPr>
          <w:rFonts w:hint="eastAsia" w:ascii="Times New Roman" w:hAnsi="Times New Roman" w:eastAsia="方正仿宋_GBK" w:cs="Times New Roman"/>
          <w:kern w:val="2"/>
          <w:sz w:val="32"/>
          <w:szCs w:val="32"/>
          <w:shd w:val="clear" w:color="auto" w:fill="auto"/>
          <w:lang w:val="en-US" w:eastAsia="zh-CN" w:bidi="ar-SA"/>
        </w:rPr>
        <w:t>有季节性河流</w:t>
      </w:r>
      <w:r>
        <w:rPr>
          <w:rFonts w:hint="default" w:ascii="Times New Roman" w:hAnsi="Times New Roman" w:eastAsia="方正仿宋_GBK" w:cs="Times New Roman"/>
          <w:kern w:val="2"/>
          <w:sz w:val="32"/>
          <w:szCs w:val="32"/>
          <w:shd w:val="clear" w:color="auto" w:fill="auto"/>
          <w:lang w:val="zh-CN" w:eastAsia="zh-CN" w:bidi="ar-SA"/>
        </w:rPr>
        <w:t>10条，年径流量1.00亿立方米，主要河流有伊吾河、吐尔干沟和四道白杨沟等。</w:t>
      </w:r>
    </w:p>
    <w:p w14:paraId="24870C32">
      <w:pPr>
        <w:ind w:firstLine="640" w:firstLineChars="200"/>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全县水资源总量2.</w:t>
      </w:r>
      <w:r>
        <w:rPr>
          <w:rFonts w:hint="eastAsia" w:ascii="Times New Roman" w:hAnsi="Times New Roman" w:eastAsia="方正仿宋_GBK" w:cs="Times New Roman"/>
          <w:kern w:val="2"/>
          <w:sz w:val="32"/>
          <w:szCs w:val="32"/>
          <w:shd w:val="clear" w:color="auto" w:fill="auto"/>
          <w:lang w:val="en-US" w:eastAsia="zh-CN" w:bidi="ar-SA"/>
        </w:rPr>
        <w:t>17</w:t>
      </w:r>
      <w:r>
        <w:rPr>
          <w:rFonts w:hint="default" w:ascii="Times New Roman" w:hAnsi="Times New Roman" w:eastAsia="方正仿宋_GBK" w:cs="Times New Roman"/>
          <w:kern w:val="2"/>
          <w:sz w:val="32"/>
          <w:szCs w:val="32"/>
          <w:shd w:val="clear" w:color="auto" w:fill="auto"/>
          <w:lang w:val="zh-CN" w:eastAsia="zh-CN" w:bidi="ar-SA"/>
        </w:rPr>
        <w:t>亿立方米，其中，地表水资源1.5</w:t>
      </w:r>
      <w:r>
        <w:rPr>
          <w:rFonts w:hint="eastAsia" w:ascii="Times New Roman" w:hAnsi="Times New Roman" w:eastAsia="方正仿宋_GBK" w:cs="Times New Roman"/>
          <w:kern w:val="2"/>
          <w:sz w:val="32"/>
          <w:szCs w:val="32"/>
          <w:shd w:val="clear" w:color="auto" w:fill="auto"/>
          <w:lang w:val="en-US" w:eastAsia="zh-CN" w:bidi="ar-SA"/>
        </w:rPr>
        <w:t>7</w:t>
      </w:r>
      <w:r>
        <w:rPr>
          <w:rFonts w:hint="default" w:ascii="Times New Roman" w:hAnsi="Times New Roman" w:eastAsia="方正仿宋_GBK" w:cs="Times New Roman"/>
          <w:kern w:val="2"/>
          <w:sz w:val="32"/>
          <w:szCs w:val="32"/>
          <w:shd w:val="clear" w:color="auto" w:fill="auto"/>
          <w:lang w:val="zh-CN" w:eastAsia="zh-CN" w:bidi="ar-SA"/>
        </w:rPr>
        <w:t>亿立方米，地下水资源</w:t>
      </w:r>
      <w:r>
        <w:rPr>
          <w:rFonts w:hint="eastAsia" w:ascii="Times New Roman" w:hAnsi="Times New Roman" w:eastAsia="方正仿宋_GBK" w:cs="Times New Roman"/>
          <w:kern w:val="2"/>
          <w:sz w:val="32"/>
          <w:szCs w:val="32"/>
          <w:shd w:val="clear" w:color="auto" w:fill="auto"/>
          <w:lang w:val="en-US" w:eastAsia="zh-CN" w:bidi="ar-SA"/>
        </w:rPr>
        <w:t>0.6</w:t>
      </w:r>
      <w:r>
        <w:rPr>
          <w:rFonts w:hint="default" w:ascii="Times New Roman" w:hAnsi="Times New Roman" w:eastAsia="方正仿宋_GBK" w:cs="Times New Roman"/>
          <w:kern w:val="2"/>
          <w:sz w:val="32"/>
          <w:szCs w:val="32"/>
          <w:shd w:val="clear" w:color="auto" w:fill="auto"/>
          <w:lang w:val="zh-CN" w:eastAsia="zh-CN" w:bidi="ar-SA"/>
        </w:rPr>
        <w:t>亿立方米</w:t>
      </w:r>
      <w:r>
        <w:rPr>
          <w:rFonts w:hint="eastAsia" w:ascii="Times New Roman" w:hAnsi="Times New Roman" w:eastAsia="方正仿宋_GBK" w:cs="Times New Roman"/>
          <w:kern w:val="2"/>
          <w:sz w:val="32"/>
          <w:szCs w:val="32"/>
          <w:shd w:val="clear" w:color="auto" w:fill="auto"/>
          <w:lang w:val="zh-CN" w:eastAsia="zh-CN" w:bidi="ar-SA"/>
        </w:rPr>
        <w:t>。伊吾县供水总量0.77亿立方米。其中，地表水资源供水量0.54亿立方米，地下水源供水量0.21亿立方米，其他水源供水量0.02亿立方米其中，农业用水量（包括耕地和林地、园地、牧草地灌溉，鱼塘补水及牲畜用水）0.41亿立方米，工业用水量0.19亿立方米，居民生活用水量0.04亿立方米，人工生态环境补水量（包括人为措施供给的城镇环境用水和部分河湖、湿地补水）0.13亿立方米。</w:t>
      </w:r>
    </w:p>
    <w:p w14:paraId="699D37C4">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zh-CN" w:eastAsia="zh-CN" w:bidi="ar-SA"/>
        </w:rPr>
      </w:pPr>
      <w:bookmarkStart w:id="43" w:name="_Toc30798"/>
      <w:bookmarkStart w:id="44" w:name="_Toc2694"/>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四</w:t>
      </w:r>
      <w:r>
        <w:rPr>
          <w:rFonts w:hint="default" w:ascii="Times New Roman" w:hAnsi="Times New Roman" w:eastAsia="方正楷体_GBK" w:cs="Times New Roman"/>
          <w:b w:val="0"/>
          <w:bCs w:val="0"/>
          <w:kern w:val="2"/>
          <w:sz w:val="32"/>
          <w:szCs w:val="32"/>
          <w:shd w:val="clear" w:color="auto" w:fill="auto"/>
          <w:lang w:val="zh-CN" w:eastAsia="zh-CN" w:bidi="ar-SA"/>
        </w:rPr>
        <w:t>）土壤</w:t>
      </w:r>
      <w:bookmarkEnd w:id="43"/>
      <w:bookmarkEnd w:id="44"/>
    </w:p>
    <w:p w14:paraId="16CA3241">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伊吾县根据土壤分类法，共划分6个土类，7个亚类，7个土属，18个土种，34个变种。6个土类分别为：栗钙土、棕钙土、潮土、灰漠土、草甸土、盐土。</w:t>
      </w:r>
    </w:p>
    <w:p w14:paraId="1E568C9A">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栗钙土：主要分布在前山哈萨克民族乡、盐池乡及吐葫芦乡沿天山一带。栗钙土</w:t>
      </w:r>
      <w:r>
        <w:rPr>
          <w:rFonts w:hint="eastAsia" w:ascii="Times New Roman" w:hAnsi="Times New Roman" w:eastAsia="方正仿宋_GBK" w:cs="Times New Roman"/>
          <w:kern w:val="2"/>
          <w:sz w:val="32"/>
          <w:szCs w:val="32"/>
          <w:shd w:val="clear" w:color="auto" w:fill="auto"/>
          <w:lang w:val="en-US" w:eastAsia="zh-CN" w:bidi="ar-SA"/>
        </w:rPr>
        <w:t>表层</w:t>
      </w:r>
      <w:r>
        <w:rPr>
          <w:rFonts w:hint="default" w:ascii="Times New Roman" w:hAnsi="Times New Roman" w:eastAsia="方正仿宋_GBK" w:cs="Times New Roman"/>
          <w:kern w:val="2"/>
          <w:sz w:val="32"/>
          <w:szCs w:val="32"/>
          <w:shd w:val="clear" w:color="auto" w:fill="auto"/>
          <w:lang w:val="zh-CN" w:eastAsia="zh-CN" w:bidi="ar-SA"/>
        </w:rPr>
        <w:t>土层一般较薄，</w:t>
      </w:r>
      <w:r>
        <w:rPr>
          <w:rFonts w:hint="eastAsia" w:ascii="Times New Roman" w:hAnsi="Times New Roman" w:eastAsia="方正仿宋_GBK" w:cs="Times New Roman"/>
          <w:kern w:val="2"/>
          <w:sz w:val="32"/>
          <w:szCs w:val="32"/>
          <w:shd w:val="clear" w:color="auto" w:fill="auto"/>
          <w:lang w:val="en-US" w:eastAsia="zh-CN" w:bidi="ar-SA"/>
        </w:rPr>
        <w:t>底层</w:t>
      </w:r>
      <w:r>
        <w:rPr>
          <w:rFonts w:hint="default" w:ascii="Times New Roman" w:hAnsi="Times New Roman" w:eastAsia="方正仿宋_GBK" w:cs="Times New Roman"/>
          <w:kern w:val="2"/>
          <w:sz w:val="32"/>
          <w:szCs w:val="32"/>
          <w:shd w:val="clear" w:color="auto" w:fill="auto"/>
          <w:lang w:val="zh-CN" w:eastAsia="zh-CN" w:bidi="ar-SA"/>
        </w:rPr>
        <w:t>为砾质或基岩。整个剖面土壤质地较粗，以</w:t>
      </w:r>
      <w:r>
        <w:rPr>
          <w:rFonts w:hint="eastAsia" w:ascii="Times New Roman" w:hAnsi="Times New Roman" w:eastAsia="方正仿宋_GBK" w:cs="Times New Roman"/>
          <w:kern w:val="2"/>
          <w:sz w:val="32"/>
          <w:szCs w:val="32"/>
          <w:shd w:val="clear" w:color="auto" w:fill="auto"/>
          <w:lang w:val="zh-CN" w:eastAsia="zh-CN" w:bidi="ar-SA"/>
        </w:rPr>
        <w:t>沙</w:t>
      </w:r>
      <w:r>
        <w:rPr>
          <w:rFonts w:hint="default" w:ascii="Times New Roman" w:hAnsi="Times New Roman" w:eastAsia="方正仿宋_GBK" w:cs="Times New Roman"/>
          <w:kern w:val="2"/>
          <w:sz w:val="32"/>
          <w:szCs w:val="32"/>
          <w:shd w:val="clear" w:color="auto" w:fill="auto"/>
          <w:lang w:val="zh-CN" w:eastAsia="zh-CN" w:bidi="ar-SA"/>
        </w:rPr>
        <w:t>壤或轻壤为主，土层中养分含量较好。</w:t>
      </w:r>
    </w:p>
    <w:p w14:paraId="592E88F7">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棕钙土：主要分布在苇子峡、下马崖乡和吐葫芦乡，集中在山谷之中，河谷两岸水土流失严重或地下水位较高，海拔一般在1000</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1800米，土体中有机质含量1</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2%，有机质层厚20</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30厘米。</w:t>
      </w:r>
    </w:p>
    <w:p w14:paraId="7862D541">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潮土：主要分布在淖毛湖镇洪积扇扇缘及吐葫芦乡沟谷底部，河流两岸。一般土层厚在1米以上，耕作层20</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30厘米，土壤质地较细，耕作层以轻壤、中壤为主，心底土层以壤、粘壤为主。由于地下水位在1</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3米，随季节变化的地下水上升或下降，土体终年潮湿。</w:t>
      </w:r>
    </w:p>
    <w:p w14:paraId="5A21F446">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灰漠土：主要分布在淖毛湖镇戈壁中。土层深，耕作层中土壤质地较轻，以轻壤为主，土体中有机质含量一般在1.2</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2.4%。在荒地土壤中，有机质含量低，土体中含有0.2</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0.6%的盐分，荒地中盐分含量超过1%，盐碱危害重。</w:t>
      </w:r>
    </w:p>
    <w:p w14:paraId="3C845A33">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草甸土：主要分布在淖毛湖镇和盐池乡西海子一带。该区内地下水位在1</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3米，土层中盐分含量1</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4%，土层深厚，土壤质地比较细(以中壤为主)，土层中有机质含量一般2</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3%，土地较为肥沃。</w:t>
      </w:r>
    </w:p>
    <w:p w14:paraId="1F7F55DA">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盐土：主要分布在淖毛湖镇和下马崖乡。有的耕地中1米土层中含盐量达0.6</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w:t>
      </w:r>
      <w:r>
        <w:rPr>
          <w:rFonts w:hint="eastAsia" w:ascii="Times New Roman" w:hAnsi="Times New Roman" w:eastAsia="方正仿宋_GBK" w:cs="Times New Roman"/>
          <w:kern w:val="2"/>
          <w:sz w:val="32"/>
          <w:szCs w:val="32"/>
          <w:shd w:val="clear" w:color="auto" w:fill="auto"/>
          <w:lang w:val="zh-CN" w:eastAsia="zh-CN" w:bidi="ar-SA"/>
        </w:rPr>
        <w:t xml:space="preserve"> </w:t>
      </w:r>
      <w:r>
        <w:rPr>
          <w:rFonts w:hint="default" w:ascii="Times New Roman" w:hAnsi="Times New Roman" w:eastAsia="方正仿宋_GBK" w:cs="Times New Roman"/>
          <w:kern w:val="2"/>
          <w:sz w:val="32"/>
          <w:szCs w:val="32"/>
          <w:shd w:val="clear" w:color="auto" w:fill="auto"/>
          <w:lang w:val="zh-CN" w:eastAsia="zh-CN" w:bidi="ar-SA"/>
        </w:rPr>
        <w:t>1%，在淖毛湖地区的盐土中，盐分含量超过4%。</w:t>
      </w:r>
    </w:p>
    <w:p w14:paraId="13919F10">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淖毛湖胡杨林管理站所属区域土壤有潮土、草甸土、灰漠土、盐土等。</w:t>
      </w:r>
    </w:p>
    <w:p w14:paraId="05A73B46">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zh-CN" w:eastAsia="zh-CN" w:bidi="ar-SA"/>
        </w:rPr>
      </w:pPr>
      <w:bookmarkStart w:id="45" w:name="_Toc23846"/>
      <w:bookmarkStart w:id="46" w:name="_Toc2301"/>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五</w:t>
      </w:r>
      <w:r>
        <w:rPr>
          <w:rFonts w:hint="default" w:ascii="Times New Roman" w:hAnsi="Times New Roman" w:eastAsia="方正楷体_GBK" w:cs="Times New Roman"/>
          <w:b w:val="0"/>
          <w:bCs w:val="0"/>
          <w:kern w:val="2"/>
          <w:sz w:val="32"/>
          <w:szCs w:val="32"/>
          <w:shd w:val="clear" w:color="auto" w:fill="auto"/>
          <w:lang w:val="zh-CN" w:eastAsia="zh-CN" w:bidi="ar-SA"/>
        </w:rPr>
        <w:t>）植被</w:t>
      </w:r>
      <w:bookmarkEnd w:id="45"/>
      <w:bookmarkEnd w:id="46"/>
    </w:p>
    <w:p w14:paraId="204C021B">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淖毛湖区域地处荒漠之中，荒漠气候导致该区域分布以超旱生和强旱生的灌木、半灌木为主的荒漠植被，在荒漠平原低洼地和湖滨及河流两岸发育着低地盐化草甸植被和荒漠林。在道路、渠边、田埂地边、行政村边，还有少量人工植被。人</w:t>
      </w:r>
      <w:r>
        <w:rPr>
          <w:rFonts w:hint="default" w:ascii="Times New Roman" w:hAnsi="Times New Roman" w:eastAsia="方正仿宋_GBK" w:cs="Times New Roman"/>
          <w:kern w:val="2"/>
          <w:sz w:val="32"/>
          <w:szCs w:val="32"/>
          <w:shd w:val="clear" w:color="auto" w:fill="auto"/>
          <w:lang w:val="en-US" w:eastAsia="zh-CN" w:bidi="ar-SA"/>
        </w:rPr>
        <w:t>造</w:t>
      </w:r>
      <w:r>
        <w:rPr>
          <w:rFonts w:hint="default" w:ascii="Times New Roman" w:hAnsi="Times New Roman" w:eastAsia="方正仿宋_GBK" w:cs="Times New Roman"/>
          <w:kern w:val="2"/>
          <w:sz w:val="32"/>
          <w:szCs w:val="32"/>
          <w:shd w:val="clear" w:color="auto" w:fill="auto"/>
          <w:lang w:val="zh-CN" w:eastAsia="zh-CN" w:bidi="ar-SA"/>
        </w:rPr>
        <w:t>乔木主要有榆树、杨树、柳树等，天然林乔木以胡杨为主，灌木主要有：白刺、柽柳、麻黄、梭梭、沙拐枣、锦鸡儿、琵琶柴、铃铛刺等。草本植物主要有：芦苇、沙生针茅、戈壁针茅、骆驼刺、芨芨草、</w:t>
      </w:r>
      <w:r>
        <w:rPr>
          <w:rFonts w:hint="eastAsia" w:ascii="Times New Roman" w:hAnsi="Times New Roman" w:eastAsia="方正仿宋_GBK" w:cs="Times New Roman"/>
          <w:kern w:val="2"/>
          <w:sz w:val="32"/>
          <w:szCs w:val="32"/>
          <w:shd w:val="clear" w:color="auto" w:fill="auto"/>
          <w:lang w:val="zh-CN" w:eastAsia="zh-CN" w:bidi="ar-SA"/>
        </w:rPr>
        <w:t>委陵菜</w:t>
      </w:r>
      <w:r>
        <w:rPr>
          <w:rFonts w:hint="default" w:ascii="Times New Roman" w:hAnsi="Times New Roman" w:eastAsia="方正仿宋_GBK" w:cs="Times New Roman"/>
          <w:kern w:val="2"/>
          <w:sz w:val="32"/>
          <w:szCs w:val="32"/>
          <w:shd w:val="clear" w:color="auto" w:fill="auto"/>
          <w:lang w:val="zh-CN" w:eastAsia="zh-CN" w:bidi="ar-SA"/>
        </w:rPr>
        <w:t>、火绒草、沙葱等。人</w:t>
      </w:r>
      <w:r>
        <w:rPr>
          <w:rFonts w:hint="default" w:ascii="Times New Roman" w:hAnsi="Times New Roman" w:eastAsia="方正仿宋_GBK" w:cs="Times New Roman"/>
          <w:kern w:val="2"/>
          <w:sz w:val="32"/>
          <w:szCs w:val="32"/>
          <w:shd w:val="clear" w:color="auto" w:fill="auto"/>
          <w:lang w:val="en-US" w:eastAsia="zh-CN" w:bidi="ar-SA"/>
        </w:rPr>
        <w:t>造</w:t>
      </w:r>
      <w:r>
        <w:rPr>
          <w:rFonts w:hint="default" w:ascii="Times New Roman" w:hAnsi="Times New Roman" w:eastAsia="方正仿宋_GBK" w:cs="Times New Roman"/>
          <w:kern w:val="2"/>
          <w:sz w:val="32"/>
          <w:szCs w:val="32"/>
          <w:shd w:val="clear" w:color="auto" w:fill="auto"/>
          <w:lang w:val="zh-CN" w:eastAsia="zh-CN" w:bidi="ar-SA"/>
        </w:rPr>
        <w:t>植被树种有杨、柳、榆、沙枣等。药用植物主要有：贝母、麻黄、甘草、肉苁蓉、大芸、大黄等。</w:t>
      </w:r>
    </w:p>
    <w:p w14:paraId="57B9D79D">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zh-CN" w:eastAsia="zh-CN" w:bidi="ar-SA"/>
        </w:rPr>
      </w:pPr>
      <w:bookmarkStart w:id="47" w:name="_Toc28648"/>
      <w:bookmarkStart w:id="48" w:name="_Toc30257"/>
      <w:r>
        <w:rPr>
          <w:rFonts w:hint="default" w:ascii="Times New Roman" w:hAnsi="Times New Roman" w:eastAsia="方正楷体_GBK" w:cs="Times New Roman"/>
          <w:b w:val="0"/>
          <w:bCs w:val="0"/>
          <w:kern w:val="2"/>
          <w:sz w:val="32"/>
          <w:szCs w:val="32"/>
          <w:shd w:val="clear" w:color="auto" w:fill="auto"/>
          <w:lang w:val="zh-CN" w:eastAsia="zh-CN" w:bidi="ar-SA"/>
        </w:rPr>
        <w:t>（</w:t>
      </w:r>
      <w:r>
        <w:rPr>
          <w:rFonts w:hint="default" w:ascii="Times New Roman" w:hAnsi="Times New Roman" w:eastAsia="方正楷体_GBK" w:cs="Times New Roman"/>
          <w:b w:val="0"/>
          <w:bCs w:val="0"/>
          <w:kern w:val="2"/>
          <w:sz w:val="32"/>
          <w:szCs w:val="32"/>
          <w:shd w:val="clear" w:color="auto" w:fill="auto"/>
          <w:lang w:val="en-US" w:eastAsia="zh-CN" w:bidi="ar-SA"/>
        </w:rPr>
        <w:t>六</w:t>
      </w:r>
      <w:r>
        <w:rPr>
          <w:rFonts w:hint="default" w:ascii="Times New Roman" w:hAnsi="Times New Roman" w:eastAsia="方正楷体_GBK" w:cs="Times New Roman"/>
          <w:b w:val="0"/>
          <w:bCs w:val="0"/>
          <w:kern w:val="2"/>
          <w:sz w:val="32"/>
          <w:szCs w:val="32"/>
          <w:shd w:val="clear" w:color="auto" w:fill="auto"/>
          <w:lang w:val="zh-CN" w:eastAsia="zh-CN" w:bidi="ar-SA"/>
        </w:rPr>
        <w:t>）野生动物资源</w:t>
      </w:r>
      <w:bookmarkEnd w:id="47"/>
      <w:bookmarkEnd w:id="48"/>
    </w:p>
    <w:p w14:paraId="67FD9643">
      <w:pPr>
        <w:pStyle w:val="33"/>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动物种类主要有马鹿、盘羊、北山羊、岩羊、黄羊、沙狐、野猪、野兔、野驴、野鸡、狼、猞猁、雪鸡、金雕、红隼等。在该区域常见动物有盘羊、鹅喉羚、野驴、野骆驼、狼、金雕、红隼等。</w:t>
      </w:r>
    </w:p>
    <w:p w14:paraId="59C014FC">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49" w:name="_Toc5166"/>
      <w:bookmarkStart w:id="50" w:name="_Toc20348"/>
      <w:r>
        <w:rPr>
          <w:rFonts w:hint="default" w:ascii="Times New Roman" w:hAnsi="Times New Roman" w:eastAsia="方正楷体_GBK" w:cs="Times New Roman"/>
          <w:b w:val="0"/>
          <w:bCs w:val="0"/>
          <w:kern w:val="2"/>
          <w:sz w:val="32"/>
          <w:szCs w:val="32"/>
          <w:shd w:val="clear" w:color="auto" w:fill="auto"/>
          <w:lang w:val="en-US" w:eastAsia="zh-CN" w:bidi="ar-SA"/>
        </w:rPr>
        <w:t>（七）林地</w:t>
      </w:r>
      <w:bookmarkEnd w:id="49"/>
      <w:bookmarkEnd w:id="50"/>
    </w:p>
    <w:p w14:paraId="3241EB0C">
      <w:pPr>
        <w:pStyle w:val="33"/>
        <w:pageBreakBefore w:val="0"/>
        <w:numPr>
          <w:ilvl w:val="0"/>
          <w:numId w:val="0"/>
        </w:numPr>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林地总面积为14500.75公顷。</w:t>
      </w:r>
      <w:r>
        <w:rPr>
          <w:rFonts w:hint="default" w:ascii="Times New Roman" w:hAnsi="Times New Roman" w:eastAsia="方正仿宋_GBK" w:cs="Times New Roman"/>
          <w:kern w:val="2"/>
          <w:sz w:val="32"/>
          <w:szCs w:val="32"/>
          <w:shd w:val="clear" w:color="auto" w:fill="auto"/>
          <w:lang w:val="en-US" w:eastAsia="zh-CN" w:bidi="ar-SA"/>
        </w:rPr>
        <w:t>其中：</w:t>
      </w:r>
      <w:r>
        <w:rPr>
          <w:rFonts w:hint="default" w:ascii="Times New Roman" w:hAnsi="Times New Roman" w:eastAsia="方正仿宋_GBK" w:cs="Times New Roman"/>
          <w:kern w:val="2"/>
          <w:sz w:val="32"/>
          <w:szCs w:val="32"/>
          <w:shd w:val="clear" w:color="auto" w:fill="auto"/>
          <w:lang w:val="zh-CN" w:eastAsia="zh-CN" w:bidi="ar-SA"/>
        </w:rPr>
        <w:t>乔木林地面积832.36公顷，占林地面积的5.74%；疏林地面积3554.28公顷，占24.51%；灌木林地面积10114.11公顷，占69.75%。</w:t>
      </w:r>
    </w:p>
    <w:p w14:paraId="2421F97A">
      <w:pPr>
        <w:pStyle w:val="3"/>
        <w:keepNext/>
        <w:keepLines/>
        <w:pageBreakBefore w:val="0"/>
        <w:widowControl/>
        <w:kinsoku/>
        <w:wordWrap/>
        <w:overflowPunct/>
        <w:topLinePunct w:val="0"/>
        <w:autoSpaceDE/>
        <w:autoSpaceDN/>
        <w:bidi w:val="0"/>
        <w:adjustRightInd/>
        <w:snapToGrid/>
        <w:spacing w:before="20" w:after="0" w:line="413" w:lineRule="auto"/>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51" w:name="_Toc4296"/>
      <w:r>
        <w:rPr>
          <w:rFonts w:hint="default" w:ascii="Times New Roman" w:hAnsi="Times New Roman" w:eastAsia="方正公文黑体" w:cs="Times New Roman"/>
          <w:b w:val="0"/>
          <w:bCs w:val="0"/>
          <w:kern w:val="2"/>
          <w:sz w:val="32"/>
          <w:szCs w:val="32"/>
          <w:shd w:val="clear" w:color="auto" w:fill="auto"/>
          <w:lang w:val="en-US" w:eastAsia="zh-CN" w:bidi="ar-SA"/>
        </w:rPr>
        <w:t>三、经济社会概况</w:t>
      </w:r>
      <w:bookmarkEnd w:id="39"/>
      <w:bookmarkEnd w:id="40"/>
      <w:bookmarkEnd w:id="51"/>
    </w:p>
    <w:p w14:paraId="5D2D84D1">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52" w:name="_Toc30222"/>
      <w:bookmarkStart w:id="53" w:name="_Toc17343"/>
      <w:r>
        <w:rPr>
          <w:rFonts w:hint="default" w:ascii="Times New Roman" w:hAnsi="Times New Roman" w:eastAsia="方正楷体_GBK" w:cs="Times New Roman"/>
          <w:b w:val="0"/>
          <w:bCs w:val="0"/>
          <w:kern w:val="2"/>
          <w:sz w:val="32"/>
          <w:szCs w:val="32"/>
          <w:shd w:val="clear" w:color="auto" w:fill="auto"/>
          <w:lang w:val="en-US" w:eastAsia="zh-CN" w:bidi="ar-SA"/>
        </w:rPr>
        <w:t>（一）行政区划和人口</w:t>
      </w:r>
      <w:bookmarkEnd w:id="52"/>
      <w:bookmarkEnd w:id="53"/>
    </w:p>
    <w:p w14:paraId="491F1B3A">
      <w:pPr>
        <w:pStyle w:val="35"/>
        <w:pageBreakBefore w:val="0"/>
        <w:kinsoku/>
        <w:wordWrap/>
        <w:overflowPunct/>
        <w:topLinePunct w:val="0"/>
        <w:autoSpaceDE/>
        <w:autoSpaceDN/>
        <w:bidi w:val="0"/>
        <w:adjustRightInd w:val="0"/>
        <w:snapToGrid/>
        <w:spacing w:line="596" w:lineRule="exact"/>
        <w:ind w:firstLine="560"/>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方正仿宋_GBK" w:cs="Times New Roman"/>
          <w:kern w:val="2"/>
          <w:sz w:val="32"/>
          <w:szCs w:val="32"/>
          <w:shd w:val="clear" w:color="auto" w:fill="auto"/>
          <w:lang w:val="zh-CN" w:eastAsia="zh-CN" w:bidi="ar-SA"/>
        </w:rPr>
        <w:t>伊吾县面积195</w:t>
      </w:r>
      <w:r>
        <w:rPr>
          <w:rFonts w:hint="default" w:ascii="Times New Roman" w:hAnsi="Times New Roman" w:eastAsia="方正仿宋_GBK" w:cs="Times New Roman"/>
          <w:kern w:val="2"/>
          <w:sz w:val="32"/>
          <w:szCs w:val="32"/>
          <w:shd w:val="clear" w:color="auto" w:fill="auto"/>
          <w:lang w:val="en-US" w:eastAsia="zh-CN" w:bidi="ar-SA"/>
        </w:rPr>
        <w:t>3075.9</w:t>
      </w:r>
      <w:r>
        <w:rPr>
          <w:rFonts w:hint="eastAsia" w:ascii="Times New Roman" w:hAnsi="Times New Roman" w:eastAsia="方正仿宋_GBK" w:cs="Times New Roman"/>
          <w:kern w:val="2"/>
          <w:sz w:val="32"/>
          <w:szCs w:val="32"/>
          <w:shd w:val="clear" w:color="auto" w:fill="auto"/>
          <w:lang w:val="en-US" w:eastAsia="zh-CN" w:bidi="ar-SA"/>
        </w:rPr>
        <w:t>0</w:t>
      </w:r>
      <w:r>
        <w:rPr>
          <w:rFonts w:hint="default" w:ascii="Times New Roman" w:hAnsi="Times New Roman" w:eastAsia="方正仿宋_GBK" w:cs="Times New Roman"/>
          <w:kern w:val="2"/>
          <w:sz w:val="32"/>
          <w:szCs w:val="32"/>
          <w:shd w:val="clear" w:color="auto" w:fill="auto"/>
          <w:lang w:val="zh-CN" w:eastAsia="zh-CN" w:bidi="ar-SA"/>
        </w:rPr>
        <w:t>公顷，林业用地面积58626.7</w:t>
      </w:r>
      <w:r>
        <w:rPr>
          <w:rFonts w:hint="eastAsia" w:ascii="Times New Roman" w:hAnsi="Times New Roman" w:eastAsia="方正仿宋_GBK" w:cs="Times New Roman"/>
          <w:kern w:val="2"/>
          <w:sz w:val="32"/>
          <w:szCs w:val="32"/>
          <w:shd w:val="clear" w:color="auto" w:fill="auto"/>
          <w:lang w:val="en-US" w:eastAsia="zh-CN" w:bidi="ar-SA"/>
        </w:rPr>
        <w:t>0</w:t>
      </w:r>
      <w:r>
        <w:rPr>
          <w:rFonts w:hint="default" w:ascii="Times New Roman" w:hAnsi="Times New Roman" w:eastAsia="方正仿宋_GBK" w:cs="Times New Roman"/>
          <w:kern w:val="2"/>
          <w:sz w:val="32"/>
          <w:szCs w:val="32"/>
          <w:shd w:val="clear" w:color="auto" w:fill="auto"/>
          <w:lang w:val="zh-CN" w:eastAsia="zh-CN" w:bidi="ar-SA"/>
        </w:rPr>
        <w:t>公顷，草场558333.3</w:t>
      </w:r>
      <w:r>
        <w:rPr>
          <w:rFonts w:hint="eastAsia" w:ascii="Times New Roman" w:hAnsi="Times New Roman" w:eastAsia="方正仿宋_GBK" w:cs="Times New Roman"/>
          <w:kern w:val="2"/>
          <w:sz w:val="32"/>
          <w:szCs w:val="32"/>
          <w:shd w:val="clear" w:color="auto" w:fill="auto"/>
          <w:lang w:val="en-US" w:eastAsia="zh-CN" w:bidi="ar-SA"/>
        </w:rPr>
        <w:t>0</w:t>
      </w:r>
      <w:r>
        <w:rPr>
          <w:rFonts w:hint="default" w:ascii="Times New Roman" w:hAnsi="Times New Roman" w:eastAsia="方正仿宋_GBK" w:cs="Times New Roman"/>
          <w:kern w:val="2"/>
          <w:sz w:val="32"/>
          <w:szCs w:val="32"/>
          <w:shd w:val="clear" w:color="auto" w:fill="auto"/>
          <w:lang w:val="zh-CN" w:eastAsia="zh-CN" w:bidi="ar-SA"/>
        </w:rPr>
        <w:t>公顷。全县有11个民族，有哈萨克、回、蒙古、乌兹别克、苗、东乡、土家、满和水族等。伊吾县全县辖二镇五乡一区，二镇为伊吾镇、淖毛湖镇</w:t>
      </w:r>
      <w:r>
        <w:rPr>
          <w:rFonts w:hint="eastAsia" w:ascii="Times New Roman" w:hAnsi="Times New Roman" w:eastAsia="方正仿宋_GBK" w:cs="Times New Roman"/>
          <w:kern w:val="2"/>
          <w:sz w:val="32"/>
          <w:szCs w:val="32"/>
          <w:shd w:val="clear" w:color="auto" w:fill="auto"/>
          <w:lang w:val="zh-CN" w:eastAsia="zh-CN" w:bidi="ar-SA"/>
        </w:rPr>
        <w:t>，</w:t>
      </w:r>
      <w:r>
        <w:rPr>
          <w:rFonts w:hint="default" w:ascii="Times New Roman" w:hAnsi="Times New Roman" w:eastAsia="方正仿宋_GBK" w:cs="Times New Roman"/>
          <w:kern w:val="2"/>
          <w:sz w:val="32"/>
          <w:szCs w:val="32"/>
          <w:shd w:val="clear" w:color="auto" w:fill="auto"/>
          <w:lang w:val="zh-CN" w:eastAsia="zh-CN" w:bidi="ar-SA"/>
        </w:rPr>
        <w:t>五乡为吐葫芦乡、苇子峡乡、下马崖乡、前山哈萨克民族乡、盐池乡。一区为淖毛湖开发区。境内有：伊吾军马场、兵团淖毛湖农场等驻县单位。</w:t>
      </w:r>
    </w:p>
    <w:p w14:paraId="40D6D78C">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仿宋_GBK" w:cs="Times New Roman"/>
          <w:kern w:val="2"/>
          <w:sz w:val="32"/>
          <w:szCs w:val="32"/>
          <w:shd w:val="clear" w:color="auto" w:fill="auto"/>
          <w:lang w:val="en-US" w:eastAsia="zh-CN" w:bidi="ar-SA"/>
        </w:rPr>
      </w:pPr>
      <w:bookmarkStart w:id="54" w:name="_Toc22701"/>
      <w:bookmarkStart w:id="55" w:name="_Toc1841"/>
      <w:r>
        <w:rPr>
          <w:rFonts w:hint="default" w:ascii="Times New Roman" w:hAnsi="Times New Roman" w:eastAsia="方正仿宋_GBK" w:cs="Times New Roman"/>
          <w:kern w:val="2"/>
          <w:sz w:val="32"/>
          <w:szCs w:val="32"/>
          <w:shd w:val="clear" w:color="auto" w:fill="auto"/>
          <w:lang w:val="en-US" w:eastAsia="zh-CN" w:bidi="ar-SA"/>
        </w:rPr>
        <w:t>（二）经济发展现状</w:t>
      </w:r>
      <w:bookmarkEnd w:id="54"/>
      <w:bookmarkEnd w:id="55"/>
    </w:p>
    <w:p w14:paraId="64B85DAD">
      <w:pPr>
        <w:keepNext w:val="0"/>
        <w:keepLines w:val="0"/>
        <w:pageBreakBefore w:val="0"/>
        <w:widowControl/>
        <w:numPr>
          <w:ilvl w:val="0"/>
          <w:numId w:val="0"/>
        </w:numPr>
        <w:suppressLineNumbers w:val="0"/>
        <w:kinsoku/>
        <w:wordWrap/>
        <w:overflowPunct/>
        <w:topLinePunct w:val="0"/>
        <w:autoSpaceDE/>
        <w:autoSpaceDN/>
        <w:bidi w:val="0"/>
        <w:snapToGrid/>
        <w:spacing w:line="596" w:lineRule="exact"/>
        <w:ind w:firstLine="640" w:firstLineChars="200"/>
        <w:jc w:val="left"/>
        <w:textAlignment w:val="auto"/>
        <w:rPr>
          <w:rFonts w:hint="default" w:ascii="Times New Roman" w:hAnsi="Times New Roman" w:eastAsia="方正仿宋_GBK" w:cs="Times New Roman"/>
          <w:kern w:val="2"/>
          <w:sz w:val="32"/>
          <w:szCs w:val="32"/>
          <w:shd w:val="clear" w:color="auto" w:fill="auto"/>
          <w:lang w:val="en-US" w:eastAsia="zh-CN" w:bidi="ar-SA"/>
        </w:rPr>
      </w:pPr>
      <w:r>
        <w:rPr>
          <w:rFonts w:hint="default" w:ascii="Times New Roman" w:hAnsi="Times New Roman" w:eastAsia="方正仿宋_GBK" w:cs="Times New Roman"/>
          <w:kern w:val="2"/>
          <w:sz w:val="32"/>
          <w:szCs w:val="32"/>
          <w:shd w:val="clear" w:color="auto" w:fill="auto"/>
          <w:lang w:val="en-US" w:eastAsia="zh-CN" w:bidi="ar-SA"/>
        </w:rPr>
        <w:t>2023年，伊吾县农林牧渔业实现总产值19.56亿元。其中，农业产值15.02亿元，林业产值0.19亿元，畜牧业产值2.59亿元，渔业产值0.57亿元，农林牧渔服务业产值1.19亿元。城镇居民人均可支配收入37383元，农村居民人均可支配收入21430元。</w:t>
      </w:r>
    </w:p>
    <w:p w14:paraId="5F6C9312">
      <w:pPr>
        <w:pStyle w:val="3"/>
        <w:keepNext/>
        <w:keepLines/>
        <w:pageBreakBefore w:val="0"/>
        <w:widowControl/>
        <w:numPr>
          <w:ilvl w:val="0"/>
          <w:numId w:val="2"/>
        </w:numPr>
        <w:kinsoku/>
        <w:wordWrap/>
        <w:overflowPunct/>
        <w:topLinePunct w:val="0"/>
        <w:autoSpaceDE/>
        <w:autoSpaceDN/>
        <w:bidi w:val="0"/>
        <w:adjustRightInd/>
        <w:snapToGrid/>
        <w:spacing w:before="0" w:after="0" w:line="596" w:lineRule="exact"/>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56" w:name="_Toc122160970"/>
      <w:bookmarkStart w:id="57" w:name="_Toc21016"/>
      <w:bookmarkStart w:id="58" w:name="_Toc4015"/>
      <w:r>
        <w:rPr>
          <w:rFonts w:hint="default" w:ascii="Times New Roman" w:hAnsi="Times New Roman" w:eastAsia="方正公文黑体" w:cs="Times New Roman"/>
          <w:b w:val="0"/>
          <w:bCs w:val="0"/>
          <w:kern w:val="2"/>
          <w:sz w:val="32"/>
          <w:szCs w:val="32"/>
          <w:shd w:val="clear" w:color="auto" w:fill="auto"/>
          <w:lang w:val="en-US" w:eastAsia="zh-CN" w:bidi="ar-SA"/>
        </w:rPr>
        <w:t>伊吾县资源情况</w:t>
      </w:r>
      <w:bookmarkEnd w:id="56"/>
      <w:bookmarkEnd w:id="57"/>
      <w:bookmarkEnd w:id="58"/>
    </w:p>
    <w:p w14:paraId="45F8B08A">
      <w:pPr>
        <w:keepNext w:val="0"/>
        <w:keepLines w:val="0"/>
        <w:pageBreakBefore w:val="0"/>
        <w:widowControl/>
        <w:numPr>
          <w:ilvl w:val="0"/>
          <w:numId w:val="0"/>
        </w:numPr>
        <w:suppressLineNumbers w:val="0"/>
        <w:kinsoku/>
        <w:wordWrap/>
        <w:overflowPunct/>
        <w:topLinePunct w:val="0"/>
        <w:autoSpaceDE/>
        <w:autoSpaceDN/>
        <w:bidi w:val="0"/>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耕地总面积6113.33公顷，各类草场558333.33公顷；农业发展以有机农业为主攻方向，种植业以哈密瓜、饲草种植为主；畜牧业以羊、牛、生猪养殖为主。2003年经自治区环保局批准，伊吾县成为全疆第一个“有机食品生产示范县”。2007年被自治区列为全疆四个循环经济试点县之一。已注册的“淖毛湖”牌晚熟哈密瓜和“途阔”牌哈密盐池羊肉享誉区内外。苇子峡野山杏是新疆哈密地区伊吾县苇子峡乡的特产。苇子峡乡自古以来盛产野山杏，著名的“阿达克”野山杏主要产自这里。</w:t>
      </w:r>
    </w:p>
    <w:p w14:paraId="330D5DFD">
      <w:pPr>
        <w:keepNext w:val="0"/>
        <w:keepLines w:val="0"/>
        <w:pageBreakBefore w:val="0"/>
        <w:widowControl/>
        <w:numPr>
          <w:ilvl w:val="0"/>
          <w:numId w:val="0"/>
        </w:numPr>
        <w:suppressLineNumbers w:val="0"/>
        <w:kinsoku/>
        <w:wordWrap/>
        <w:overflowPunct/>
        <w:topLinePunct w:val="0"/>
        <w:autoSpaceDE/>
        <w:autoSpaceDN/>
        <w:bidi w:val="0"/>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苇子峡乡光、热、水、土资源十分丰富，具有种植野山杏得天独厚的自然条件，经新疆农业大学农科所提样化验，苇子峡乡天然野山杏具有钙、磷、蛋白质等含量高的特点，含有较多抗癌物质，并具有降血脂、降血压、软化血管、抗癌和减肥等功效。2005年国家工商</w:t>
      </w:r>
      <w:r>
        <w:rPr>
          <w:rFonts w:hint="eastAsia" w:ascii="Times New Roman" w:hAnsi="Times New Roman" w:eastAsia="方正仿宋_GBK" w:cs="Times New Roman"/>
          <w:snapToGrid w:val="0"/>
          <w:spacing w:val="6"/>
          <w:kern w:val="0"/>
          <w:sz w:val="32"/>
          <w:szCs w:val="32"/>
          <w:shd w:val="clear" w:color="auto" w:fill="auto"/>
          <w:lang w:val="en-US" w:eastAsia="zh-CN" w:bidi="ar-SA"/>
        </w:rPr>
        <w:t>行政管理</w:t>
      </w:r>
      <w:r>
        <w:rPr>
          <w:rFonts w:hint="default" w:ascii="Times New Roman" w:hAnsi="Times New Roman" w:eastAsia="方正仿宋_GBK" w:cs="Times New Roman"/>
          <w:snapToGrid w:val="0"/>
          <w:spacing w:val="6"/>
          <w:kern w:val="0"/>
          <w:sz w:val="32"/>
          <w:szCs w:val="32"/>
          <w:shd w:val="clear" w:color="auto" w:fill="auto"/>
          <w:lang w:val="en-US" w:eastAsia="zh-CN" w:bidi="ar-SA"/>
        </w:rPr>
        <w:t>总局</w:t>
      </w:r>
      <w:r>
        <w:rPr>
          <w:rFonts w:hint="eastAsia" w:ascii="Times New Roman" w:hAnsi="Times New Roman" w:eastAsia="方正仿宋_GBK" w:cs="Times New Roman"/>
          <w:snapToGrid w:val="0"/>
          <w:spacing w:val="6"/>
          <w:kern w:val="0"/>
          <w:sz w:val="32"/>
          <w:szCs w:val="32"/>
          <w:shd w:val="clear" w:color="auto" w:fill="auto"/>
          <w:lang w:val="en-US" w:eastAsia="zh-CN" w:bidi="ar-SA"/>
        </w:rPr>
        <w:t>商标局</w:t>
      </w:r>
      <w:r>
        <w:rPr>
          <w:rFonts w:hint="default" w:ascii="Times New Roman" w:hAnsi="Times New Roman" w:eastAsia="方正仿宋_GBK" w:cs="Times New Roman"/>
          <w:snapToGrid w:val="0"/>
          <w:spacing w:val="6"/>
          <w:kern w:val="0"/>
          <w:sz w:val="32"/>
          <w:szCs w:val="32"/>
          <w:shd w:val="clear" w:color="auto" w:fill="auto"/>
          <w:lang w:val="en-US" w:eastAsia="zh-CN" w:bidi="ar-SA"/>
        </w:rPr>
        <w:t>批准了“阿达克”牌有机天然野山杏的商标注册。</w:t>
      </w:r>
    </w:p>
    <w:p w14:paraId="0D3DAAF0">
      <w:pPr>
        <w:keepNext w:val="0"/>
        <w:keepLines w:val="0"/>
        <w:pageBreakBefore w:val="0"/>
        <w:widowControl/>
        <w:numPr>
          <w:ilvl w:val="0"/>
          <w:numId w:val="0"/>
        </w:numPr>
        <w:suppressLineNumbers w:val="0"/>
        <w:kinsoku/>
        <w:wordWrap/>
        <w:overflowPunct/>
        <w:topLinePunct w:val="0"/>
        <w:autoSpaceDE/>
        <w:autoSpaceDN/>
        <w:bidi w:val="0"/>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双峰野骆驼是世界上独立的珍稀动物，被我国政府列为国家一级保护动物。在哈密主要分布在西南部的戈壁沙漠地带及山北伊吾县的淖毛湖沙漠胡杨林带、伊吾下马崖与外蒙接壤的戈壁荒漠中。双峰野骆驼是仅存的驼属野生种，所以被称为世界珍兽。它不怕风沙，具有灵敏的嗅觉。野骆驼与家骆驼有实质性的差别。</w:t>
      </w:r>
    </w:p>
    <w:p w14:paraId="17ACE3F8">
      <w:pPr>
        <w:keepNext w:val="0"/>
        <w:keepLines w:val="0"/>
        <w:pageBreakBefore w:val="0"/>
        <w:widowControl/>
        <w:numPr>
          <w:ilvl w:val="0"/>
          <w:numId w:val="0"/>
        </w:numPr>
        <w:suppressLineNumbers w:val="0"/>
        <w:kinsoku/>
        <w:wordWrap/>
        <w:overflowPunct/>
        <w:topLinePunct w:val="0"/>
        <w:autoSpaceDE/>
        <w:autoSpaceDN/>
        <w:bidi w:val="0"/>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w:t>
      </w:r>
      <w:r>
        <w:rPr>
          <w:rFonts w:hint="eastAsia" w:ascii="Times New Roman" w:hAnsi="Times New Roman" w:eastAsia="方正仿宋_GBK" w:cs="Times New Roman"/>
          <w:snapToGrid w:val="0"/>
          <w:spacing w:val="6"/>
          <w:kern w:val="0"/>
          <w:sz w:val="32"/>
          <w:szCs w:val="32"/>
          <w:shd w:val="clear" w:color="auto" w:fill="auto"/>
          <w:lang w:val="en-US" w:eastAsia="zh-CN" w:bidi="ar-SA"/>
        </w:rPr>
        <w:t>拥有</w:t>
      </w:r>
      <w:r>
        <w:rPr>
          <w:rFonts w:hint="default" w:ascii="Times New Roman" w:hAnsi="Times New Roman" w:eastAsia="方正仿宋_GBK" w:cs="Times New Roman"/>
          <w:snapToGrid w:val="0"/>
          <w:spacing w:val="6"/>
          <w:kern w:val="0"/>
          <w:sz w:val="32"/>
          <w:szCs w:val="32"/>
          <w:shd w:val="clear" w:color="auto" w:fill="auto"/>
          <w:lang w:val="en-US" w:eastAsia="zh-CN" w:bidi="ar-SA"/>
        </w:rPr>
        <w:t>独特</w:t>
      </w:r>
      <w:r>
        <w:rPr>
          <w:rFonts w:hint="eastAsia" w:ascii="Times New Roman" w:hAnsi="Times New Roman" w:eastAsia="方正仿宋_GBK" w:cs="Times New Roman"/>
          <w:snapToGrid w:val="0"/>
          <w:spacing w:val="6"/>
          <w:kern w:val="0"/>
          <w:sz w:val="32"/>
          <w:szCs w:val="32"/>
          <w:shd w:val="clear" w:color="auto" w:fill="auto"/>
          <w:lang w:val="en-US" w:eastAsia="zh-CN" w:bidi="ar-SA"/>
        </w:rPr>
        <w:t>的</w:t>
      </w:r>
      <w:r>
        <w:rPr>
          <w:rFonts w:hint="default" w:ascii="Times New Roman" w:hAnsi="Times New Roman" w:eastAsia="方正仿宋_GBK" w:cs="Times New Roman"/>
          <w:snapToGrid w:val="0"/>
          <w:spacing w:val="6"/>
          <w:kern w:val="0"/>
          <w:sz w:val="32"/>
          <w:szCs w:val="32"/>
          <w:shd w:val="clear" w:color="auto" w:fill="auto"/>
          <w:lang w:val="en-US" w:eastAsia="zh-CN" w:bidi="ar-SA"/>
        </w:rPr>
        <w:t>旅游资源。现有国家4A景区1处</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淖毛湖胡杨林生态园景区；3A级景区2处，分别是苇子峡太阳历广场和伊水园景区；中国四大鸣沙山之一的伊吾鸣沙山独领风骚；乃楞格尔草原一望无际，牛羊成群；幻彩湖，可随四季更替和风云变幻而化出不同色彩；彩蝶纷飞的蝴蝶谷</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峡沟古岩画、喀尔桑古遗址、草原石人、屯军遗址等古迹，硅化木遗址、卧龙山等自然风光和人文景观</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都具有很高的考古、观赏价值。伊吾县具有四十天保卫战的光荣历史。1950年3月至5月，解放军六军16师46团一营二连指战员经过四十天的日夜奋战，先后击退了叛匪的7次猛攻，于5月7日取得了保卫战的胜利。1980年伊吾县烈士陵园落成，现为“全国重点烈士纪念建筑物保护单位”和自治区级爱国主义教育基地。</w:t>
      </w:r>
    </w:p>
    <w:p w14:paraId="3CBD0293">
      <w:pPr>
        <w:pageBreakBefore w:val="0"/>
        <w:kinsoku/>
        <w:wordWrap/>
        <w:overflowPunct/>
        <w:topLinePunct w:val="0"/>
        <w:autoSpaceDE/>
        <w:autoSpaceDN/>
        <w:bidi w:val="0"/>
        <w:snapToGrid/>
        <w:spacing w:line="596" w:lineRule="exact"/>
        <w:textAlignment w:val="auto"/>
        <w:rPr>
          <w:rFonts w:hint="default" w:ascii="Times New Roman" w:hAnsi="Times New Roman" w:eastAsia="方正公文小标宋" w:cs="Times New Roman"/>
          <w:b w:val="0"/>
          <w:bCs w:val="0"/>
          <w:shd w:val="clear" w:color="auto" w:fill="auto"/>
          <w:lang w:val="en-US" w:eastAsia="zh-CN"/>
        </w:rPr>
      </w:pPr>
      <w:r>
        <w:rPr>
          <w:rFonts w:hint="default" w:ascii="Times New Roman" w:hAnsi="Times New Roman" w:eastAsia="仿宋" w:cs="Times New Roman"/>
          <w:sz w:val="28"/>
          <w:szCs w:val="28"/>
          <w:shd w:val="clear" w:color="auto" w:fill="auto"/>
        </w:rPr>
        <w:br w:type="page"/>
      </w:r>
      <w:bookmarkStart w:id="59" w:name="_Toc17006"/>
      <w:bookmarkStart w:id="60" w:name="_Toc16313"/>
    </w:p>
    <w:p w14:paraId="257EA1C0">
      <w:pPr>
        <w:pStyle w:val="2"/>
        <w:keepNext/>
        <w:keepLines/>
        <w:pageBreakBefore w:val="0"/>
        <w:widowControl/>
        <w:kinsoku/>
        <w:wordWrap/>
        <w:overflowPunct/>
        <w:topLinePunct w:val="0"/>
        <w:autoSpaceDE/>
        <w:autoSpaceDN/>
        <w:bidi w:val="0"/>
        <w:adjustRightInd/>
        <w:snapToGrid/>
        <w:spacing w:before="469" w:beforeLines="150" w:after="469" w:afterLines="15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61" w:name="_Toc19320"/>
      <w:r>
        <w:rPr>
          <w:rFonts w:hint="default" w:ascii="Times New Roman" w:hAnsi="Times New Roman" w:eastAsia="方正公文小标宋" w:cs="Times New Roman"/>
          <w:b w:val="0"/>
          <w:bCs w:val="0"/>
          <w:shd w:val="clear" w:color="auto" w:fill="auto"/>
          <w:lang w:val="en-US" w:eastAsia="zh-CN"/>
        </w:rPr>
        <w:t>第二章 防沙治沙现状、成效和形势</w:t>
      </w:r>
      <w:bookmarkEnd w:id="59"/>
      <w:bookmarkEnd w:id="60"/>
      <w:bookmarkEnd w:id="61"/>
    </w:p>
    <w:p w14:paraId="4B65BDF8">
      <w:pPr>
        <w:pStyle w:val="3"/>
        <w:keepNext/>
        <w:keepLines/>
        <w:pageBreakBefore w:val="0"/>
        <w:widowControl/>
        <w:kinsoku/>
        <w:wordWrap/>
        <w:overflowPunct/>
        <w:topLinePunct w:val="0"/>
        <w:autoSpaceDE/>
        <w:autoSpaceDN/>
        <w:bidi w:val="0"/>
        <w:adjustRightInd/>
        <w:snapToGrid/>
        <w:spacing w:before="0" w:after="0" w:line="413" w:lineRule="auto"/>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62" w:name="_Toc15714"/>
      <w:bookmarkStart w:id="63" w:name="_Toc7342"/>
      <w:bookmarkStart w:id="64" w:name="_Toc23178"/>
      <w:r>
        <w:rPr>
          <w:rFonts w:hint="default" w:ascii="Times New Roman" w:hAnsi="Times New Roman" w:eastAsia="方正公文黑体" w:cs="Times New Roman"/>
          <w:b w:val="0"/>
          <w:bCs w:val="0"/>
          <w:kern w:val="2"/>
          <w:sz w:val="32"/>
          <w:szCs w:val="32"/>
          <w:shd w:val="clear" w:color="auto" w:fill="auto"/>
          <w:lang w:val="en-US" w:eastAsia="zh-CN" w:bidi="ar-SA"/>
        </w:rPr>
        <w:t>一、伊吾县土地沙漠化现状</w:t>
      </w:r>
      <w:bookmarkEnd w:id="62"/>
      <w:bookmarkEnd w:id="63"/>
      <w:bookmarkEnd w:id="64"/>
    </w:p>
    <w:p w14:paraId="3719CD06">
      <w:pPr>
        <w:keepNext/>
        <w:keepLines/>
        <w:pageBreakBefore w:val="0"/>
        <w:widowControl w:val="0"/>
        <w:kinsoku/>
        <w:wordWrap/>
        <w:overflowPunct/>
        <w:topLinePunct w:val="0"/>
        <w:autoSpaceDE/>
        <w:autoSpaceDN/>
        <w:bidi w:val="0"/>
        <w:adjustRightInd/>
        <w:snapToGrid/>
        <w:spacing w:before="0" w:after="0" w:line="61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65" w:name="_Toc24772"/>
      <w:bookmarkStart w:id="66" w:name="_Toc8631"/>
      <w:bookmarkStart w:id="67" w:name="_Toc18781"/>
      <w:r>
        <w:rPr>
          <w:rFonts w:hint="default" w:ascii="Times New Roman" w:hAnsi="Times New Roman" w:eastAsia="方正楷体_GBK" w:cs="Times New Roman"/>
          <w:b w:val="0"/>
          <w:bCs w:val="0"/>
          <w:kern w:val="2"/>
          <w:sz w:val="32"/>
          <w:szCs w:val="32"/>
          <w:shd w:val="clear" w:color="auto" w:fill="auto"/>
          <w:lang w:val="en-US" w:eastAsia="zh-CN" w:bidi="ar-SA"/>
        </w:rPr>
        <w:t>（一）沙化土地面积</w:t>
      </w:r>
      <w:bookmarkEnd w:id="65"/>
      <w:bookmarkEnd w:id="66"/>
      <w:bookmarkEnd w:id="67"/>
    </w:p>
    <w:p w14:paraId="68257663">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61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drawing>
          <wp:anchor distT="0" distB="0" distL="114300" distR="114300" simplePos="0" relativeHeight="251660288" behindDoc="0" locked="0" layoutInCell="1" allowOverlap="1">
            <wp:simplePos x="0" y="0"/>
            <wp:positionH relativeFrom="column">
              <wp:posOffset>219075</wp:posOffset>
            </wp:positionH>
            <wp:positionV relativeFrom="paragraph">
              <wp:posOffset>3415030</wp:posOffset>
            </wp:positionV>
            <wp:extent cx="4955540" cy="2935605"/>
            <wp:effectExtent l="0" t="0" r="0" b="0"/>
            <wp:wrapSquare wrapText="bothSides"/>
            <wp:docPr id="1" name="图片 1" descr="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raph3"/>
                    <pic:cNvPicPr>
                      <a:picLocks noChangeAspect="1"/>
                    </pic:cNvPicPr>
                  </pic:nvPicPr>
                  <pic:blipFill>
                    <a:blip r:embed="rId11"/>
                    <a:srcRect l="6033" t="12504" b="14785"/>
                    <a:stretch>
                      <a:fillRect/>
                    </a:stretch>
                  </pic:blipFill>
                  <pic:spPr>
                    <a:xfrm>
                      <a:off x="0" y="0"/>
                      <a:ext cx="4955540" cy="2935605"/>
                    </a:xfrm>
                    <a:prstGeom prst="rect">
                      <a:avLst/>
                    </a:prstGeom>
                  </pic:spPr>
                </pic:pic>
              </a:graphicData>
            </a:graphic>
          </wp:anchor>
        </w:drawing>
      </w: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根据第六次沙化土地监测结果，伊吾县沙化土地面积127.57万公顷，占全市的13.72%，占伊吾县国土面积的65.3</w:t>
      </w:r>
      <w:r>
        <w:rPr>
          <w:rFonts w:hint="eastAsia" w:ascii="Times New Roman" w:hAnsi="Times New Roman" w:eastAsia="方正仿宋_GBK" w:cs="Times New Roman"/>
          <w:snapToGrid w:val="0"/>
          <w:color w:val="auto"/>
          <w:spacing w:val="6"/>
          <w:kern w:val="0"/>
          <w:sz w:val="32"/>
          <w:szCs w:val="32"/>
          <w:shd w:val="clear" w:color="auto" w:fill="auto"/>
          <w:lang w:val="en-US" w:eastAsia="zh-CN" w:bidi="ar-SA"/>
        </w:rPr>
        <w:t>2</w:t>
      </w: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%，主</w:t>
      </w:r>
      <w:r>
        <w:rPr>
          <w:rFonts w:hint="default" w:ascii="Times New Roman" w:hAnsi="Times New Roman" w:eastAsia="方正仿宋_GBK" w:cs="Times New Roman"/>
          <w:snapToGrid w:val="0"/>
          <w:spacing w:val="6"/>
          <w:kern w:val="0"/>
          <w:sz w:val="32"/>
          <w:szCs w:val="32"/>
          <w:shd w:val="clear" w:color="auto" w:fill="auto"/>
          <w:lang w:val="en-US" w:eastAsia="zh-CN" w:bidi="ar-SA"/>
        </w:rPr>
        <w:t>要分布在淖毛湖镇、盐池镇、苇子峡乡等地。其中：轻度沙化土地面积48229.02公顷，占沙化土地面积的3.8%；中度沙化土地面积156524.30公顷，占沙化土地面积的12.</w:t>
      </w:r>
      <w:r>
        <w:rPr>
          <w:rFonts w:hint="eastAsia" w:ascii="Times New Roman" w:hAnsi="Times New Roman" w:eastAsia="方正仿宋_GBK" w:cs="Times New Roman"/>
          <w:snapToGrid w:val="0"/>
          <w:spacing w:val="6"/>
          <w:kern w:val="0"/>
          <w:sz w:val="32"/>
          <w:szCs w:val="32"/>
          <w:shd w:val="clear" w:color="auto" w:fill="auto"/>
          <w:lang w:val="en-US" w:eastAsia="zh-CN" w:bidi="ar-SA"/>
        </w:rPr>
        <w:t>3</w:t>
      </w:r>
      <w:r>
        <w:rPr>
          <w:rFonts w:hint="default" w:ascii="Times New Roman" w:hAnsi="Times New Roman" w:eastAsia="方正仿宋_GBK" w:cs="Times New Roman"/>
          <w:snapToGrid w:val="0"/>
          <w:spacing w:val="6"/>
          <w:kern w:val="0"/>
          <w:sz w:val="32"/>
          <w:szCs w:val="32"/>
          <w:shd w:val="clear" w:color="auto" w:fill="auto"/>
          <w:lang w:val="en-US" w:eastAsia="zh-CN" w:bidi="ar-SA"/>
        </w:rPr>
        <w:t>%；重度沙化土地面积222179.8公顷，占沙化土地面积的17.4%；极重度沙化土地面积848778.1公顷，占沙化土地面积的66.5%。</w:t>
      </w:r>
      <w:bookmarkStart w:id="68" w:name="_Toc12737"/>
    </w:p>
    <w:p w14:paraId="3D559BC7">
      <w:pPr>
        <w:pStyle w:val="33"/>
        <w:keepNext w:val="0"/>
        <w:keepLines w:val="0"/>
        <w:pageBreakBefore w:val="0"/>
        <w:widowControl/>
        <w:kinsoku/>
        <w:wordWrap/>
        <w:overflowPunct/>
        <w:topLinePunct w:val="0"/>
        <w:autoSpaceDE/>
        <w:autoSpaceDN/>
        <w:bidi w:val="0"/>
        <w:adjustRightInd/>
        <w:snapToGrid/>
        <w:spacing w:line="596" w:lineRule="exact"/>
        <w:jc w:val="center"/>
        <w:textAlignment w:val="auto"/>
        <w:rPr>
          <w:rFonts w:hint="default" w:ascii="Times New Roman" w:hAnsi="Times New Roman" w:eastAsia="方正仿宋_GBK" w:cs="Times New Roman"/>
          <w:kern w:val="2"/>
          <w:sz w:val="32"/>
          <w:szCs w:val="32"/>
          <w:shd w:val="clear" w:color="auto" w:fill="auto"/>
          <w:lang w:val="zh-CN" w:eastAsia="zh-CN" w:bidi="ar-SA"/>
        </w:rPr>
      </w:pPr>
      <w:r>
        <w:rPr>
          <w:rFonts w:hint="default" w:ascii="Times New Roman" w:hAnsi="Times New Roman" w:eastAsia="仿宋_GB2312" w:cs="Times New Roman"/>
          <w:color w:val="000000"/>
          <w:kern w:val="0"/>
          <w:sz w:val="28"/>
          <w:szCs w:val="28"/>
          <w:shd w:val="clear" w:color="auto" w:fill="auto"/>
          <w:lang w:val="en-US" w:eastAsia="zh-CN" w:bidi="ar"/>
        </w:rPr>
        <w:t xml:space="preserve">图 </w:t>
      </w:r>
      <w:r>
        <w:rPr>
          <w:rFonts w:hint="eastAsia" w:ascii="Times New Roman" w:hAnsi="Times New Roman" w:cs="Times New Roman"/>
          <w:color w:val="000000"/>
          <w:kern w:val="0"/>
          <w:sz w:val="28"/>
          <w:szCs w:val="28"/>
          <w:shd w:val="clear" w:color="auto" w:fill="auto"/>
          <w:lang w:val="en-US" w:eastAsia="zh-CN" w:bidi="ar"/>
        </w:rPr>
        <w:t>2</w:t>
      </w:r>
      <w:r>
        <w:rPr>
          <w:rFonts w:hint="default" w:ascii="Times New Roman" w:hAnsi="Times New Roman" w:eastAsia="仿宋_GB2312" w:cs="Times New Roman"/>
          <w:color w:val="000000"/>
          <w:kern w:val="0"/>
          <w:sz w:val="28"/>
          <w:szCs w:val="28"/>
          <w:shd w:val="clear" w:color="auto" w:fill="auto"/>
          <w:lang w:val="en-US" w:eastAsia="zh-CN" w:bidi="ar"/>
        </w:rPr>
        <w:t xml:space="preserve">-1 </w:t>
      </w:r>
      <w:r>
        <w:rPr>
          <w:rFonts w:hint="default" w:ascii="Times New Roman" w:hAnsi="Times New Roman" w:cs="Times New Roman"/>
          <w:color w:val="000000"/>
          <w:kern w:val="0"/>
          <w:sz w:val="28"/>
          <w:szCs w:val="28"/>
          <w:shd w:val="clear" w:color="auto" w:fill="auto"/>
          <w:lang w:val="en-US" w:eastAsia="zh-CN" w:bidi="ar"/>
        </w:rPr>
        <w:t>伊吾</w:t>
      </w:r>
      <w:r>
        <w:rPr>
          <w:rFonts w:hint="default" w:ascii="Times New Roman" w:hAnsi="Times New Roman" w:eastAsia="仿宋_GB2312" w:cs="Times New Roman"/>
          <w:color w:val="000000"/>
          <w:kern w:val="0"/>
          <w:sz w:val="28"/>
          <w:szCs w:val="28"/>
          <w:shd w:val="clear" w:color="auto" w:fill="auto"/>
          <w:lang w:val="en-US" w:eastAsia="zh-CN" w:bidi="ar"/>
        </w:rPr>
        <w:t>县</w:t>
      </w:r>
      <w:r>
        <w:rPr>
          <w:rFonts w:hint="eastAsia" w:ascii="Times New Roman" w:hAnsi="Times New Roman" w:cs="Times New Roman"/>
          <w:color w:val="000000"/>
          <w:kern w:val="0"/>
          <w:sz w:val="28"/>
          <w:szCs w:val="28"/>
          <w:shd w:val="clear" w:color="auto" w:fill="auto"/>
          <w:lang w:val="en-US" w:eastAsia="zh-CN" w:bidi="ar"/>
        </w:rPr>
        <w:t>沙化程度</w:t>
      </w:r>
      <w:r>
        <w:rPr>
          <w:rFonts w:hint="default" w:ascii="Times New Roman" w:hAnsi="Times New Roman" w:eastAsia="仿宋_GB2312" w:cs="Times New Roman"/>
          <w:color w:val="000000"/>
          <w:kern w:val="0"/>
          <w:sz w:val="28"/>
          <w:szCs w:val="28"/>
          <w:shd w:val="clear" w:color="auto" w:fill="auto"/>
          <w:lang w:val="en-US" w:eastAsia="zh-CN" w:bidi="ar"/>
        </w:rPr>
        <w:t>图</w:t>
      </w:r>
    </w:p>
    <w:p w14:paraId="5CCAA706">
      <w:pPr>
        <w:keepNext/>
        <w:keepLines/>
        <w:pageBreakBefore w:val="0"/>
        <w:widowControl w:val="0"/>
        <w:shd w:val="clear"/>
        <w:kinsoku/>
        <w:wordWrap/>
        <w:overflowPunct/>
        <w:topLinePunct w:val="0"/>
        <w:autoSpaceDE/>
        <w:autoSpaceDN/>
        <w:bidi w:val="0"/>
        <w:adjustRightInd/>
        <w:snapToGrid/>
        <w:spacing w:before="0" w:after="0" w:line="596" w:lineRule="exact"/>
        <w:ind w:left="0" w:leftChars="0" w:firstLine="450" w:firstLineChars="150"/>
        <w:jc w:val="both"/>
        <w:textAlignment w:val="auto"/>
        <w:outlineLvl w:val="2"/>
        <w:rPr>
          <w:rFonts w:hint="default" w:ascii="Times New Roman" w:hAnsi="Times New Roman" w:eastAsia="方正楷体_GBK" w:cs="Times New Roman"/>
          <w:b w:val="0"/>
          <w:bCs w:val="0"/>
          <w:kern w:val="2"/>
          <w:sz w:val="30"/>
          <w:szCs w:val="30"/>
          <w:shd w:val="clear" w:color="auto" w:fill="auto"/>
          <w:lang w:val="en-US" w:eastAsia="zh-CN" w:bidi="ar-SA"/>
        </w:rPr>
      </w:pPr>
      <w:bookmarkStart w:id="69" w:name="_Toc29390"/>
      <w:bookmarkStart w:id="70" w:name="_Toc4207"/>
      <w:r>
        <w:rPr>
          <w:rFonts w:hint="default" w:ascii="Times New Roman" w:hAnsi="Times New Roman" w:eastAsia="方正楷体_GBK" w:cs="Times New Roman"/>
          <w:b w:val="0"/>
          <w:bCs w:val="0"/>
          <w:kern w:val="2"/>
          <w:sz w:val="30"/>
          <w:szCs w:val="30"/>
          <w:shd w:val="clear" w:color="auto" w:fill="auto"/>
          <w:lang w:val="en-US" w:eastAsia="zh-CN" w:bidi="ar-SA"/>
        </w:rPr>
        <w:t>（二）沙化土地类型特征</w:t>
      </w:r>
      <w:bookmarkEnd w:id="68"/>
      <w:bookmarkEnd w:id="69"/>
      <w:bookmarkEnd w:id="70"/>
    </w:p>
    <w:p w14:paraId="354FC3CC">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61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bookmarkStart w:id="71" w:name="_Toc2982"/>
      <w:r>
        <w:rPr>
          <w:rFonts w:hint="default" w:ascii="Times New Roman" w:hAnsi="Times New Roman" w:eastAsia="方正仿宋_GBK" w:cs="Times New Roman"/>
          <w:snapToGrid w:val="0"/>
          <w:spacing w:val="6"/>
          <w:kern w:val="0"/>
          <w:sz w:val="32"/>
          <w:szCs w:val="32"/>
          <w:shd w:val="clear" w:color="auto" w:fill="auto"/>
          <w:lang w:val="en-US" w:eastAsia="zh-CN" w:bidi="ar-SA"/>
        </w:rPr>
        <w:t>伊吾县沙化土地主要分布于淖毛湖镇、盐池镇、苇子峡乡等地，按沙化土地类型分：天然固定沙地面积398.64</w:t>
      </w:r>
      <w:r>
        <w:rPr>
          <w:rFonts w:hint="eastAsia" w:ascii="Times New Roman" w:hAnsi="Times New Roman" w:eastAsia="方正仿宋_GBK" w:cs="Times New Roman"/>
          <w:snapToGrid w:val="0"/>
          <w:spacing w:val="6"/>
          <w:kern w:val="0"/>
          <w:sz w:val="32"/>
          <w:szCs w:val="32"/>
          <w:shd w:val="clear" w:color="auto" w:fill="auto"/>
          <w:lang w:val="en-US" w:eastAsia="zh-CN" w:bidi="ar-SA"/>
        </w:rPr>
        <w:t>公顷</w:t>
      </w:r>
      <w:r>
        <w:rPr>
          <w:rFonts w:hint="default" w:ascii="Times New Roman" w:hAnsi="Times New Roman" w:eastAsia="方正仿宋_GBK" w:cs="Times New Roman"/>
          <w:snapToGrid w:val="0"/>
          <w:spacing w:val="6"/>
          <w:kern w:val="0"/>
          <w:sz w:val="32"/>
          <w:szCs w:val="32"/>
          <w:shd w:val="clear" w:color="auto" w:fill="auto"/>
          <w:lang w:val="en-US" w:eastAsia="zh-CN" w:bidi="ar-SA"/>
        </w:rPr>
        <w:t>，占沙化土地面积的0.03%；沙化耕地面积213.14公顷，占沙化土地面积的0.02%；砾质戈壁面积1273833.31公顷，占沙化土地面积的99.85%；</w:t>
      </w:r>
      <w:r>
        <w:rPr>
          <w:rFonts w:hint="eastAsia" w:ascii="Times New Roman" w:hAnsi="Times New Roman" w:eastAsia="方正仿宋_GBK" w:cs="Times New Roman"/>
          <w:snapToGrid w:val="0"/>
          <w:spacing w:val="6"/>
          <w:kern w:val="0"/>
          <w:sz w:val="32"/>
          <w:szCs w:val="32"/>
          <w:shd w:val="clear" w:color="auto" w:fill="auto"/>
          <w:lang w:val="en-US" w:eastAsia="zh-CN" w:bidi="ar-SA"/>
        </w:rPr>
        <w:t>沙</w:t>
      </w:r>
      <w:r>
        <w:rPr>
          <w:rFonts w:hint="default" w:ascii="Times New Roman" w:hAnsi="Times New Roman" w:eastAsia="方正仿宋_GBK" w:cs="Times New Roman"/>
          <w:snapToGrid w:val="0"/>
          <w:spacing w:val="6"/>
          <w:kern w:val="0"/>
          <w:sz w:val="32"/>
          <w:szCs w:val="32"/>
          <w:shd w:val="clear" w:color="auto" w:fill="auto"/>
          <w:lang w:val="en-US" w:eastAsia="zh-CN" w:bidi="ar-SA"/>
        </w:rPr>
        <w:t>砾地面积247.65公顷，占沙化土地面积的0.02%；流动沙丘面积752.03公顷，占沙化土地面积的0.06%</w:t>
      </w:r>
      <w:r>
        <w:rPr>
          <w:rFonts w:hint="eastAsia" w:ascii="Times New Roman" w:hAnsi="Times New Roman" w:eastAsia="方正仿宋_GBK" w:cs="Times New Roman"/>
          <w:snapToGrid w:val="0"/>
          <w:spacing w:val="6"/>
          <w:kern w:val="0"/>
          <w:sz w:val="32"/>
          <w:szCs w:val="32"/>
          <w:shd w:val="clear" w:color="auto" w:fill="auto"/>
          <w:lang w:val="en-US" w:eastAsia="zh-CN" w:bidi="ar-SA"/>
        </w:rPr>
        <w:t>；天</w:t>
      </w:r>
      <w:r>
        <w:rPr>
          <w:rFonts w:hint="default" w:ascii="Times New Roman" w:hAnsi="Times New Roman" w:eastAsia="方正仿宋_GBK" w:cs="Times New Roman"/>
          <w:snapToGrid w:val="0"/>
          <w:spacing w:val="6"/>
          <w:kern w:val="0"/>
          <w:sz w:val="32"/>
          <w:szCs w:val="32"/>
          <w:shd w:val="clear" w:color="auto" w:fill="auto"/>
          <w:lang w:val="en-US" w:eastAsia="zh-CN" w:bidi="ar-SA"/>
        </w:rPr>
        <w:t>然固定沙地266.50公顷，占沙化土地面积的0.02</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p>
    <w:p w14:paraId="417D87BB">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61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bookmarkStart w:id="72" w:name="_Toc3618"/>
      <w:r>
        <w:rPr>
          <w:rFonts w:hint="default" w:ascii="Times New Roman" w:hAnsi="Times New Roman" w:eastAsia="方正仿宋_GBK" w:cs="Times New Roman"/>
          <w:snapToGrid w:val="0"/>
          <w:spacing w:val="6"/>
          <w:kern w:val="0"/>
          <w:sz w:val="32"/>
          <w:szCs w:val="32"/>
          <w:shd w:val="clear" w:color="auto" w:fill="auto"/>
          <w:lang w:val="en-US" w:eastAsia="zh-CN" w:bidi="ar-SA"/>
        </w:rPr>
        <w:t>（三）可治理沙化土地情况</w:t>
      </w:r>
      <w:bookmarkEnd w:id="71"/>
      <w:bookmarkEnd w:id="72"/>
    </w:p>
    <w:p w14:paraId="079B45EF">
      <w:pPr>
        <w:pStyle w:val="33"/>
        <w:keepNext w:val="0"/>
        <w:keepLines w:val="0"/>
        <w:pageBreakBefore w:val="0"/>
        <w:widowControl/>
        <w:kinsoku/>
        <w:wordWrap/>
        <w:overflowPunct/>
        <w:topLinePunct w:val="0"/>
        <w:autoSpaceDE/>
        <w:autoSpaceDN/>
        <w:bidi w:val="0"/>
        <w:adjustRightInd/>
        <w:snapToGrid/>
        <w:spacing w:line="596" w:lineRule="exact"/>
        <w:jc w:val="center"/>
        <w:textAlignment w:val="auto"/>
        <w:rPr>
          <w:rFonts w:hint="default" w:ascii="Times New Roman" w:hAnsi="Times New Roman" w:eastAsia="方正仿宋_GBK" w:cs="Times New Roman"/>
          <w:snapToGrid w:val="0"/>
          <w:spacing w:val="6"/>
          <w:kern w:val="0"/>
          <w:sz w:val="30"/>
          <w:szCs w:val="30"/>
          <w:shd w:val="clear" w:color="auto" w:fill="auto"/>
          <w:lang w:val="en-US" w:eastAsia="zh-CN" w:bidi="ar-SA"/>
        </w:rPr>
      </w:pPr>
      <w:r>
        <w:rPr>
          <w:rFonts w:hint="default" w:ascii="Times New Roman" w:hAnsi="Times New Roman" w:eastAsia="方正仿宋_GBK" w:cs="Times New Roman"/>
          <w:b w:val="0"/>
          <w:color w:val="000000"/>
          <w:kern w:val="0"/>
          <w:sz w:val="30"/>
          <w:szCs w:val="30"/>
          <w:shd w:val="clear" w:color="auto" w:fill="auto"/>
          <w:lang w:val="en-US" w:eastAsia="zh-CN" w:bidi="ar"/>
        </w:rPr>
        <w:drawing>
          <wp:anchor distT="0" distB="0" distL="114300" distR="114300" simplePos="0" relativeHeight="251661312" behindDoc="0" locked="0" layoutInCell="1" allowOverlap="1">
            <wp:simplePos x="0" y="0"/>
            <wp:positionH relativeFrom="column">
              <wp:posOffset>319405</wp:posOffset>
            </wp:positionH>
            <wp:positionV relativeFrom="paragraph">
              <wp:posOffset>10160</wp:posOffset>
            </wp:positionV>
            <wp:extent cx="5007610" cy="2761615"/>
            <wp:effectExtent l="0" t="0" r="8890" b="6985"/>
            <wp:wrapSquare wrapText="bothSides"/>
            <wp:docPr id="2" name="图片 2" descr="Grap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raph4"/>
                    <pic:cNvPicPr>
                      <a:picLocks noChangeAspect="1"/>
                    </pic:cNvPicPr>
                  </pic:nvPicPr>
                  <pic:blipFill>
                    <a:blip r:embed="rId12"/>
                    <a:srcRect t="8666" b="12016"/>
                    <a:stretch>
                      <a:fillRect/>
                    </a:stretch>
                  </pic:blipFill>
                  <pic:spPr>
                    <a:xfrm>
                      <a:off x="0" y="0"/>
                      <a:ext cx="5007610" cy="2761615"/>
                    </a:xfrm>
                    <a:prstGeom prst="rect">
                      <a:avLst/>
                    </a:prstGeom>
                  </pic:spPr>
                </pic:pic>
              </a:graphicData>
            </a:graphic>
          </wp:anchor>
        </w:drawing>
      </w:r>
      <w:r>
        <w:rPr>
          <w:rFonts w:hint="default" w:ascii="Times New Roman" w:hAnsi="Times New Roman" w:eastAsia="仿宋_GB2312" w:cs="Times New Roman"/>
          <w:color w:val="000000"/>
          <w:kern w:val="0"/>
          <w:sz w:val="28"/>
          <w:szCs w:val="28"/>
          <w:shd w:val="clear" w:color="auto" w:fill="auto"/>
          <w:lang w:val="en-US" w:eastAsia="zh-CN" w:bidi="ar"/>
        </w:rPr>
        <w:t xml:space="preserve">图 </w:t>
      </w:r>
      <w:r>
        <w:rPr>
          <w:rFonts w:hint="eastAsia" w:ascii="Times New Roman" w:hAnsi="Times New Roman" w:cs="Times New Roman"/>
          <w:color w:val="000000"/>
          <w:kern w:val="0"/>
          <w:sz w:val="28"/>
          <w:szCs w:val="28"/>
          <w:shd w:val="clear" w:color="auto" w:fill="auto"/>
          <w:lang w:val="en-US" w:eastAsia="zh-CN" w:bidi="ar"/>
        </w:rPr>
        <w:t>2</w:t>
      </w:r>
      <w:r>
        <w:rPr>
          <w:rFonts w:hint="default" w:ascii="Times New Roman" w:hAnsi="Times New Roman" w:eastAsia="仿宋_GB2312" w:cs="Times New Roman"/>
          <w:color w:val="000000"/>
          <w:kern w:val="0"/>
          <w:sz w:val="28"/>
          <w:szCs w:val="28"/>
          <w:shd w:val="clear" w:color="auto" w:fill="auto"/>
          <w:lang w:val="en-US" w:eastAsia="zh-CN" w:bidi="ar"/>
        </w:rPr>
        <w:t>-</w:t>
      </w:r>
      <w:r>
        <w:rPr>
          <w:rFonts w:hint="eastAsia" w:ascii="Times New Roman" w:hAnsi="Times New Roman" w:cs="Times New Roman"/>
          <w:color w:val="000000"/>
          <w:kern w:val="0"/>
          <w:sz w:val="28"/>
          <w:szCs w:val="28"/>
          <w:shd w:val="clear" w:color="auto" w:fill="auto"/>
          <w:lang w:val="en-US" w:eastAsia="zh-CN" w:bidi="ar"/>
        </w:rPr>
        <w:t>2</w:t>
      </w:r>
      <w:r>
        <w:rPr>
          <w:rFonts w:hint="default" w:ascii="Times New Roman" w:hAnsi="Times New Roman" w:eastAsia="仿宋_GB2312" w:cs="Times New Roman"/>
          <w:color w:val="000000"/>
          <w:kern w:val="0"/>
          <w:sz w:val="28"/>
          <w:szCs w:val="28"/>
          <w:shd w:val="clear" w:color="auto" w:fill="auto"/>
          <w:lang w:val="en-US" w:eastAsia="zh-CN" w:bidi="ar"/>
        </w:rPr>
        <w:t xml:space="preserve"> </w:t>
      </w:r>
      <w:r>
        <w:rPr>
          <w:rFonts w:hint="default" w:ascii="Times New Roman" w:hAnsi="Times New Roman" w:cs="Times New Roman"/>
          <w:color w:val="000000"/>
          <w:kern w:val="0"/>
          <w:sz w:val="28"/>
          <w:szCs w:val="28"/>
          <w:shd w:val="clear" w:color="auto" w:fill="auto"/>
          <w:lang w:val="en-US" w:eastAsia="zh-CN" w:bidi="ar"/>
        </w:rPr>
        <w:t>伊吾</w:t>
      </w:r>
      <w:r>
        <w:rPr>
          <w:rFonts w:hint="default" w:ascii="Times New Roman" w:hAnsi="Times New Roman" w:eastAsia="仿宋_GB2312" w:cs="Times New Roman"/>
          <w:color w:val="000000"/>
          <w:kern w:val="0"/>
          <w:sz w:val="28"/>
          <w:szCs w:val="28"/>
          <w:shd w:val="clear" w:color="auto" w:fill="auto"/>
          <w:lang w:val="en-US" w:eastAsia="zh-CN" w:bidi="ar"/>
        </w:rPr>
        <w:t>县</w:t>
      </w:r>
      <w:r>
        <w:rPr>
          <w:rFonts w:hint="eastAsia" w:ascii="Times New Roman" w:hAnsi="Times New Roman" w:cs="Times New Roman"/>
          <w:color w:val="000000"/>
          <w:kern w:val="0"/>
          <w:sz w:val="28"/>
          <w:szCs w:val="28"/>
          <w:shd w:val="clear" w:color="auto" w:fill="auto"/>
          <w:lang w:val="en-US" w:eastAsia="zh-CN" w:bidi="ar"/>
        </w:rPr>
        <w:t>沙化类型</w:t>
      </w:r>
      <w:r>
        <w:rPr>
          <w:rFonts w:hint="default" w:ascii="Times New Roman" w:hAnsi="Times New Roman" w:eastAsia="仿宋_GB2312" w:cs="Times New Roman"/>
          <w:color w:val="000000"/>
          <w:kern w:val="0"/>
          <w:sz w:val="28"/>
          <w:szCs w:val="28"/>
          <w:shd w:val="clear" w:color="auto" w:fill="auto"/>
          <w:lang w:val="en-US" w:eastAsia="zh-CN" w:bidi="ar"/>
        </w:rPr>
        <w:t>图</w:t>
      </w:r>
    </w:p>
    <w:p w14:paraId="1BFDE901">
      <w:pPr>
        <w:keepNext w:val="0"/>
        <w:keepLines w:val="0"/>
        <w:widowControl/>
        <w:suppressLineNumbers w:val="0"/>
        <w:shd w:val="clear"/>
        <w:spacing w:line="360" w:lineRule="auto"/>
        <w:ind w:firstLine="624" w:firstLineChars="200"/>
        <w:jc w:val="left"/>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0"/>
          <w:szCs w:val="30"/>
          <w:shd w:val="clear" w:color="auto" w:fill="auto"/>
          <w:lang w:val="en-US" w:eastAsia="zh-CN" w:bidi="ar-SA"/>
        </w:rPr>
        <w:t>据全国第六次荒漠化与沙化监测数据，</w:t>
      </w: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伊吾县沙化土地可治理面积为6159.97公顷，占沙化土地面积的0.48%，其中已经治理面积为5929.44公顷，治理率达到96.26%，治理面积的69.23%为初步治理，待治理的沙化土地面积为230.53公顷，待治理率为3.74%。</w:t>
      </w:r>
      <w:r>
        <w:rPr>
          <w:rFonts w:hint="default" w:ascii="Times New Roman" w:hAnsi="Times New Roman" w:eastAsia="方正仿宋_GBK" w:cs="Times New Roman"/>
          <w:snapToGrid w:val="0"/>
          <w:spacing w:val="6"/>
          <w:kern w:val="0"/>
          <w:sz w:val="30"/>
          <w:szCs w:val="30"/>
          <w:shd w:val="clear" w:color="auto" w:fill="auto"/>
          <w:lang w:val="en-US" w:eastAsia="zh-CN" w:bidi="ar-SA"/>
        </w:rPr>
        <w:t>其中可治理沙化土地类型包括砾质戈壁5933.59公顷，占可治理沙化土地面积的96.3%；沙化</w:t>
      </w:r>
      <w:r>
        <w:rPr>
          <w:rFonts w:hint="default" w:ascii="Times New Roman" w:hAnsi="Times New Roman" w:eastAsia="方正仿宋_GBK" w:cs="Times New Roman"/>
          <w:snapToGrid w:val="0"/>
          <w:spacing w:val="6"/>
          <w:kern w:val="0"/>
          <w:sz w:val="32"/>
          <w:szCs w:val="32"/>
          <w:shd w:val="clear" w:color="auto" w:fill="auto"/>
          <w:lang w:val="en-US" w:eastAsia="zh-CN" w:bidi="ar-SA"/>
        </w:rPr>
        <w:t>耕地面积213.14公顷，占可治理沙化土地面积的3.</w:t>
      </w:r>
      <w:r>
        <w:rPr>
          <w:rFonts w:hint="eastAsia" w:ascii="Times New Roman" w:hAnsi="Times New Roman" w:eastAsia="方正仿宋_GBK" w:cs="Times New Roman"/>
          <w:snapToGrid w:val="0"/>
          <w:spacing w:val="6"/>
          <w:kern w:val="0"/>
          <w:sz w:val="32"/>
          <w:szCs w:val="32"/>
          <w:shd w:val="clear" w:color="auto" w:fill="auto"/>
          <w:lang w:val="en-US" w:eastAsia="zh-CN" w:bidi="ar-SA"/>
        </w:rPr>
        <w:t>5</w:t>
      </w:r>
      <w:r>
        <w:rPr>
          <w:rFonts w:hint="default" w:ascii="Times New Roman" w:hAnsi="Times New Roman" w:eastAsia="方正仿宋_GBK" w:cs="Times New Roman"/>
          <w:snapToGrid w:val="0"/>
          <w:spacing w:val="6"/>
          <w:kern w:val="0"/>
          <w:sz w:val="32"/>
          <w:szCs w:val="32"/>
          <w:shd w:val="clear" w:color="auto" w:fill="auto"/>
          <w:lang w:val="en-US" w:eastAsia="zh-CN" w:bidi="ar-SA"/>
        </w:rPr>
        <w:t>%；天然固定沙地面积13.29公顷，占可治理沙化土地面积的0.2%。</w:t>
      </w:r>
    </w:p>
    <w:p w14:paraId="19D35D35">
      <w:pPr>
        <w:pStyle w:val="3"/>
        <w:keepNext/>
        <w:keepLines/>
        <w:pageBreakBefore w:val="0"/>
        <w:widowControl/>
        <w:kinsoku/>
        <w:wordWrap/>
        <w:overflowPunct/>
        <w:topLinePunct w:val="0"/>
        <w:autoSpaceDE/>
        <w:autoSpaceDN/>
        <w:bidi w:val="0"/>
        <w:adjustRightInd/>
        <w:snapToGrid/>
        <w:spacing w:before="0" w:after="0" w:line="413" w:lineRule="auto"/>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73" w:name="_Toc28635"/>
      <w:bookmarkStart w:id="74" w:name="_Toc25706"/>
      <w:bookmarkStart w:id="75" w:name="_Toc31253"/>
      <w:r>
        <w:rPr>
          <w:rFonts w:hint="default" w:ascii="Times New Roman" w:hAnsi="Times New Roman" w:eastAsia="方正公文黑体" w:cs="Times New Roman"/>
          <w:b w:val="0"/>
          <w:bCs w:val="0"/>
          <w:kern w:val="2"/>
          <w:sz w:val="32"/>
          <w:szCs w:val="32"/>
          <w:shd w:val="clear" w:color="auto" w:fill="auto"/>
          <w:lang w:val="en-US" w:eastAsia="zh-CN" w:bidi="ar-SA"/>
        </w:rPr>
        <w:t>二、伊吾县沙漠化治理成效</w:t>
      </w:r>
      <w:bookmarkEnd w:id="73"/>
      <w:bookmarkEnd w:id="74"/>
      <w:bookmarkEnd w:id="75"/>
    </w:p>
    <w:p w14:paraId="4C5D8617">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76" w:name="_Toc32186"/>
      <w:bookmarkStart w:id="77" w:name="_Toc28212"/>
      <w:bookmarkStart w:id="78" w:name="_Toc2413"/>
      <w:bookmarkStart w:id="79" w:name="_Toc5018"/>
      <w:r>
        <w:rPr>
          <w:rFonts w:hint="default" w:ascii="Times New Roman" w:hAnsi="Times New Roman" w:eastAsia="方正楷体_GBK" w:cs="Times New Roman"/>
          <w:b w:val="0"/>
          <w:bCs w:val="0"/>
          <w:kern w:val="2"/>
          <w:sz w:val="32"/>
          <w:szCs w:val="32"/>
          <w:shd w:val="clear" w:color="auto" w:fill="auto"/>
          <w:lang w:val="en-US" w:eastAsia="zh-CN" w:bidi="ar-SA"/>
        </w:rPr>
        <w:t>（一）防沙治沙工作成效显著，生态环境明显改善</w:t>
      </w:r>
      <w:bookmarkEnd w:id="76"/>
      <w:bookmarkEnd w:id="77"/>
      <w:bookmarkEnd w:id="78"/>
    </w:p>
    <w:p w14:paraId="15E46587">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伊吾县防沙治沙建设充分结合“三北”防护林、退耕还林、森林生态效益补偿、城市绿化建设等工程，因地制宜，因害设防，坚持适地适树，以人为本</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生态优先，生态、经济和社会效益兼顾的原则，依托沟、渠、路和宜林滩地、中低产田、村镇绿化用地等，大力发展农田防护林、防风固沙林，在农区外围风沙严重区域建造大型的防风固沙林基地，多措并举加大对沙漠、戈壁滩资源的综合开发治理力度，让黄沙变成“经济绿洲”。</w:t>
      </w:r>
    </w:p>
    <w:p w14:paraId="57CA56E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党的十八大以来</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依托“三北”防护林建设</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退耕还林工程等一系列生态建设工程，进一步创新防护林管护新模式，在全疆率先启动了农田防护林管护工程，各区县分别成立造林公司和造林管护中心，加强对县内1613.33公顷的农田防护林的抚育管护，进行浇水、修枝、除草、病虫害防治等，规范农田防护林管护标准，稳步提高农田防护林防护效益。现已完成新一轮退耕还林工程建设任务800公顷</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面积保存率100％；天然林得到有效管护，纳入中央财政森林生态效益补偿的国家级公益林面积54133.33公顷。建立县级国家公益林管护站3个，加大了平原天然荒漠林植被资源的监护力度，使国家级公益林得到休养生息。</w:t>
      </w:r>
    </w:p>
    <w:p w14:paraId="2FA4EC95">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80" w:name="_Toc29586"/>
      <w:bookmarkStart w:id="81" w:name="_Toc2342"/>
      <w:r>
        <w:rPr>
          <w:rFonts w:hint="default" w:ascii="Times New Roman" w:hAnsi="Times New Roman" w:eastAsia="方正楷体_GBK" w:cs="Times New Roman"/>
          <w:b w:val="0"/>
          <w:bCs w:val="0"/>
          <w:kern w:val="2"/>
          <w:sz w:val="32"/>
          <w:szCs w:val="32"/>
          <w:shd w:val="clear" w:color="auto" w:fill="auto"/>
          <w:lang w:val="en-US" w:eastAsia="zh-CN" w:bidi="ar-SA"/>
        </w:rPr>
        <w:t>（二）推进休养生息，草原生态逐步改善</w:t>
      </w:r>
      <w:bookmarkEnd w:id="80"/>
      <w:bookmarkEnd w:id="81"/>
      <w:r>
        <w:rPr>
          <w:rFonts w:hint="default" w:ascii="Times New Roman" w:hAnsi="Times New Roman" w:eastAsia="方正楷体_GBK" w:cs="Times New Roman"/>
          <w:b w:val="0"/>
          <w:bCs w:val="0"/>
          <w:kern w:val="2"/>
          <w:sz w:val="32"/>
          <w:szCs w:val="32"/>
          <w:shd w:val="clear" w:color="auto" w:fill="auto"/>
          <w:lang w:val="en-US" w:eastAsia="zh-CN" w:bidi="ar-SA"/>
        </w:rPr>
        <w:t xml:space="preserve"> </w:t>
      </w:r>
    </w:p>
    <w:p w14:paraId="497D9406">
      <w:pPr>
        <w:keepNext w:val="0"/>
        <w:keepLines w:val="0"/>
        <w:pageBreakBefore w:val="0"/>
        <w:widowControl w:val="0"/>
        <w:kinsoku/>
        <w:wordWrap/>
        <w:overflowPunct/>
        <w:topLinePunct w:val="0"/>
        <w:autoSpaceDE/>
        <w:autoSpaceDN/>
        <w:bidi w:val="0"/>
        <w:adjustRightInd/>
        <w:snapToGrid/>
        <w:spacing w:line="596" w:lineRule="exact"/>
        <w:ind w:firstLine="664" w:firstLineChars="200"/>
        <w:textAlignment w:val="auto"/>
        <w:rPr>
          <w:rFonts w:hint="default" w:ascii="Times New Roman" w:hAnsi="Times New Roman" w:eastAsia="方正仿宋_GBK" w:cs="Times New Roman"/>
          <w:sz w:val="31"/>
          <w:szCs w:val="31"/>
          <w:highlight w:val="none"/>
          <w:shd w:val="clear" w:color="auto" w:fill="auto"/>
          <w:lang w:eastAsia="zh-CN"/>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根据国家、自治区、自治州相关政策和项目，先后启动了退牧还草、退耕还草、草原奖补等一系列草原治理的重大项目，实施了限牧、禁牧、休牧、蝗虫治理等措施。对辖区内203333.33公顷天然草原采取禁牧措施，288666.67公顷天然草原实行草畜平衡管理。完成退耕还草工程建设任务433.33公顷，兑现新一轮退耕还草补助资金300万元。经过多年实施草原生态保护建设工程，伊吾县草原生态环境呈好转趋势，表现出“总体遏制，局部好转”的态势，植被覆盖度</w:t>
      </w:r>
      <w:r>
        <w:rPr>
          <w:rFonts w:hint="eastAsia" w:ascii="Times New Roman" w:hAnsi="Times New Roman" w:eastAsia="方正仿宋_GBK" w:cs="Times New Roman"/>
          <w:snapToGrid w:val="0"/>
          <w:spacing w:val="6"/>
          <w:kern w:val="0"/>
          <w:sz w:val="32"/>
          <w:szCs w:val="32"/>
          <w:shd w:val="clear" w:color="auto" w:fill="auto"/>
          <w:lang w:val="en-US" w:eastAsia="zh-CN" w:bidi="ar-SA"/>
        </w:rPr>
        <w:t>明显</w:t>
      </w:r>
      <w:r>
        <w:rPr>
          <w:rFonts w:hint="default" w:ascii="Times New Roman" w:hAnsi="Times New Roman" w:eastAsia="方正仿宋_GBK" w:cs="Times New Roman"/>
          <w:snapToGrid w:val="0"/>
          <w:spacing w:val="6"/>
          <w:kern w:val="0"/>
          <w:sz w:val="32"/>
          <w:szCs w:val="32"/>
          <w:shd w:val="clear" w:color="auto" w:fill="auto"/>
          <w:lang w:val="en-US" w:eastAsia="zh-CN" w:bidi="ar-SA"/>
        </w:rPr>
        <w:t>提高，草地生产力逐步提高，草原载畜压力指数降低，草原生态保护成效显著。</w:t>
      </w:r>
    </w:p>
    <w:p w14:paraId="14CE3C23">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82" w:name="_Toc8056"/>
      <w:bookmarkStart w:id="83" w:name="_Toc19138"/>
      <w:r>
        <w:rPr>
          <w:rFonts w:hint="default" w:ascii="Times New Roman" w:hAnsi="Times New Roman" w:eastAsia="方正楷体_GBK" w:cs="Times New Roman"/>
          <w:b w:val="0"/>
          <w:bCs w:val="0"/>
          <w:kern w:val="2"/>
          <w:sz w:val="32"/>
          <w:szCs w:val="32"/>
          <w:shd w:val="clear" w:color="auto" w:fill="auto"/>
          <w:lang w:val="en-US" w:eastAsia="zh-CN" w:bidi="ar-SA"/>
        </w:rPr>
        <w:t>（三）</w:t>
      </w:r>
      <w:r>
        <w:rPr>
          <w:rFonts w:hint="eastAsia" w:ascii="Times New Roman" w:hAnsi="Times New Roman" w:eastAsia="方正楷体_GBK" w:cs="Times New Roman"/>
          <w:b w:val="0"/>
          <w:bCs w:val="0"/>
          <w:kern w:val="2"/>
          <w:sz w:val="32"/>
          <w:szCs w:val="32"/>
          <w:shd w:val="clear" w:color="auto" w:fill="auto"/>
          <w:lang w:val="en-US" w:eastAsia="zh-CN" w:bidi="ar-SA"/>
        </w:rPr>
        <w:t>实施</w:t>
      </w:r>
      <w:r>
        <w:rPr>
          <w:rFonts w:hint="default" w:ascii="Times New Roman" w:hAnsi="Times New Roman" w:eastAsia="方正楷体_GBK" w:cs="Times New Roman"/>
          <w:b w:val="0"/>
          <w:bCs w:val="0"/>
          <w:kern w:val="2"/>
          <w:sz w:val="32"/>
          <w:szCs w:val="32"/>
          <w:shd w:val="clear" w:color="auto" w:fill="auto"/>
          <w:lang w:val="en-US" w:eastAsia="zh-CN" w:bidi="ar-SA"/>
        </w:rPr>
        <w:t>湿地保护工作，生态环境改善</w:t>
      </w:r>
      <w:bookmarkEnd w:id="82"/>
      <w:bookmarkEnd w:id="83"/>
    </w:p>
    <w:p w14:paraId="20B1B83E">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十三五”期间，对管辖范围内的湿地资源进行了调查，摸清了分布情况。重点加强了伊吾河流域、幻彩湖、喀尔里克湿地保护和修复工作，开展了湿地保护与修复宣传教育和保护建设工作。通过湿地保护，辅以适当的人工促进自然修复措施，使沙化土地依靠自然力量进行修复，保护沙区现有的生态功能和生物多样性，遏制伊吾县生态环境恶化的趋势，有效改善</w:t>
      </w:r>
      <w:r>
        <w:rPr>
          <w:rFonts w:hint="eastAsia" w:ascii="Times New Roman" w:hAnsi="Times New Roman" w:eastAsia="方正仿宋_GBK" w:cs="Times New Roman"/>
          <w:snapToGrid w:val="0"/>
          <w:spacing w:val="6"/>
          <w:kern w:val="0"/>
          <w:sz w:val="32"/>
          <w:szCs w:val="32"/>
          <w:shd w:val="clear" w:color="auto" w:fill="auto"/>
          <w:lang w:val="en-US" w:eastAsia="zh-CN" w:bidi="ar-SA"/>
        </w:rPr>
        <w:t>伊吾</w:t>
      </w:r>
      <w:r>
        <w:rPr>
          <w:rFonts w:hint="default" w:ascii="Times New Roman" w:hAnsi="Times New Roman" w:eastAsia="方正仿宋_GBK" w:cs="Times New Roman"/>
          <w:snapToGrid w:val="0"/>
          <w:spacing w:val="6"/>
          <w:kern w:val="0"/>
          <w:sz w:val="32"/>
          <w:szCs w:val="32"/>
          <w:shd w:val="clear" w:color="auto" w:fill="auto"/>
          <w:lang w:val="en-US" w:eastAsia="zh-CN" w:bidi="ar-SA"/>
        </w:rPr>
        <w:t>人居生态环境，使伊吾县的生态环境朝着良性循环的方向发展。</w:t>
      </w:r>
    </w:p>
    <w:p w14:paraId="183AA08E">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84" w:name="_Toc15163"/>
      <w:bookmarkStart w:id="85" w:name="_Toc4101"/>
      <w:r>
        <w:rPr>
          <w:rFonts w:hint="default" w:ascii="Times New Roman" w:hAnsi="Times New Roman" w:eastAsia="方正楷体_GBK" w:cs="Times New Roman"/>
          <w:b w:val="0"/>
          <w:bCs w:val="0"/>
          <w:kern w:val="2"/>
          <w:sz w:val="32"/>
          <w:szCs w:val="32"/>
          <w:shd w:val="clear" w:color="auto" w:fill="auto"/>
          <w:lang w:val="en-US" w:eastAsia="zh-CN" w:bidi="ar-SA"/>
        </w:rPr>
        <w:t>（四）国家沙漠公园建设，开发沙漠旅游</w:t>
      </w:r>
      <w:bookmarkEnd w:id="84"/>
      <w:bookmarkEnd w:id="85"/>
    </w:p>
    <w:p w14:paraId="718DB697">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伊吾国家沙漠公园规划面积11145.92公顷，其中胡杨林3176公顷（有林地468.31公顷，疏林地2707.69公顷），占总面积的28.49%；麻黄、红柳等灌木林地309.51公顷</w:t>
      </w:r>
      <w:r>
        <w:rPr>
          <w:rFonts w:hint="eastAsia" w:ascii="Times New Roman" w:hAnsi="Times New Roman" w:eastAsia="方正仿宋_GBK" w:cs="Times New Roman"/>
          <w:snapToGrid w:val="0"/>
          <w:color w:val="auto"/>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占总面积的2.78%；荒漠面积7660.41公顷，占</w:t>
      </w:r>
      <w:r>
        <w:rPr>
          <w:rFonts w:hint="default" w:ascii="Times New Roman" w:hAnsi="Times New Roman" w:eastAsia="方正仿宋_GBK" w:cs="Times New Roman"/>
          <w:snapToGrid w:val="0"/>
          <w:spacing w:val="6"/>
          <w:kern w:val="0"/>
          <w:sz w:val="32"/>
          <w:szCs w:val="32"/>
          <w:shd w:val="clear" w:color="auto" w:fill="auto"/>
          <w:lang w:val="en-US" w:eastAsia="zh-CN" w:bidi="ar-SA"/>
        </w:rPr>
        <w:t>总面积的68.73%。为体现国家沙漠公园的特点，突出沙漠旅游特点对旅游活动的适宜性及可持续发展，为满足游客求新、求奇、求乐的愿望和需要，将景区划分为四个功能区。分别是：沙地保育区、宣教展示区、沙漠体验区、服务管理区。沙地保育区保护沙地景观、沙漠野生动植物生境及多样性，提高沙漠公园的生态功能和景观功能。宣教展示区，综合展示沙漠植物园、宣教中心、科普馆、胡杨专题展览馆、沙漠动植物标本馆、沙漠科研与监测中心；沙漠体验区开展胡杨观赏、沙漠体验、沙漠探险、沙漠运动、休闲竞技、文化体验。</w:t>
      </w:r>
    </w:p>
    <w:p w14:paraId="4477CAB9">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86" w:name="_Toc31911"/>
      <w:bookmarkStart w:id="87" w:name="_Toc20288"/>
      <w:r>
        <w:rPr>
          <w:rFonts w:hint="default" w:ascii="Times New Roman" w:hAnsi="Times New Roman" w:eastAsia="方正楷体_GBK" w:cs="Times New Roman"/>
          <w:b w:val="0"/>
          <w:bCs w:val="0"/>
          <w:kern w:val="2"/>
          <w:sz w:val="32"/>
          <w:szCs w:val="32"/>
          <w:shd w:val="clear" w:color="auto" w:fill="auto"/>
          <w:lang w:val="en-US" w:eastAsia="zh-CN" w:bidi="ar-SA"/>
        </w:rPr>
        <w:t>（五）坚持绿富同兴，发展特色林果业</w:t>
      </w:r>
      <w:bookmarkEnd w:id="86"/>
      <w:bookmarkEnd w:id="87"/>
      <w:r>
        <w:rPr>
          <w:rFonts w:hint="default" w:ascii="Times New Roman" w:hAnsi="Times New Roman" w:eastAsia="方正楷体_GBK" w:cs="Times New Roman"/>
          <w:b w:val="0"/>
          <w:bCs w:val="0"/>
          <w:kern w:val="2"/>
          <w:sz w:val="32"/>
          <w:szCs w:val="32"/>
          <w:shd w:val="clear" w:color="auto" w:fill="auto"/>
          <w:lang w:val="en-US" w:eastAsia="zh-CN" w:bidi="ar-SA"/>
        </w:rPr>
        <w:t xml:space="preserve"> </w:t>
      </w:r>
    </w:p>
    <w:p w14:paraId="1B47B39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坚持生态产业化、产业生态化，依托国家退耕还林、“三北”防护林</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乡村绿化美化等林业重点工程项目实施，</w:t>
      </w:r>
      <w:r>
        <w:rPr>
          <w:rFonts w:hint="eastAsia" w:ascii="Times New Roman" w:hAnsi="Times New Roman" w:eastAsia="方正仿宋_GBK" w:cs="Times New Roman"/>
          <w:snapToGrid w:val="0"/>
          <w:spacing w:val="6"/>
          <w:kern w:val="0"/>
          <w:sz w:val="32"/>
          <w:szCs w:val="32"/>
          <w:shd w:val="clear" w:color="auto" w:fill="auto"/>
          <w:lang w:val="en-US" w:eastAsia="zh-CN" w:bidi="ar-SA"/>
        </w:rPr>
        <w:t>发展</w:t>
      </w:r>
      <w:r>
        <w:rPr>
          <w:rFonts w:hint="default" w:ascii="Times New Roman" w:hAnsi="Times New Roman" w:eastAsia="方正仿宋_GBK" w:cs="Times New Roman"/>
          <w:snapToGrid w:val="0"/>
          <w:spacing w:val="6"/>
          <w:kern w:val="0"/>
          <w:sz w:val="32"/>
          <w:szCs w:val="32"/>
          <w:shd w:val="clear" w:color="auto" w:fill="auto"/>
          <w:lang w:val="en-US" w:eastAsia="zh-CN" w:bidi="ar-SA"/>
        </w:rPr>
        <w:t>特色果业</w:t>
      </w:r>
      <w:r>
        <w:rPr>
          <w:rFonts w:hint="eastAsia" w:ascii="Times New Roman" w:hAnsi="Times New Roman" w:eastAsia="方正仿宋_GBK" w:cs="Times New Roman"/>
          <w:snapToGrid w:val="0"/>
          <w:spacing w:val="6"/>
          <w:kern w:val="0"/>
          <w:sz w:val="32"/>
          <w:szCs w:val="32"/>
          <w:shd w:val="clear" w:color="auto" w:fill="auto"/>
          <w:lang w:val="en-US" w:eastAsia="zh-CN" w:bidi="ar-SA"/>
        </w:rPr>
        <w:t>庭院经济</w:t>
      </w:r>
      <w:r>
        <w:rPr>
          <w:rFonts w:hint="default" w:ascii="Times New Roman" w:hAnsi="Times New Roman" w:eastAsia="方正仿宋_GBK" w:cs="Times New Roman"/>
          <w:snapToGrid w:val="0"/>
          <w:spacing w:val="6"/>
          <w:kern w:val="0"/>
          <w:sz w:val="32"/>
          <w:szCs w:val="32"/>
          <w:shd w:val="clear" w:color="auto" w:fill="auto"/>
          <w:lang w:val="en-US" w:eastAsia="zh-CN" w:bidi="ar-SA"/>
        </w:rPr>
        <w:t>。随着区域林果产业规模化建设基地的发展壮大，伊吾县近年来全面推动林果业科技示范园、标准园建设，加强林果灾害防控体系建设，推进林果基地提质增效发展，林果基地综合生产能力得到较大程度的提升。</w:t>
      </w:r>
      <w:r>
        <w:rPr>
          <w:rFonts w:hint="eastAsia" w:ascii="Times New Roman" w:hAnsi="Times New Roman" w:eastAsia="方正仿宋_GBK" w:cs="Times New Roman"/>
          <w:snapToGrid w:val="0"/>
          <w:spacing w:val="6"/>
          <w:kern w:val="0"/>
          <w:sz w:val="32"/>
          <w:szCs w:val="32"/>
          <w:shd w:val="clear" w:color="auto" w:fill="auto"/>
          <w:lang w:val="en-US" w:eastAsia="zh-CN" w:bidi="ar-SA"/>
        </w:rPr>
        <w:t>截至</w:t>
      </w:r>
      <w:r>
        <w:rPr>
          <w:rFonts w:hint="default" w:ascii="Times New Roman" w:hAnsi="Times New Roman" w:eastAsia="方正仿宋_GBK" w:cs="Times New Roman"/>
          <w:snapToGrid w:val="0"/>
          <w:spacing w:val="6"/>
          <w:kern w:val="0"/>
          <w:sz w:val="32"/>
          <w:szCs w:val="32"/>
          <w:shd w:val="clear" w:color="auto" w:fill="auto"/>
          <w:lang w:val="en-US" w:eastAsia="zh-CN" w:bidi="ar-SA"/>
        </w:rPr>
        <w:t>2020年，全县特色林果种植总面积2200公顷，林果产量6767吨，其中葡萄产量6581吨、杏产量107吨、苹果产量79吨；实现林果产值4082万元，其中苹果林果产值79万元、葡萄林果产值3949万元、杏林果产值54万元。林果业种植成为了老百姓增收致富的新途径，在促进林果产业发展和带动农民增收致富方面发挥了明显作用。</w:t>
      </w:r>
    </w:p>
    <w:p w14:paraId="396C2102">
      <w:pPr>
        <w:keepNext/>
        <w:keepLines/>
        <w:pageBreakBefore w:val="0"/>
        <w:widowControl w:val="0"/>
        <w:kinsoku/>
        <w:wordWrap/>
        <w:overflowPunct/>
        <w:topLinePunct w:val="0"/>
        <w:autoSpaceDE/>
        <w:autoSpaceDN/>
        <w:bidi w:val="0"/>
        <w:adjustRightInd/>
        <w:snapToGrid/>
        <w:spacing w:before="157" w:beforeLines="5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bidi="ar-SA"/>
        </w:rPr>
      </w:pPr>
      <w:bookmarkStart w:id="88" w:name="_Toc19507"/>
      <w:r>
        <w:rPr>
          <w:rFonts w:hint="default" w:ascii="Times New Roman" w:hAnsi="Times New Roman" w:eastAsia="方正公文黑体" w:cs="Times New Roman"/>
          <w:b w:val="0"/>
          <w:bCs w:val="0"/>
          <w:kern w:val="2"/>
          <w:sz w:val="32"/>
          <w:szCs w:val="32"/>
          <w:shd w:val="clear" w:color="auto" w:fill="auto"/>
          <w:lang w:val="en-US" w:eastAsia="zh-CN" w:bidi="ar-SA"/>
        </w:rPr>
        <w:t>三、伊吾县防沙治沙面临的形势</w:t>
      </w:r>
      <w:bookmarkEnd w:id="79"/>
      <w:bookmarkEnd w:id="88"/>
    </w:p>
    <w:p w14:paraId="76A0A5FC">
      <w:pPr>
        <w:pStyle w:val="4"/>
        <w:keepNext/>
        <w:keepLines/>
        <w:pageBreakBefore w:val="0"/>
        <w:widowControl/>
        <w:kinsoku/>
        <w:wordWrap/>
        <w:overflowPunct/>
        <w:topLinePunct w:val="0"/>
        <w:autoSpaceDE/>
        <w:autoSpaceDN/>
        <w:bidi w:val="0"/>
        <w:adjustRightInd/>
        <w:snapToGrid/>
        <w:spacing w:before="0" w:after="0" w:line="596" w:lineRule="exact"/>
        <w:ind w:firstLine="640" w:firstLineChars="200"/>
        <w:textAlignment w:val="auto"/>
        <w:rPr>
          <w:rFonts w:hint="default" w:ascii="Times New Roman" w:hAnsi="Times New Roman" w:eastAsia="方正楷体_GBK" w:cs="Times New Roman"/>
          <w:b w:val="0"/>
          <w:bCs w:val="0"/>
          <w:kern w:val="2"/>
          <w:sz w:val="32"/>
          <w:szCs w:val="32"/>
          <w:shd w:val="clear" w:color="auto" w:fill="auto"/>
          <w:lang w:val="en-US" w:eastAsia="zh-CN" w:bidi="ar-SA"/>
        </w:rPr>
      </w:pPr>
      <w:bookmarkStart w:id="89" w:name="_Toc7554"/>
      <w:bookmarkStart w:id="90" w:name="_Toc21303"/>
      <w:r>
        <w:rPr>
          <w:rFonts w:hint="default" w:ascii="Times New Roman" w:hAnsi="Times New Roman" w:eastAsia="方正楷体_GBK" w:cs="Times New Roman"/>
          <w:b w:val="0"/>
          <w:bCs w:val="0"/>
          <w:kern w:val="2"/>
          <w:sz w:val="32"/>
          <w:szCs w:val="32"/>
          <w:shd w:val="clear" w:color="auto" w:fill="auto"/>
          <w:lang w:val="en-US" w:eastAsia="zh-CN" w:bidi="ar-SA"/>
        </w:rPr>
        <w:t>（一）开启新时代防沙治沙的新目标</w:t>
      </w:r>
      <w:bookmarkEnd w:id="89"/>
      <w:bookmarkEnd w:id="90"/>
    </w:p>
    <w:p w14:paraId="193117D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党的二十大提出，坚持人与自然和谐共生</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生态文明建设已经成为关系中华民族永续发展的根本大计</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习近平在内蒙古巴彦淖尔考察并主持召开加强荒漠化综合防治和推进“三北”等重点生态工程建设座谈会时强调，加强荒漠化综合防治，深入推进“三北”等重点生态工程建设。习近平在第三次中央新疆工作座谈会上强调，要坚持绿水青山就是金山银山的理念，坚决守住生态保护红线，统筹开展治沙治水和森林草原保护工作，让大美新疆“天更蓝、地更绿、水更清”。防沙治沙被提升到前所未有的重要位置，为新时代新疆防沙治沙工作提出新要求，也是伊吾县防沙治沙的重要依据。</w:t>
      </w:r>
    </w:p>
    <w:p w14:paraId="410A864B">
      <w:pPr>
        <w:pStyle w:val="4"/>
        <w:keepNext/>
        <w:keepLines/>
        <w:pageBreakBefore w:val="0"/>
        <w:widowControl/>
        <w:kinsoku/>
        <w:wordWrap/>
        <w:overflowPunct/>
        <w:topLinePunct w:val="0"/>
        <w:autoSpaceDE/>
        <w:autoSpaceDN/>
        <w:bidi w:val="0"/>
        <w:adjustRightInd/>
        <w:snapToGrid/>
        <w:spacing w:before="0" w:after="0" w:line="596" w:lineRule="exact"/>
        <w:ind w:firstLine="640" w:firstLineChars="200"/>
        <w:textAlignment w:val="auto"/>
        <w:rPr>
          <w:rFonts w:hint="default" w:ascii="Times New Roman" w:hAnsi="Times New Roman" w:eastAsia="方正楷体_GBK" w:cs="Times New Roman"/>
          <w:b w:val="0"/>
          <w:bCs w:val="0"/>
          <w:kern w:val="2"/>
          <w:sz w:val="32"/>
          <w:szCs w:val="32"/>
          <w:shd w:val="clear" w:color="auto" w:fill="auto"/>
          <w:lang w:val="en-US" w:eastAsia="zh-CN" w:bidi="ar-SA"/>
        </w:rPr>
      </w:pPr>
      <w:bookmarkStart w:id="91" w:name="_Toc23780"/>
      <w:bookmarkStart w:id="92" w:name="_Toc14225"/>
      <w:r>
        <w:rPr>
          <w:rFonts w:hint="default" w:ascii="Times New Roman" w:hAnsi="Times New Roman" w:eastAsia="方正楷体_GBK" w:cs="Times New Roman"/>
          <w:b w:val="0"/>
          <w:bCs w:val="0"/>
          <w:kern w:val="2"/>
          <w:sz w:val="32"/>
          <w:szCs w:val="32"/>
          <w:shd w:val="clear" w:color="auto" w:fill="auto"/>
          <w:lang w:val="en-US" w:eastAsia="zh-CN" w:bidi="ar-SA"/>
        </w:rPr>
        <w:t>（二）重大工程为伊吾县防沙治沙提供新机遇</w:t>
      </w:r>
      <w:bookmarkEnd w:id="91"/>
      <w:bookmarkEnd w:id="92"/>
    </w:p>
    <w:p w14:paraId="0EB47F1B">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照党中央、国务院决策部署，“三北”工程是统筹山水林田湖草沙一体化保护和修复的总体布局、重点任务、重大工程和政策举措，是当前和今后一段时期推进全国重要生态系统保护和修复重大工程的指导性规划，是编制和实施有关重大工程建设规划的主要依据。“三北”工程六期规划将加强伊吾县荒漠化综合防治能力。</w:t>
      </w:r>
    </w:p>
    <w:p w14:paraId="0ED9D091">
      <w:pPr>
        <w:pStyle w:val="4"/>
        <w:keepNext/>
        <w:keepLines/>
        <w:pageBreakBefore w:val="0"/>
        <w:widowControl/>
        <w:kinsoku/>
        <w:wordWrap/>
        <w:overflowPunct/>
        <w:topLinePunct w:val="0"/>
        <w:autoSpaceDE/>
        <w:autoSpaceDN/>
        <w:bidi w:val="0"/>
        <w:adjustRightInd/>
        <w:snapToGrid/>
        <w:spacing w:before="0" w:after="0" w:line="596" w:lineRule="exact"/>
        <w:ind w:firstLine="640" w:firstLineChars="200"/>
        <w:textAlignment w:val="auto"/>
        <w:rPr>
          <w:rFonts w:hint="default" w:ascii="Times New Roman" w:hAnsi="Times New Roman" w:eastAsia="方正楷体_GBK" w:cs="Times New Roman"/>
          <w:b w:val="0"/>
          <w:bCs w:val="0"/>
          <w:kern w:val="2"/>
          <w:sz w:val="32"/>
          <w:szCs w:val="32"/>
          <w:shd w:val="clear" w:color="auto" w:fill="auto"/>
          <w:lang w:val="en-US" w:eastAsia="zh-CN" w:bidi="ar-SA"/>
        </w:rPr>
      </w:pPr>
      <w:bookmarkStart w:id="93" w:name="_Toc19488"/>
      <w:bookmarkStart w:id="94" w:name="_Toc9355"/>
      <w:r>
        <w:rPr>
          <w:rFonts w:hint="default" w:ascii="Times New Roman" w:hAnsi="Times New Roman" w:eastAsia="方正楷体_GBK" w:cs="Times New Roman"/>
          <w:b w:val="0"/>
          <w:bCs w:val="0"/>
          <w:kern w:val="2"/>
          <w:sz w:val="32"/>
          <w:szCs w:val="32"/>
          <w:shd w:val="clear" w:color="auto" w:fill="auto"/>
          <w:lang w:val="en-US" w:eastAsia="zh-CN" w:bidi="ar-SA"/>
        </w:rPr>
        <w:t>（三）哈密市加大生态治理带来防沙治沙发展新机遇</w:t>
      </w:r>
      <w:bookmarkEnd w:id="93"/>
      <w:bookmarkEnd w:id="94"/>
    </w:p>
    <w:p w14:paraId="05903B79">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哈密地处丝路经济带重要节点城市，既是新疆通往内地的门户，又是我国向西开放的主要陆路通道和桥头堡，具有向东向西双开放的地缘优势。加快推进哈密市防沙治沙高质量发展，将为哈密稳固生态基础、丰富生态内涵、扩展生态空间、做强生态产业，为加大对外开放力度，推进丝绸之路经济带核心区建设，筑牢坚实的生态安全屏障。做好防沙治沙工作，做好保护和开发</w:t>
      </w:r>
      <w:r>
        <w:rPr>
          <w:rFonts w:hint="eastAsia" w:ascii="Times New Roman" w:hAnsi="Times New Roman" w:eastAsia="方正仿宋_GBK" w:cs="Times New Roman"/>
          <w:snapToGrid w:val="0"/>
          <w:spacing w:val="6"/>
          <w:kern w:val="0"/>
          <w:sz w:val="32"/>
          <w:szCs w:val="32"/>
          <w:shd w:val="clear" w:color="auto" w:fill="auto"/>
          <w:lang w:val="en-US" w:eastAsia="zh-CN" w:bidi="ar-SA"/>
        </w:rPr>
        <w:t>的</w:t>
      </w:r>
      <w:r>
        <w:rPr>
          <w:rFonts w:hint="default" w:ascii="Times New Roman" w:hAnsi="Times New Roman" w:eastAsia="方正仿宋_GBK" w:cs="Times New Roman"/>
          <w:snapToGrid w:val="0"/>
          <w:spacing w:val="6"/>
          <w:kern w:val="0"/>
          <w:sz w:val="32"/>
          <w:szCs w:val="32"/>
          <w:shd w:val="clear" w:color="auto" w:fill="auto"/>
          <w:lang w:val="en-US" w:eastAsia="zh-CN" w:bidi="ar-SA"/>
        </w:rPr>
        <w:t>有效结合，既能保护好当地的生态环境，也</w:t>
      </w:r>
      <w:r>
        <w:rPr>
          <w:rFonts w:hint="eastAsia" w:ascii="Times New Roman" w:hAnsi="Times New Roman" w:eastAsia="方正仿宋_GBK" w:cs="Times New Roman"/>
          <w:snapToGrid w:val="0"/>
          <w:spacing w:val="6"/>
          <w:kern w:val="0"/>
          <w:sz w:val="32"/>
          <w:szCs w:val="32"/>
          <w:shd w:val="clear" w:color="auto" w:fill="auto"/>
          <w:lang w:val="en-US" w:eastAsia="zh-CN" w:bidi="ar-SA"/>
        </w:rPr>
        <w:t>能</w:t>
      </w:r>
      <w:r>
        <w:rPr>
          <w:rFonts w:hint="default" w:ascii="Times New Roman" w:hAnsi="Times New Roman" w:eastAsia="方正仿宋_GBK" w:cs="Times New Roman"/>
          <w:snapToGrid w:val="0"/>
          <w:spacing w:val="6"/>
          <w:kern w:val="0"/>
          <w:sz w:val="32"/>
          <w:szCs w:val="32"/>
          <w:shd w:val="clear" w:color="auto" w:fill="auto"/>
          <w:lang w:val="en-US" w:eastAsia="zh-CN" w:bidi="ar-SA"/>
        </w:rPr>
        <w:t>有效</w:t>
      </w:r>
      <w:r>
        <w:rPr>
          <w:rFonts w:hint="eastAsia" w:ascii="Times New Roman" w:hAnsi="Times New Roman" w:eastAsia="方正仿宋_GBK" w:cs="Times New Roman"/>
          <w:snapToGrid w:val="0"/>
          <w:spacing w:val="6"/>
          <w:kern w:val="0"/>
          <w:sz w:val="32"/>
          <w:szCs w:val="32"/>
          <w:shd w:val="clear" w:color="auto" w:fill="auto"/>
          <w:lang w:val="en-US" w:eastAsia="zh-CN" w:bidi="ar-SA"/>
        </w:rPr>
        <w:t>地</w:t>
      </w:r>
      <w:r>
        <w:rPr>
          <w:rFonts w:hint="default" w:ascii="Times New Roman" w:hAnsi="Times New Roman" w:eastAsia="方正仿宋_GBK" w:cs="Times New Roman"/>
          <w:snapToGrid w:val="0"/>
          <w:spacing w:val="6"/>
          <w:kern w:val="0"/>
          <w:sz w:val="32"/>
          <w:szCs w:val="32"/>
          <w:shd w:val="clear" w:color="auto" w:fill="auto"/>
          <w:lang w:val="en-US" w:eastAsia="zh-CN" w:bidi="ar-SA"/>
        </w:rPr>
        <w:t>防治区域沙尘，为伊吾县生态治理带来防沙治沙发展新机遇。</w:t>
      </w:r>
    </w:p>
    <w:p w14:paraId="28D5BAF2">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95" w:name="_Toc43"/>
      <w:bookmarkStart w:id="96" w:name="_Toc3921"/>
      <w:r>
        <w:rPr>
          <w:rFonts w:hint="default" w:ascii="Times New Roman" w:hAnsi="Times New Roman" w:eastAsia="方正公文黑体" w:cs="Times New Roman"/>
          <w:b w:val="0"/>
          <w:bCs w:val="0"/>
          <w:kern w:val="2"/>
          <w:sz w:val="32"/>
          <w:szCs w:val="32"/>
          <w:shd w:val="clear" w:color="auto" w:fill="auto"/>
          <w:lang w:val="en-US" w:eastAsia="zh-CN" w:bidi="ar-SA"/>
        </w:rPr>
        <w:t>四、防沙治沙工作存在的问题</w:t>
      </w:r>
      <w:bookmarkEnd w:id="95"/>
      <w:bookmarkEnd w:id="96"/>
    </w:p>
    <w:p w14:paraId="3F79174C">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97" w:name="_Toc277"/>
      <w:bookmarkStart w:id="98" w:name="_Toc8487"/>
      <w:r>
        <w:rPr>
          <w:rFonts w:hint="default" w:ascii="Times New Roman" w:hAnsi="Times New Roman" w:eastAsia="方正楷体_GBK" w:cs="Times New Roman"/>
          <w:b w:val="0"/>
          <w:bCs w:val="0"/>
          <w:kern w:val="2"/>
          <w:sz w:val="32"/>
          <w:szCs w:val="32"/>
          <w:shd w:val="clear" w:color="auto" w:fill="auto"/>
          <w:lang w:val="en-US" w:eastAsia="zh-CN" w:bidi="ar-SA"/>
        </w:rPr>
        <w:t>（一）生态本底脆弱，水资源短缺、治理成果巩固难</w:t>
      </w:r>
      <w:bookmarkEnd w:id="97"/>
      <w:bookmarkEnd w:id="98"/>
    </w:p>
    <w:p w14:paraId="07A80708">
      <w:pPr>
        <w:keepNext w:val="0"/>
        <w:keepLines w:val="0"/>
        <w:pageBreakBefore w:val="0"/>
        <w:widowControl/>
        <w:kinsoku/>
        <w:wordWrap/>
        <w:overflowPunct/>
        <w:topLinePunct w:val="0"/>
        <w:autoSpaceDE/>
        <w:autoSpaceDN/>
        <w:bidi w:val="0"/>
        <w:adjustRightInd/>
        <w:snapToGrid/>
        <w:spacing w:line="596" w:lineRule="exact"/>
        <w:ind w:firstLine="664" w:firstLineChars="200"/>
        <w:jc w:val="both"/>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干旱少雨、蒸发强烈、风沙活动频发，导致伊吾县生态</w:t>
      </w:r>
      <w:r>
        <w:rPr>
          <w:rFonts w:hint="eastAsia" w:ascii="Times New Roman" w:hAnsi="Times New Roman" w:eastAsia="方正仿宋_GBK" w:cs="Times New Roman"/>
          <w:snapToGrid w:val="0"/>
          <w:spacing w:val="6"/>
          <w:kern w:val="0"/>
          <w:sz w:val="32"/>
          <w:szCs w:val="32"/>
          <w:shd w:val="clear" w:color="auto" w:fill="auto"/>
          <w:lang w:val="en-US" w:eastAsia="zh-CN" w:bidi="ar-SA"/>
        </w:rPr>
        <w:t>脆弱</w:t>
      </w:r>
      <w:r>
        <w:rPr>
          <w:rFonts w:hint="default" w:ascii="Times New Roman" w:hAnsi="Times New Roman" w:eastAsia="方正仿宋_GBK" w:cs="Times New Roman"/>
          <w:snapToGrid w:val="0"/>
          <w:spacing w:val="6"/>
          <w:kern w:val="0"/>
          <w:sz w:val="32"/>
          <w:szCs w:val="32"/>
          <w:shd w:val="clear" w:color="auto" w:fill="auto"/>
          <w:lang w:val="en-US" w:eastAsia="zh-CN" w:bidi="ar-SA"/>
        </w:rPr>
        <w:t>。土地沙化、荒漠化、水土流失问题仍然比较突出，防沙治沙任重道远。目前绿洲边缘及内部水、土资源状况较好、适于造林、种草的区域已基本绿化，造林区域立地条件变得更加恶劣，开展大规模造林绿化的空间十分有限。由于降水量少、蒸发量大，植被覆盖率较低，地表水量小，地下水补给不足，伊吾县天然草地退化、绿洲人工林防护功能衰退、河流湖泊水量骤减、湿地萎缩、冰川减少、局部土地呈现出不同程度的退化等问题。脆弱的生态环境，水资源严重匮乏和干旱、风沙、土壤瘠薄等自然因素限制，使得伊吾县防沙治沙任务十分艰巨，治理成果巩固难度加大。</w:t>
      </w:r>
    </w:p>
    <w:p w14:paraId="10F25F7F">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99" w:name="_Toc17949"/>
      <w:bookmarkStart w:id="100" w:name="_Toc4260"/>
      <w:r>
        <w:rPr>
          <w:rFonts w:hint="default" w:ascii="Times New Roman" w:hAnsi="Times New Roman" w:eastAsia="方正楷体_GBK" w:cs="Times New Roman"/>
          <w:b w:val="0"/>
          <w:bCs w:val="0"/>
          <w:kern w:val="2"/>
          <w:sz w:val="32"/>
          <w:szCs w:val="32"/>
          <w:shd w:val="clear" w:color="auto" w:fill="auto"/>
          <w:lang w:val="en-US" w:eastAsia="zh-CN" w:bidi="ar-SA"/>
        </w:rPr>
        <w:t>（二）防护退化严重，维护困难</w:t>
      </w:r>
      <w:bookmarkEnd w:id="99"/>
      <w:bookmarkEnd w:id="100"/>
    </w:p>
    <w:p w14:paraId="116BA2F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伊吾县农田防护林的缺口面积大，目前以白杨和青杨为主要树种，树种单一性问题突出，使得全县在守住和扩大农田防护林</w:t>
      </w:r>
      <w:r>
        <w:rPr>
          <w:rFonts w:hint="eastAsia" w:ascii="Times New Roman" w:hAnsi="Times New Roman" w:eastAsia="方正仿宋_GBK" w:cs="Times New Roman"/>
          <w:snapToGrid w:val="0"/>
          <w:spacing w:val="6"/>
          <w:kern w:val="0"/>
          <w:sz w:val="32"/>
          <w:szCs w:val="32"/>
          <w:shd w:val="clear" w:color="auto" w:fill="auto"/>
          <w:lang w:val="en-US" w:eastAsia="zh-CN" w:bidi="ar-SA"/>
        </w:rPr>
        <w:t>方面</w:t>
      </w:r>
      <w:r>
        <w:rPr>
          <w:rFonts w:hint="default" w:ascii="Times New Roman" w:hAnsi="Times New Roman" w:eastAsia="方正仿宋_GBK" w:cs="Times New Roman"/>
          <w:snapToGrid w:val="0"/>
          <w:spacing w:val="6"/>
          <w:kern w:val="0"/>
          <w:sz w:val="32"/>
          <w:szCs w:val="32"/>
          <w:shd w:val="clear" w:color="auto" w:fill="auto"/>
          <w:lang w:val="en-US" w:eastAsia="zh-CN" w:bidi="ar-SA"/>
        </w:rPr>
        <w:t>任务异常艰难。此外，植树造林的高前期投入、长周期和慢见效特性，迫切要求加大对林果业发展的优惠补贴力度。由于农业用水量大，生态用水难以保证。由于节水灌溉措施</w:t>
      </w:r>
      <w:r>
        <w:rPr>
          <w:rFonts w:hint="eastAsia" w:ascii="Times New Roman" w:hAnsi="Times New Roman" w:eastAsia="方正仿宋_GBK" w:cs="Times New Roman"/>
          <w:snapToGrid w:val="0"/>
          <w:spacing w:val="6"/>
          <w:kern w:val="0"/>
          <w:sz w:val="32"/>
          <w:szCs w:val="32"/>
          <w:shd w:val="clear" w:color="auto" w:fill="auto"/>
          <w:lang w:val="en-US" w:eastAsia="zh-CN" w:bidi="ar-SA"/>
        </w:rPr>
        <w:t>不完善</w:t>
      </w:r>
      <w:r>
        <w:rPr>
          <w:rFonts w:hint="default" w:ascii="Times New Roman" w:hAnsi="Times New Roman" w:eastAsia="方正仿宋_GBK" w:cs="Times New Roman"/>
          <w:snapToGrid w:val="0"/>
          <w:spacing w:val="6"/>
          <w:kern w:val="0"/>
          <w:sz w:val="32"/>
          <w:szCs w:val="32"/>
          <w:shd w:val="clear" w:color="auto" w:fill="auto"/>
          <w:lang w:val="en-US" w:eastAsia="zh-CN" w:bidi="ar-SA"/>
        </w:rPr>
        <w:t>，使得农田防护林得不到灌溉。生态防护林扶持措施和补助政策没有完全落实，影响了造林和管护的积极性。形成了“造林不易，管护更难”的局面，严重影响了防沙治沙成果的持续巩固。</w:t>
      </w:r>
    </w:p>
    <w:p w14:paraId="66502D42">
      <w:pPr>
        <w:pStyle w:val="4"/>
        <w:keepNext/>
        <w:keepLines/>
        <w:pageBreakBefore w:val="0"/>
        <w:widowControl/>
        <w:kinsoku/>
        <w:wordWrap/>
        <w:overflowPunct/>
        <w:topLinePunct w:val="0"/>
        <w:autoSpaceDE/>
        <w:autoSpaceDN/>
        <w:bidi w:val="0"/>
        <w:adjustRightInd/>
        <w:snapToGrid/>
        <w:spacing w:before="0" w:after="0" w:line="596" w:lineRule="exact"/>
        <w:ind w:firstLine="640" w:firstLineChars="200"/>
        <w:textAlignment w:val="auto"/>
        <w:rPr>
          <w:rFonts w:hint="default" w:ascii="Times New Roman" w:hAnsi="Times New Roman" w:eastAsia="方正楷体_GBK" w:cs="Times New Roman"/>
          <w:b w:val="0"/>
          <w:bCs w:val="0"/>
          <w:kern w:val="2"/>
          <w:sz w:val="32"/>
          <w:szCs w:val="32"/>
          <w:shd w:val="clear" w:color="auto" w:fill="auto"/>
          <w:lang w:val="en-US" w:eastAsia="zh-CN" w:bidi="ar-SA"/>
        </w:rPr>
      </w:pPr>
      <w:bookmarkStart w:id="101" w:name="_Toc5386"/>
      <w:bookmarkStart w:id="102" w:name="_Toc11967"/>
      <w:r>
        <w:rPr>
          <w:rFonts w:hint="default" w:ascii="Times New Roman" w:hAnsi="Times New Roman" w:eastAsia="方正楷体_GBK" w:cs="Times New Roman"/>
          <w:b w:val="0"/>
          <w:bCs w:val="0"/>
          <w:kern w:val="2"/>
          <w:sz w:val="32"/>
          <w:szCs w:val="32"/>
          <w:shd w:val="clear" w:color="auto" w:fill="auto"/>
          <w:lang w:val="en-US" w:eastAsia="zh-CN" w:bidi="ar-SA"/>
        </w:rPr>
        <w:t>（三）沙漠化治理较为被动，经济和生态效益不显著</w:t>
      </w:r>
      <w:bookmarkEnd w:id="101"/>
      <w:bookmarkEnd w:id="102"/>
    </w:p>
    <w:p w14:paraId="14726C95">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传统的方法在治理沙漠化时往往未能激发多元参与者的动力，仅依赖植树造林难以实现经济上的可持续性，特别是在自然灾害频繁的环境下，其生态改善效果有限。传统的方法在治理沙漠化时往往未能激发多元参与者的动力，仅依赖植树造林难以实现经济上的可持续性，特别是在自然灾害频繁的环境下，其生态改善效果有限。每年不得不重复植树造林，经济效益微乎其微，而且在自然灾害发生后，这种重复性的植树活动对生态环境的实质性改善作用不大，其生态效益并不理想。人工造林国家补助标准与实际投入存在较大差异，地方资金配套困难。营造林后期还需要投入大量人力、物力、财力进行管护，制约了大规模治沙造林工作。</w:t>
      </w:r>
    </w:p>
    <w:p w14:paraId="3DC90176">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03" w:name="_Toc8965"/>
      <w:bookmarkStart w:id="104" w:name="_Toc1228"/>
      <w:r>
        <w:rPr>
          <w:rFonts w:hint="default" w:ascii="Times New Roman" w:hAnsi="Times New Roman" w:eastAsia="方正楷体_GBK" w:cs="Times New Roman"/>
          <w:b w:val="0"/>
          <w:bCs w:val="0"/>
          <w:kern w:val="2"/>
          <w:sz w:val="32"/>
          <w:szCs w:val="32"/>
          <w:shd w:val="clear" w:color="auto" w:fill="auto"/>
          <w:lang w:val="en-US" w:eastAsia="zh-CN" w:bidi="ar-SA"/>
        </w:rPr>
        <w:t>（四）人才队伍薄弱，支撑保障能力不足</w:t>
      </w:r>
      <w:bookmarkEnd w:id="103"/>
      <w:bookmarkEnd w:id="104"/>
    </w:p>
    <w:p w14:paraId="38E94F0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人才队伍建设相对滞后，无法满足现代防沙治沙高质量发展需要，广大林区和基层一线的人才队伍薄弱。优秀拔尖人才培育机制尚不完善，林业基层职工接受教育培训机会不多，知识更新滞后，人才服务体系的建设相对滞后。生态保护修复和防沙治沙新技术、新应用的科技攻关能力不足，部分林草科技成果和实用技术难以得到大面积的推广应用，科技贡献仍处在较低水平。</w:t>
      </w:r>
    </w:p>
    <w:p w14:paraId="4AAF5808">
      <w:pPr>
        <w:rPr>
          <w:rFonts w:hint="default" w:ascii="Times New Roman" w:hAnsi="Times New Roman" w:eastAsia="方正公文小标宋" w:cs="Times New Roman"/>
          <w:b w:val="0"/>
          <w:bCs w:val="0"/>
          <w:shd w:val="clear" w:color="auto" w:fill="auto"/>
          <w:lang w:val="en-US" w:eastAsia="zh-CN"/>
        </w:rPr>
      </w:pPr>
      <w:r>
        <w:rPr>
          <w:rFonts w:hint="default" w:ascii="Times New Roman" w:hAnsi="Times New Roman" w:eastAsia="仿宋_GB2312" w:cs="Times New Roman"/>
          <w:color w:val="0000FF"/>
          <w:sz w:val="32"/>
          <w:szCs w:val="32"/>
          <w:shd w:val="clear" w:color="auto" w:fill="auto"/>
        </w:rPr>
        <w:br w:type="page"/>
      </w:r>
      <w:bookmarkStart w:id="105" w:name="_Toc27402"/>
      <w:bookmarkStart w:id="106" w:name="_Toc19212"/>
    </w:p>
    <w:p w14:paraId="15F35DDC">
      <w:pPr>
        <w:pStyle w:val="2"/>
        <w:keepNext/>
        <w:keepLines/>
        <w:pageBreakBefore w:val="0"/>
        <w:widowControl/>
        <w:kinsoku/>
        <w:wordWrap/>
        <w:overflowPunct/>
        <w:topLinePunct w:val="0"/>
        <w:autoSpaceDE/>
        <w:autoSpaceDN/>
        <w:bidi w:val="0"/>
        <w:adjustRightInd/>
        <w:snapToGrid/>
        <w:spacing w:before="58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107" w:name="_Toc31647"/>
      <w:r>
        <w:rPr>
          <w:rFonts w:hint="default" w:ascii="Times New Roman" w:hAnsi="Times New Roman" w:eastAsia="方正公文小标宋" w:cs="Times New Roman"/>
          <w:b w:val="0"/>
          <w:bCs w:val="0"/>
          <w:shd w:val="clear" w:color="auto" w:fill="auto"/>
          <w:lang w:val="en-US" w:eastAsia="zh-CN"/>
        </w:rPr>
        <w:t>第三章 规划总体思路</w:t>
      </w:r>
      <w:bookmarkEnd w:id="105"/>
      <w:bookmarkEnd w:id="106"/>
      <w:bookmarkEnd w:id="107"/>
    </w:p>
    <w:p w14:paraId="4439AB17">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08" w:name="_Toc11774"/>
      <w:bookmarkStart w:id="109" w:name="_Toc2672"/>
      <w:bookmarkStart w:id="110" w:name="_Toc13366"/>
      <w:bookmarkStart w:id="111" w:name="_Toc14766"/>
      <w:r>
        <w:rPr>
          <w:rFonts w:hint="default" w:ascii="Times New Roman" w:hAnsi="Times New Roman" w:eastAsia="方正公文黑体" w:cs="Times New Roman"/>
          <w:b w:val="0"/>
          <w:bCs w:val="0"/>
          <w:kern w:val="2"/>
          <w:sz w:val="32"/>
          <w:szCs w:val="32"/>
          <w:shd w:val="clear" w:color="auto" w:fill="auto"/>
          <w:lang w:val="en-US" w:eastAsia="zh-CN" w:bidi="ar-SA"/>
        </w:rPr>
        <w:t>一、指导思想</w:t>
      </w:r>
      <w:bookmarkEnd w:id="108"/>
      <w:bookmarkEnd w:id="109"/>
      <w:bookmarkEnd w:id="110"/>
    </w:p>
    <w:p w14:paraId="39D57D8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以习近平新时代中国特色社会主义思想为指导，全面贯彻党的二十大精神和中央第三次新疆工作座谈会精神，深入贯彻习近平生态文明思想，认真落实习近平在加强荒漠化综合防治和推进“三北”等重点生态工程建设座谈会上的重要讲话精神，准确把握新时代党的治疆方略及新疆在国家生态安全中的战略定位。全面落实自治区党委和人民政府、哈密市委和人民政府决策部署，牢固树立“绿水青山就是金山银山、冰天雪地也是金山银山”</w:t>
      </w:r>
      <w:r>
        <w:rPr>
          <w:rFonts w:hint="eastAsia" w:ascii="Times New Roman" w:hAnsi="Times New Roman" w:eastAsia="方正仿宋_GBK" w:cs="Times New Roman"/>
          <w:snapToGrid w:val="0"/>
          <w:spacing w:val="6"/>
          <w:kern w:val="0"/>
          <w:sz w:val="32"/>
          <w:szCs w:val="32"/>
          <w:shd w:val="clear" w:color="auto" w:fill="auto"/>
          <w:lang w:val="en-US" w:eastAsia="zh-CN" w:bidi="ar-SA"/>
        </w:rPr>
        <w:t>的理念</w:t>
      </w:r>
      <w:r>
        <w:rPr>
          <w:rFonts w:hint="default" w:ascii="Times New Roman" w:hAnsi="Times New Roman" w:eastAsia="方正仿宋_GBK" w:cs="Times New Roman"/>
          <w:snapToGrid w:val="0"/>
          <w:spacing w:val="6"/>
          <w:kern w:val="0"/>
          <w:sz w:val="32"/>
          <w:szCs w:val="32"/>
          <w:shd w:val="clear" w:color="auto" w:fill="auto"/>
          <w:lang w:val="en-US" w:eastAsia="zh-CN" w:bidi="ar-SA"/>
        </w:rPr>
        <w:t>，坚持生态优先、绿色发展。贯彻县委确定的“生态立县、旅游兴县、绿色崛起、同步小康”发展战略，以提高绿洲森林覆盖率为目标，以促进林业生产力发展</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促进农民增收为根本出发点，推进重大林业和草原工程、开展国土绿化行动，全面加强生态保护修复，积极构建以国家公园为主体的自然保护地体系，着力推进特色林</w:t>
      </w:r>
      <w:r>
        <w:rPr>
          <w:rFonts w:hint="eastAsia" w:ascii="Times New Roman" w:hAnsi="Times New Roman" w:eastAsia="方正仿宋_GBK" w:cs="Times New Roman"/>
          <w:snapToGrid w:val="0"/>
          <w:spacing w:val="6"/>
          <w:kern w:val="0"/>
          <w:sz w:val="32"/>
          <w:szCs w:val="32"/>
          <w:shd w:val="clear" w:color="auto" w:fill="auto"/>
          <w:lang w:val="en-US" w:eastAsia="zh-CN" w:bidi="ar-SA"/>
        </w:rPr>
        <w:t>果业</w:t>
      </w:r>
      <w:r>
        <w:rPr>
          <w:rFonts w:hint="default" w:ascii="Times New Roman" w:hAnsi="Times New Roman" w:eastAsia="方正仿宋_GBK" w:cs="Times New Roman"/>
          <w:snapToGrid w:val="0"/>
          <w:spacing w:val="6"/>
          <w:kern w:val="0"/>
          <w:sz w:val="32"/>
          <w:szCs w:val="32"/>
          <w:shd w:val="clear" w:color="auto" w:fill="auto"/>
          <w:lang w:val="en-US" w:eastAsia="zh-CN" w:bidi="ar-SA"/>
        </w:rPr>
        <w:t>发展，全力做好农田防护林建设、乡村振兴，增强可持续发展能力，建设“美丽伊吾”。</w:t>
      </w:r>
    </w:p>
    <w:p w14:paraId="41CEED3A">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12" w:name="_Toc10459"/>
      <w:bookmarkStart w:id="113" w:name="_Toc15916"/>
      <w:bookmarkStart w:id="114" w:name="_Toc3344"/>
      <w:r>
        <w:rPr>
          <w:rFonts w:hint="default" w:ascii="Times New Roman" w:hAnsi="Times New Roman" w:eastAsia="方正公文黑体" w:cs="Times New Roman"/>
          <w:b w:val="0"/>
          <w:bCs w:val="0"/>
          <w:kern w:val="2"/>
          <w:sz w:val="32"/>
          <w:szCs w:val="32"/>
          <w:shd w:val="clear" w:color="auto" w:fill="auto"/>
          <w:lang w:val="en-US" w:eastAsia="zh-CN" w:bidi="ar-SA"/>
        </w:rPr>
        <w:t>二、基本原则</w:t>
      </w:r>
      <w:bookmarkEnd w:id="112"/>
      <w:bookmarkEnd w:id="113"/>
      <w:bookmarkEnd w:id="114"/>
    </w:p>
    <w:p w14:paraId="36D6266B">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15" w:name="_Toc20285"/>
      <w:bookmarkStart w:id="116" w:name="_Toc19771"/>
      <w:bookmarkStart w:id="117" w:name="_Toc29353"/>
      <w:r>
        <w:rPr>
          <w:rFonts w:hint="default" w:ascii="Times New Roman" w:hAnsi="Times New Roman" w:eastAsia="方正楷体_GBK" w:cs="Times New Roman"/>
          <w:b w:val="0"/>
          <w:bCs w:val="0"/>
          <w:kern w:val="2"/>
          <w:sz w:val="32"/>
          <w:szCs w:val="32"/>
          <w:shd w:val="clear" w:color="auto" w:fill="auto"/>
          <w:lang w:val="en-US" w:eastAsia="zh-CN" w:bidi="ar-SA"/>
        </w:rPr>
        <w:t>（一）坚持保护优先，宜沙则沙</w:t>
      </w:r>
      <w:bookmarkEnd w:id="115"/>
      <w:bookmarkEnd w:id="116"/>
      <w:bookmarkEnd w:id="117"/>
    </w:p>
    <w:p w14:paraId="14B7287C">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充分发挥荒漠生态系统的自我修复能力，坚持尊重自然、顺应自然、保护自然，优先保护沙化区域的现有植被，采取综合治理措施，强化监测预警能力，严格保护治理成果。尊重自然规律，对于不具备治理条件的区域要宜荒则荒，宜沙则沙，以保护和恢复稳定的沙区生态系统为核心，预防和保护结合。</w:t>
      </w:r>
    </w:p>
    <w:p w14:paraId="14CC7A5C">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18" w:name="_Toc13779"/>
      <w:bookmarkStart w:id="119" w:name="_Toc28033"/>
      <w:bookmarkStart w:id="120" w:name="_Toc29892"/>
      <w:r>
        <w:rPr>
          <w:rFonts w:hint="default" w:ascii="Times New Roman" w:hAnsi="Times New Roman" w:eastAsia="方正楷体_GBK" w:cs="Times New Roman"/>
          <w:b w:val="0"/>
          <w:bCs w:val="0"/>
          <w:kern w:val="2"/>
          <w:sz w:val="32"/>
          <w:szCs w:val="32"/>
          <w:shd w:val="clear" w:color="auto" w:fill="auto"/>
          <w:lang w:val="en-US" w:eastAsia="zh-CN" w:bidi="ar-SA"/>
        </w:rPr>
        <w:t>（二）坚持以水定绿，量水而行</w:t>
      </w:r>
      <w:bookmarkEnd w:id="118"/>
      <w:bookmarkEnd w:id="119"/>
      <w:bookmarkEnd w:id="120"/>
    </w:p>
    <w:p w14:paraId="53AA1653">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立足沙区实际，合理利用水资源，以水定绿，量水而行，科学选择植被恢复模式，合理规划植被的类型与面积。以节水为导向，以恢复天然植被为主，辅以人工植被建设，科学构建生态防护体系，推进生态治理与水资源承载能力的协调发展。</w:t>
      </w:r>
    </w:p>
    <w:p w14:paraId="7D059C74">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21" w:name="_Toc10682"/>
      <w:bookmarkStart w:id="122" w:name="_Toc7013"/>
      <w:bookmarkStart w:id="123" w:name="_Toc16128"/>
      <w:r>
        <w:rPr>
          <w:rFonts w:hint="default" w:ascii="Times New Roman" w:hAnsi="Times New Roman" w:eastAsia="方正楷体_GBK" w:cs="Times New Roman"/>
          <w:b w:val="0"/>
          <w:bCs w:val="0"/>
          <w:kern w:val="2"/>
          <w:sz w:val="32"/>
          <w:szCs w:val="32"/>
          <w:shd w:val="clear" w:color="auto" w:fill="auto"/>
          <w:lang w:val="en-US" w:eastAsia="zh-CN" w:bidi="ar-SA"/>
        </w:rPr>
        <w:t>（三）坚持统筹规划，分类施策</w:t>
      </w:r>
      <w:bookmarkEnd w:id="121"/>
      <w:bookmarkEnd w:id="122"/>
      <w:bookmarkEnd w:id="123"/>
    </w:p>
    <w:p w14:paraId="0D062EBE">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依托国家重点防沙治沙工程，落实“三北”六期规划、《哈密市防沙治沙规划（2021—2030）》，统筹防沙治沙工程项目，以点带片，以片促面，充分考虑沙区自然条件和生态状况，科学合理布局，对沙化土地实行因地制宜、分类施策，制定相应的防治途径与对策。</w:t>
      </w:r>
    </w:p>
    <w:p w14:paraId="7A4017D2">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24" w:name="_Toc1710"/>
      <w:bookmarkStart w:id="125" w:name="_Toc10923"/>
      <w:bookmarkStart w:id="126" w:name="_Toc2646"/>
      <w:r>
        <w:rPr>
          <w:rFonts w:hint="default" w:ascii="Times New Roman" w:hAnsi="Times New Roman" w:eastAsia="方正楷体_GBK" w:cs="Times New Roman"/>
          <w:b w:val="0"/>
          <w:bCs w:val="0"/>
          <w:kern w:val="2"/>
          <w:sz w:val="32"/>
          <w:szCs w:val="32"/>
          <w:shd w:val="clear" w:color="auto" w:fill="auto"/>
          <w:lang w:val="en-US" w:eastAsia="zh-CN" w:bidi="ar-SA"/>
        </w:rPr>
        <w:t>（四）坚持突出重点，创新机制</w:t>
      </w:r>
      <w:bookmarkEnd w:id="124"/>
      <w:bookmarkEnd w:id="125"/>
      <w:bookmarkEnd w:id="126"/>
    </w:p>
    <w:p w14:paraId="1F033F9F">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照先急后缓、先易后难、保证重点的原则，集中人力、物力和财力，在重点区域规划实施防沙治沙生态保护与修复重大工程。创新金融工具，进一步拓宽防沙治沙融资渠道，建立健全沙化土地生态保护补偿机制，全面巩固防沙治沙的成果。</w:t>
      </w:r>
    </w:p>
    <w:p w14:paraId="47E4F027">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27" w:name="_Toc30441"/>
      <w:bookmarkStart w:id="128" w:name="_Toc20469"/>
      <w:bookmarkStart w:id="129" w:name="_Toc5462"/>
      <w:r>
        <w:rPr>
          <w:rFonts w:hint="default" w:ascii="Times New Roman" w:hAnsi="Times New Roman" w:eastAsia="方正楷体_GBK" w:cs="Times New Roman"/>
          <w:b w:val="0"/>
          <w:bCs w:val="0"/>
          <w:kern w:val="2"/>
          <w:sz w:val="32"/>
          <w:szCs w:val="32"/>
          <w:shd w:val="clear" w:color="auto" w:fill="auto"/>
          <w:lang w:val="en-US" w:eastAsia="zh-CN" w:bidi="ar-SA"/>
        </w:rPr>
        <w:t>（五）坚持政府主导，社会参与</w:t>
      </w:r>
      <w:bookmarkEnd w:id="127"/>
      <w:bookmarkEnd w:id="128"/>
      <w:bookmarkEnd w:id="129"/>
    </w:p>
    <w:p w14:paraId="02B853F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突出政府主导作用，通过制定规划、组织协调、提供政策支持和资金保障，把尽可能多的生产要素组织起来投入到防沙治沙工作中。鼓励单位和个人承包防治，利用市场机制推动防沙治沙产业发展，引导社会力量参与，形成防沙治沙合力。</w:t>
      </w:r>
    </w:p>
    <w:p w14:paraId="6C437690">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30" w:name="_Toc27358"/>
      <w:bookmarkStart w:id="131" w:name="_Toc17036"/>
      <w:bookmarkStart w:id="132" w:name="_Toc6819"/>
      <w:r>
        <w:rPr>
          <w:rFonts w:hint="default" w:ascii="Times New Roman" w:hAnsi="Times New Roman" w:eastAsia="方正公文黑体" w:cs="Times New Roman"/>
          <w:b w:val="0"/>
          <w:bCs w:val="0"/>
          <w:kern w:val="2"/>
          <w:sz w:val="32"/>
          <w:szCs w:val="32"/>
          <w:shd w:val="clear" w:color="auto" w:fill="auto"/>
          <w:lang w:val="en-US" w:eastAsia="zh-CN" w:bidi="ar-SA"/>
        </w:rPr>
        <w:t>三、规划依据</w:t>
      </w:r>
      <w:bookmarkEnd w:id="130"/>
      <w:bookmarkEnd w:id="131"/>
      <w:bookmarkEnd w:id="132"/>
    </w:p>
    <w:p w14:paraId="49559AD2">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33" w:name="_Toc14282"/>
      <w:bookmarkStart w:id="134" w:name="_Toc28841"/>
      <w:bookmarkStart w:id="135" w:name="_Toc24845"/>
      <w:bookmarkStart w:id="136" w:name="_Toc1072"/>
      <w:bookmarkStart w:id="137" w:name="_Toc6264"/>
      <w:r>
        <w:rPr>
          <w:rFonts w:hint="default" w:ascii="Times New Roman" w:hAnsi="Times New Roman" w:eastAsia="方正楷体_GBK" w:cs="Times New Roman"/>
          <w:b w:val="0"/>
          <w:bCs w:val="0"/>
          <w:kern w:val="2"/>
          <w:sz w:val="32"/>
          <w:szCs w:val="32"/>
          <w:shd w:val="clear" w:color="auto" w:fill="auto"/>
          <w:lang w:val="en-US" w:eastAsia="zh-CN" w:bidi="ar-SA"/>
        </w:rPr>
        <w:t>（一）法律法规</w:t>
      </w:r>
      <w:bookmarkEnd w:id="133"/>
      <w:bookmarkEnd w:id="134"/>
      <w:bookmarkEnd w:id="135"/>
      <w:bookmarkEnd w:id="136"/>
    </w:p>
    <w:p w14:paraId="247537C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（1）《中华人民共和国防沙治沙法》（2002年1月）；</w:t>
      </w:r>
    </w:p>
    <w:p w14:paraId="475EE355">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bookmarkStart w:id="138" w:name="_Toc75"/>
      <w:r>
        <w:rPr>
          <w:rFonts w:hint="default" w:ascii="Times New Roman" w:hAnsi="Times New Roman" w:eastAsia="方正仿宋_GBK" w:cs="Times New Roman"/>
          <w:snapToGrid w:val="0"/>
          <w:spacing w:val="6"/>
          <w:kern w:val="0"/>
          <w:sz w:val="32"/>
          <w:szCs w:val="32"/>
          <w:shd w:val="clear" w:color="auto" w:fill="auto"/>
          <w:lang w:val="en-US" w:eastAsia="zh-CN" w:bidi="ar-SA"/>
        </w:rPr>
        <w:t>（2）《中华人民共和国土地管理法》（2019年8月修订）；</w:t>
      </w:r>
    </w:p>
    <w:p w14:paraId="284E734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（3）《中华人民共和国水法》（2016年7月修订）；</w:t>
      </w:r>
    </w:p>
    <w:p w14:paraId="033A781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（4）《中华人民共和国森林法》（2019年12月修订）；</w:t>
      </w:r>
    </w:p>
    <w:p w14:paraId="261B3B2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（5）《中华人民共和国草原法》（2021年9月修订）；</w:t>
      </w:r>
    </w:p>
    <w:p w14:paraId="121EEBE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（6）《中华人民共和国水土保持法》（2010年12月修订）。</w:t>
      </w:r>
    </w:p>
    <w:p w14:paraId="5029C6B4">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39" w:name="_Toc29270"/>
      <w:bookmarkStart w:id="140" w:name="_Toc24364"/>
      <w:bookmarkStart w:id="141" w:name="_Toc19292"/>
      <w:r>
        <w:rPr>
          <w:rFonts w:hint="default" w:ascii="Times New Roman" w:hAnsi="Times New Roman" w:eastAsia="方正楷体_GBK" w:cs="Times New Roman"/>
          <w:b w:val="0"/>
          <w:bCs w:val="0"/>
          <w:kern w:val="2"/>
          <w:sz w:val="32"/>
          <w:szCs w:val="32"/>
          <w:shd w:val="clear" w:color="auto" w:fill="auto"/>
          <w:lang w:val="en-US" w:eastAsia="zh-CN" w:bidi="ar-SA"/>
        </w:rPr>
        <w:t>（二）规范与标准</w:t>
      </w:r>
      <w:bookmarkEnd w:id="138"/>
      <w:bookmarkEnd w:id="139"/>
      <w:bookmarkEnd w:id="140"/>
      <w:bookmarkEnd w:id="141"/>
    </w:p>
    <w:p w14:paraId="5286C77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（1）《防沙治沙技术规范》（GB/T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21141—2007）；</w:t>
      </w:r>
    </w:p>
    <w:p w14:paraId="0F76E51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（2）《封山（沙）育林技术规程》（GB/T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15163—2018）；</w:t>
      </w:r>
    </w:p>
    <w:p w14:paraId="0563053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（3）《造林技术规程》（GB/T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15776—2023）；</w:t>
      </w:r>
    </w:p>
    <w:p w14:paraId="35E7802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（4）《生态公益林建设技术规程》（GB/T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18337.3—2001）；</w:t>
      </w:r>
    </w:p>
    <w:p w14:paraId="5626C2B2">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（5）《森林抚育规程》（GB/T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15781—2015）；</w:t>
      </w:r>
    </w:p>
    <w:p w14:paraId="60639282">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（6）《草原生态修复技术规程》（LY/T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3323—2022）；</w:t>
      </w:r>
    </w:p>
    <w:p w14:paraId="174EBC4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（7）《水土保持综合治理技术规范》（GB/T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16453—2008）。</w:t>
      </w:r>
    </w:p>
    <w:p w14:paraId="41809FAE">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42" w:name="_Toc12356"/>
      <w:bookmarkStart w:id="143" w:name="_Toc26233"/>
      <w:bookmarkStart w:id="144" w:name="_Toc32331"/>
      <w:bookmarkStart w:id="145" w:name="_Toc27062"/>
      <w:r>
        <w:rPr>
          <w:rFonts w:hint="default" w:ascii="Times New Roman" w:hAnsi="Times New Roman" w:eastAsia="方正楷体_GBK" w:cs="Times New Roman"/>
          <w:b w:val="0"/>
          <w:bCs w:val="0"/>
          <w:kern w:val="2"/>
          <w:sz w:val="32"/>
          <w:szCs w:val="32"/>
          <w:shd w:val="clear" w:color="auto" w:fill="auto"/>
          <w:lang w:val="en-US" w:eastAsia="zh-CN" w:bidi="ar-SA"/>
        </w:rPr>
        <w:t>（三）其他资料</w:t>
      </w:r>
      <w:bookmarkEnd w:id="142"/>
      <w:bookmarkEnd w:id="143"/>
      <w:bookmarkEnd w:id="144"/>
      <w:bookmarkEnd w:id="145"/>
    </w:p>
    <w:p w14:paraId="0D41877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（1）《全国重要生态系统保护和修复重大工程规划》（2021—2035年）；</w:t>
      </w:r>
    </w:p>
    <w:p w14:paraId="454AB01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（2）《北方防沙带生态保护和修复重大工程建设规划》（2021—2035年）；</w:t>
      </w:r>
    </w:p>
    <w:p w14:paraId="68B095FA">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（3）《全国防沙治沙规划》（2021—2030年）；</w:t>
      </w:r>
    </w:p>
    <w:p w14:paraId="10217B6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（4）《全国林业和草原发展“十四五”规划》（2021—2025年）；</w:t>
      </w:r>
    </w:p>
    <w:p w14:paraId="5E0B663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（5）《全国沙产业发展指南》（2022年1月）；</w:t>
      </w:r>
    </w:p>
    <w:p w14:paraId="2C38386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（6）《中华人民共和国土地管理法实施条例》</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2021年7月修订</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p>
    <w:p w14:paraId="5134F55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（7）《国家沙漠公园管理办法》</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林沙规〔2022〕4号</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p>
    <w:p w14:paraId="34C171D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（8）《新疆维吾尔自治区实施〈中华人民共和国防沙治沙法〉办法》（2020年）；</w:t>
      </w:r>
    </w:p>
    <w:p w14:paraId="750691A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（9）《新疆维吾尔自治区第六次土地荒漠化和沙化监测报告》（2021年）；</w:t>
      </w:r>
    </w:p>
    <w:p w14:paraId="0CE13645">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（10）《新疆维吾尔自治区“十四五”林业和草原保护发展规划》（2021—2025年）；</w:t>
      </w:r>
    </w:p>
    <w:p w14:paraId="19798F8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（11）《新疆维吾尔自治区防沙治沙规划》（2021—2030年）；</w:t>
      </w:r>
    </w:p>
    <w:p w14:paraId="3DEFF96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（12）《新疆重要生态系统保护和修复重大工程规划》（2021—2035年）；</w:t>
      </w:r>
    </w:p>
    <w:p w14:paraId="194F3F3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（13）《哈密市国土空间总体规划》（2021—2035年）；</w:t>
      </w:r>
    </w:p>
    <w:p w14:paraId="60B4E41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（14）《哈密市林业和草原发展“十四五”规划》（2021—2025年）；</w:t>
      </w:r>
    </w:p>
    <w:p w14:paraId="09785BA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（15）《哈密市三北工程六期规划》（2021—2030年）；</w:t>
      </w:r>
    </w:p>
    <w:p w14:paraId="737DA0A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（16）《哈密市防沙治沙规划》（2021—2030年）。</w:t>
      </w:r>
    </w:p>
    <w:bookmarkEnd w:id="137"/>
    <w:p w14:paraId="46368C9B">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46" w:name="_Toc776"/>
      <w:bookmarkStart w:id="147" w:name="_Toc21418"/>
      <w:r>
        <w:rPr>
          <w:rFonts w:hint="default" w:ascii="Times New Roman" w:hAnsi="Times New Roman" w:eastAsia="方正公文黑体" w:cs="Times New Roman"/>
          <w:b w:val="0"/>
          <w:bCs w:val="0"/>
          <w:kern w:val="2"/>
          <w:sz w:val="32"/>
          <w:szCs w:val="32"/>
          <w:shd w:val="clear" w:color="auto" w:fill="auto"/>
          <w:lang w:val="en-US" w:eastAsia="zh-CN" w:bidi="ar-SA"/>
        </w:rPr>
        <w:t>四、目标任务</w:t>
      </w:r>
      <w:bookmarkEnd w:id="111"/>
      <w:bookmarkEnd w:id="146"/>
      <w:bookmarkEnd w:id="147"/>
    </w:p>
    <w:p w14:paraId="551BA21E">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以伊吾县创建伊吾胡杨林沙漠公园为契机，通过加强以国家公园为主体的自然保护地体系建设，强化</w:t>
      </w:r>
      <w:bookmarkStart w:id="148" w:name="OLE_LINK4"/>
      <w:r>
        <w:rPr>
          <w:rFonts w:hint="default" w:ascii="Times New Roman" w:hAnsi="Times New Roman" w:eastAsia="方正仿宋_GBK" w:cs="Times New Roman"/>
          <w:snapToGrid w:val="0"/>
          <w:spacing w:val="6"/>
          <w:kern w:val="0"/>
          <w:sz w:val="32"/>
          <w:szCs w:val="32"/>
          <w:shd w:val="clear" w:color="auto" w:fill="auto"/>
          <w:lang w:val="en-US" w:eastAsia="zh-CN" w:bidi="ar-SA"/>
        </w:rPr>
        <w:t>重点区域沙化土地保护和沙漠旅游建设。</w:t>
      </w:r>
      <w:bookmarkEnd w:id="148"/>
      <w:r>
        <w:rPr>
          <w:rFonts w:hint="default" w:ascii="Times New Roman" w:hAnsi="Times New Roman" w:eastAsia="方正仿宋_GBK" w:cs="Times New Roman"/>
          <w:snapToGrid w:val="0"/>
          <w:spacing w:val="6"/>
          <w:kern w:val="0"/>
          <w:sz w:val="32"/>
          <w:szCs w:val="32"/>
          <w:shd w:val="clear" w:color="auto" w:fill="auto"/>
          <w:lang w:val="en-US" w:eastAsia="zh-CN" w:bidi="ar-SA"/>
        </w:rPr>
        <w:t>通过防沙治沙规划（2021</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2030年）和“三北”六期各项工程的实施，构建点线面结合的生态防护网络。全面统筹荒漠生态系统保护、生态服务功能培育、土地沙化预防、沙化土地治理、沙产业发展和国家沙漠公园建设。提升工程建设质量，着力改善生态、民生，树立规模化治沙的理念。全面加快治理步伐，大力构建沙区</w:t>
      </w:r>
      <w:bookmarkStart w:id="149" w:name="OLE_LINK28"/>
      <w:r>
        <w:rPr>
          <w:rFonts w:hint="default" w:ascii="Times New Roman" w:hAnsi="Times New Roman" w:eastAsia="方正仿宋_GBK" w:cs="Times New Roman"/>
          <w:snapToGrid w:val="0"/>
          <w:spacing w:val="6"/>
          <w:kern w:val="0"/>
          <w:sz w:val="32"/>
          <w:szCs w:val="32"/>
          <w:shd w:val="clear" w:color="auto" w:fill="auto"/>
          <w:lang w:val="en-US" w:eastAsia="zh-CN" w:bidi="ar-SA"/>
        </w:rPr>
        <w:t>绿色生态屏障，</w:t>
      </w:r>
      <w:bookmarkEnd w:id="149"/>
      <w:r>
        <w:rPr>
          <w:rFonts w:hint="default" w:ascii="Times New Roman" w:hAnsi="Times New Roman" w:eastAsia="方正仿宋_GBK" w:cs="Times New Roman"/>
          <w:snapToGrid w:val="0"/>
          <w:spacing w:val="6"/>
          <w:kern w:val="0"/>
          <w:sz w:val="32"/>
          <w:szCs w:val="32"/>
          <w:shd w:val="clear" w:color="auto" w:fill="auto"/>
          <w:lang w:val="en-US" w:eastAsia="zh-CN" w:bidi="ar-SA"/>
        </w:rPr>
        <w:t>高质量完成防沙治沙目标任务。</w:t>
      </w:r>
    </w:p>
    <w:p w14:paraId="6919EA5E">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50" w:name="_Toc7643"/>
      <w:bookmarkStart w:id="151" w:name="_Toc9416"/>
      <w:r>
        <w:rPr>
          <w:rFonts w:hint="default" w:ascii="Times New Roman" w:hAnsi="Times New Roman" w:eastAsia="方正楷体_GBK" w:cs="Times New Roman"/>
          <w:b w:val="0"/>
          <w:bCs w:val="0"/>
          <w:kern w:val="2"/>
          <w:sz w:val="32"/>
          <w:szCs w:val="32"/>
          <w:shd w:val="clear" w:color="auto" w:fill="auto"/>
          <w:lang w:val="en-US" w:eastAsia="zh-CN" w:bidi="ar-SA"/>
        </w:rPr>
        <w:t>（一）“十四五”目标</w:t>
      </w:r>
      <w:bookmarkEnd w:id="150"/>
      <w:bookmarkEnd w:id="151"/>
    </w:p>
    <w:p w14:paraId="3444C490">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pP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通过“十四五”期间各项工程的实施，在绿洲外部形成防沙治沙生态屏障，提高沙区植被盖度，维护荒漠生态系统稳定，土地沙化程度减轻，区域防风固沙、水土保持、生物多样性等生态系统服务功能显著增强，生态承载力显著提升，有效减缓土地沙化扩展趋势，沙产业形成规模化、品牌化、集群化发展态势。</w:t>
      </w:r>
    </w:p>
    <w:p w14:paraId="2F1443CA">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b w:val="0"/>
          <w:color w:val="000000"/>
          <w:kern w:val="0"/>
          <w:sz w:val="32"/>
          <w:szCs w:val="32"/>
          <w:highlight w:val="none"/>
          <w:shd w:val="clear" w:color="auto" w:fill="auto"/>
          <w:lang w:val="en-US" w:eastAsia="zh-CN" w:bidi="ar"/>
        </w:rPr>
      </w:pP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“十四五”期间，伊吾县规划沙化土地治理任务</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23578.01</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公顷。</w:t>
      </w:r>
    </w:p>
    <w:p w14:paraId="285FFBD8">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pP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按工程划分：</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国土绿化提升工程</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面积</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22911.34</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公顷、退化草原治理工程面积</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6</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66.67公顷。</w:t>
      </w:r>
    </w:p>
    <w:p w14:paraId="4B71A18E">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b w:val="0"/>
          <w:color w:val="000000"/>
          <w:kern w:val="0"/>
          <w:sz w:val="32"/>
          <w:szCs w:val="32"/>
          <w:highlight w:val="none"/>
          <w:shd w:val="clear" w:color="auto" w:fill="auto"/>
          <w:lang w:val="en-US" w:eastAsia="zh-CN" w:bidi="ar"/>
        </w:rPr>
      </w:pP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按措施划分：封山（沙）育林22517.82公顷，退化林修复393.52公顷，草原改良</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6</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66.67公顷。</w:t>
      </w:r>
    </w:p>
    <w:p w14:paraId="428DE7EB">
      <w:pPr>
        <w:keepNext/>
        <w:keepLines/>
        <w:pageBreakBefore w:val="0"/>
        <w:widowControl w:val="0"/>
        <w:numPr>
          <w:ilvl w:val="0"/>
          <w:numId w:val="3"/>
        </w:numPr>
        <w:kinsoku/>
        <w:wordWrap/>
        <w:overflowPunct/>
        <w:topLinePunct w:val="0"/>
        <w:autoSpaceDE/>
        <w:autoSpaceDN/>
        <w:bidi w:val="0"/>
        <w:adjustRightInd/>
        <w:snapToGrid/>
        <w:spacing w:before="0" w:after="0" w:line="590"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highlight w:val="none"/>
          <w:shd w:val="clear" w:color="auto" w:fill="auto"/>
          <w:lang w:val="en-US" w:eastAsia="zh-CN" w:bidi="ar-SA"/>
        </w:rPr>
      </w:pPr>
      <w:bookmarkStart w:id="152" w:name="_Toc29268"/>
      <w:bookmarkStart w:id="153" w:name="_Toc286"/>
      <w:r>
        <w:rPr>
          <w:rFonts w:hint="eastAsia" w:ascii="Times New Roman" w:hAnsi="Times New Roman" w:eastAsia="方正楷体_GBK" w:cs="Times New Roman"/>
          <w:b w:val="0"/>
          <w:bCs w:val="0"/>
          <w:kern w:val="2"/>
          <w:sz w:val="32"/>
          <w:szCs w:val="32"/>
          <w:highlight w:val="none"/>
          <w:shd w:val="clear" w:color="auto" w:fill="auto"/>
          <w:lang w:val="en-US" w:eastAsia="zh-CN" w:bidi="ar-SA"/>
        </w:rPr>
        <w:t>（二）</w:t>
      </w:r>
      <w:r>
        <w:rPr>
          <w:rFonts w:hint="default" w:ascii="Times New Roman" w:hAnsi="Times New Roman" w:eastAsia="方正楷体_GBK" w:cs="Times New Roman"/>
          <w:b w:val="0"/>
          <w:bCs w:val="0"/>
          <w:kern w:val="2"/>
          <w:sz w:val="32"/>
          <w:szCs w:val="32"/>
          <w:highlight w:val="none"/>
          <w:shd w:val="clear" w:color="auto" w:fill="auto"/>
          <w:lang w:val="en-US" w:eastAsia="zh-CN" w:bidi="ar-SA"/>
        </w:rPr>
        <w:t>“十五五”目标</w:t>
      </w:r>
      <w:bookmarkEnd w:id="152"/>
      <w:bookmarkEnd w:id="153"/>
    </w:p>
    <w:p w14:paraId="17A0290B">
      <w:pPr>
        <w:keepNext w:val="0"/>
        <w:keepLines w:val="0"/>
        <w:widowControl/>
        <w:numPr>
          <w:ilvl w:val="0"/>
          <w:numId w:val="0"/>
        </w:numPr>
        <w:suppressLineNumbers w:val="0"/>
        <w:ind w:firstLine="664" w:firstLineChars="200"/>
        <w:jc w:val="left"/>
        <w:rPr>
          <w:rFonts w:hint="default" w:ascii="Times New Roman" w:hAnsi="Times New Roman" w:eastAsia="方正楷体_GBK" w:cs="Times New Roman"/>
          <w:b w:val="0"/>
          <w:bCs w:val="0"/>
          <w:kern w:val="2"/>
          <w:sz w:val="32"/>
          <w:szCs w:val="32"/>
          <w:highlight w:val="none"/>
          <w:shd w:val="clear" w:color="auto" w:fill="auto"/>
          <w:lang w:val="en-US" w:eastAsia="zh-CN" w:bidi="ar-SA"/>
        </w:rPr>
      </w:pP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过中长期防沙治沙各项工程的实施，区域内森林、草原、湿地、荒漠等自然生态系统质量得到好转，形成一套完整的沙化土地治理体系。沙化程度减轻，沙区植被基本稳定，沙区生态环境稳步改善，重点野生动植物及其栖息地得到全面保护，生态系统质量和稳定性全面提升，生态服务功能显著增强，生态系统碳汇增量明显增加，基本形成人与</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自然</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和谐共生的防沙治沙新格局。</w:t>
      </w:r>
    </w:p>
    <w:p w14:paraId="72B7A281">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“十五五”期间，伊吾县规划沙化土地治理任务</w:t>
      </w:r>
      <w:r>
        <w:rPr>
          <w:rFonts w:hint="eastAsia" w:ascii="Times New Roman" w:hAnsi="Times New Roman" w:eastAsia="方正仿宋_GBK" w:cs="Times New Roman"/>
          <w:snapToGrid w:val="0"/>
          <w:spacing w:val="6"/>
          <w:kern w:val="0"/>
          <w:sz w:val="32"/>
          <w:szCs w:val="32"/>
          <w:shd w:val="clear" w:color="auto" w:fill="auto"/>
          <w:lang w:val="en-US" w:eastAsia="zh-CN" w:bidi="ar-SA"/>
        </w:rPr>
        <w:t>2046</w:t>
      </w:r>
      <w:r>
        <w:rPr>
          <w:rFonts w:hint="default" w:ascii="Times New Roman" w:hAnsi="Times New Roman" w:eastAsia="方正仿宋_GBK" w:cs="Times New Roman"/>
          <w:snapToGrid w:val="0"/>
          <w:spacing w:val="6"/>
          <w:kern w:val="0"/>
          <w:sz w:val="32"/>
          <w:szCs w:val="32"/>
          <w:shd w:val="clear" w:color="auto" w:fill="auto"/>
          <w:lang w:val="en-US" w:eastAsia="zh-CN" w:bidi="ar-SA"/>
        </w:rPr>
        <w:t>.77公顷。</w:t>
      </w:r>
    </w:p>
    <w:p w14:paraId="328954A1">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按工程划分：</w:t>
      </w:r>
      <w:r>
        <w:rPr>
          <w:rFonts w:hint="eastAsia" w:ascii="Times New Roman" w:hAnsi="Times New Roman" w:eastAsia="方正仿宋_GBK" w:cs="Times New Roman"/>
          <w:snapToGrid w:val="0"/>
          <w:spacing w:val="6"/>
          <w:kern w:val="0"/>
          <w:sz w:val="32"/>
          <w:szCs w:val="32"/>
          <w:shd w:val="clear" w:color="auto" w:fill="auto"/>
          <w:lang w:val="en-US" w:eastAsia="zh-CN" w:bidi="ar-SA"/>
        </w:rPr>
        <w:t>国土绿化提升工程</w:t>
      </w:r>
      <w:r>
        <w:rPr>
          <w:rFonts w:hint="default" w:ascii="Times New Roman" w:hAnsi="Times New Roman" w:eastAsia="方正仿宋_GBK" w:cs="Times New Roman"/>
          <w:snapToGrid w:val="0"/>
          <w:spacing w:val="6"/>
          <w:kern w:val="0"/>
          <w:sz w:val="32"/>
          <w:szCs w:val="32"/>
          <w:shd w:val="clear" w:color="auto" w:fill="auto"/>
          <w:lang w:val="en-US" w:eastAsia="zh-CN" w:bidi="ar-SA"/>
        </w:rPr>
        <w:t>面积</w:t>
      </w:r>
      <w:r>
        <w:rPr>
          <w:rFonts w:hint="eastAsia" w:ascii="Times New Roman" w:hAnsi="Times New Roman" w:eastAsia="方正仿宋_GBK" w:cs="Times New Roman"/>
          <w:snapToGrid w:val="0"/>
          <w:spacing w:val="6"/>
          <w:kern w:val="0"/>
          <w:sz w:val="32"/>
          <w:szCs w:val="32"/>
          <w:shd w:val="clear" w:color="auto" w:fill="auto"/>
          <w:lang w:val="en-US" w:eastAsia="zh-CN" w:bidi="ar-SA"/>
        </w:rPr>
        <w:t>2046.77</w:t>
      </w:r>
      <w:r>
        <w:rPr>
          <w:rFonts w:hint="default" w:ascii="Times New Roman" w:hAnsi="Times New Roman" w:eastAsia="方正仿宋_GBK" w:cs="Times New Roman"/>
          <w:snapToGrid w:val="0"/>
          <w:spacing w:val="6"/>
          <w:kern w:val="0"/>
          <w:sz w:val="32"/>
          <w:szCs w:val="32"/>
          <w:shd w:val="clear" w:color="auto" w:fill="auto"/>
          <w:lang w:val="en-US" w:eastAsia="zh-CN" w:bidi="ar-SA"/>
        </w:rPr>
        <w:t>公顷。</w:t>
      </w:r>
    </w:p>
    <w:p w14:paraId="2DC988C5">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按措施划分：完成封山（沙）育林1929.1</w:t>
      </w:r>
      <w:r>
        <w:rPr>
          <w:rFonts w:hint="eastAsia" w:ascii="Times New Roman" w:hAnsi="Times New Roman" w:eastAsia="方正仿宋_GBK" w:cs="Times New Roman"/>
          <w:snapToGrid w:val="0"/>
          <w:spacing w:val="6"/>
          <w:kern w:val="0"/>
          <w:sz w:val="32"/>
          <w:szCs w:val="32"/>
          <w:shd w:val="clear" w:color="auto" w:fill="auto"/>
          <w:lang w:val="en-US" w:eastAsia="zh-CN" w:bidi="ar-SA"/>
        </w:rPr>
        <w:t>5</w:t>
      </w:r>
      <w:r>
        <w:rPr>
          <w:rFonts w:hint="default" w:ascii="Times New Roman" w:hAnsi="Times New Roman" w:eastAsia="方正仿宋_GBK" w:cs="Times New Roman"/>
          <w:snapToGrid w:val="0"/>
          <w:spacing w:val="6"/>
          <w:kern w:val="0"/>
          <w:sz w:val="32"/>
          <w:szCs w:val="32"/>
          <w:shd w:val="clear" w:color="auto" w:fill="auto"/>
          <w:lang w:val="en-US" w:eastAsia="zh-CN" w:bidi="ar-SA"/>
        </w:rPr>
        <w:t>公顷，退化林修复117.62公顷。</w:t>
      </w:r>
    </w:p>
    <w:p w14:paraId="4BD1074F">
      <w:pPr>
        <w:keepNext/>
        <w:keepLines/>
        <w:pageBreakBefore w:val="0"/>
        <w:widowControl w:val="0"/>
        <w:kinsoku/>
        <w:wordWrap/>
        <w:overflowPunct/>
        <w:topLinePunct w:val="0"/>
        <w:autoSpaceDE/>
        <w:autoSpaceDN/>
        <w:bidi w:val="0"/>
        <w:adjustRightInd/>
        <w:snapToGrid/>
        <w:spacing w:before="0" w:after="0" w:line="590"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54" w:name="_Toc28581"/>
      <w:bookmarkStart w:id="155" w:name="_Toc11894"/>
      <w:r>
        <w:rPr>
          <w:rFonts w:hint="default" w:ascii="Times New Roman" w:hAnsi="Times New Roman" w:eastAsia="方正楷体_GBK" w:cs="Times New Roman"/>
          <w:b w:val="0"/>
          <w:bCs w:val="0"/>
          <w:kern w:val="2"/>
          <w:sz w:val="32"/>
          <w:szCs w:val="32"/>
          <w:shd w:val="clear" w:color="auto" w:fill="auto"/>
          <w:lang w:val="en-US" w:eastAsia="zh-CN" w:bidi="ar-SA"/>
        </w:rPr>
        <w:t>（三）2021—2030年目标</w:t>
      </w:r>
      <w:bookmarkEnd w:id="154"/>
      <w:bookmarkEnd w:id="155"/>
    </w:p>
    <w:p w14:paraId="02C3867E">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过中长期防沙治沙各项工程的实施，防沙治沙取得突破性进展，沙化土地治理体系和治理能力现代化基本实现。沙化土地面积显</w:t>
      </w:r>
      <w:r>
        <w:rPr>
          <w:rFonts w:hint="eastAsia" w:ascii="Times New Roman" w:hAnsi="Times New Roman" w:eastAsia="方正仿宋_GBK" w:cs="Times New Roman"/>
          <w:snapToGrid w:val="0"/>
          <w:spacing w:val="6"/>
          <w:kern w:val="0"/>
          <w:sz w:val="32"/>
          <w:szCs w:val="32"/>
          <w:shd w:val="clear" w:color="auto" w:fill="auto"/>
          <w:lang w:val="en-US" w:eastAsia="zh-CN" w:bidi="ar-SA"/>
        </w:rPr>
        <w:t>呈现</w:t>
      </w:r>
      <w:r>
        <w:rPr>
          <w:rFonts w:hint="default" w:ascii="Times New Roman" w:hAnsi="Times New Roman" w:eastAsia="方正仿宋_GBK" w:cs="Times New Roman"/>
          <w:snapToGrid w:val="0"/>
          <w:spacing w:val="6"/>
          <w:kern w:val="0"/>
          <w:sz w:val="32"/>
          <w:szCs w:val="32"/>
          <w:shd w:val="clear" w:color="auto" w:fill="auto"/>
          <w:lang w:val="en-US" w:eastAsia="zh-CN" w:bidi="ar-SA"/>
        </w:rPr>
        <w:t>年减少的态势，沙化程度减轻，沙区植被基本稳定，沙区生态环境稳步改善。达到“防风、阻沙、控尘”的治理目标，实现沙漠锁边、绿洲连片、生态良好的新局面。</w:t>
      </w:r>
    </w:p>
    <w:p w14:paraId="4AC9B6DE">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2021—2030年期间伊吾县沙化土地治理任务</w:t>
      </w:r>
      <w:r>
        <w:rPr>
          <w:rFonts w:hint="eastAsia" w:ascii="Times New Roman" w:hAnsi="Times New Roman" w:eastAsia="方正仿宋_GBK" w:cs="Times New Roman"/>
          <w:snapToGrid w:val="0"/>
          <w:spacing w:val="6"/>
          <w:kern w:val="0"/>
          <w:sz w:val="32"/>
          <w:szCs w:val="32"/>
          <w:shd w:val="clear" w:color="auto" w:fill="auto"/>
          <w:lang w:val="en-US" w:eastAsia="zh-CN" w:bidi="ar-SA"/>
        </w:rPr>
        <w:t>25624.78</w:t>
      </w:r>
      <w:r>
        <w:rPr>
          <w:rFonts w:hint="default" w:ascii="Times New Roman" w:hAnsi="Times New Roman" w:eastAsia="方正仿宋_GBK" w:cs="Times New Roman"/>
          <w:snapToGrid w:val="0"/>
          <w:spacing w:val="6"/>
          <w:kern w:val="0"/>
          <w:sz w:val="32"/>
          <w:szCs w:val="32"/>
          <w:shd w:val="clear" w:color="auto" w:fill="auto"/>
          <w:lang w:val="en-US" w:eastAsia="zh-CN" w:bidi="ar-SA"/>
        </w:rPr>
        <w:t>公顷。</w:t>
      </w:r>
    </w:p>
    <w:p w14:paraId="253D5FF3">
      <w:pPr>
        <w:keepNext w:val="0"/>
        <w:keepLines w:val="0"/>
        <w:widowControl/>
        <w:numPr>
          <w:ilvl w:val="0"/>
          <w:numId w:val="0"/>
        </w:numPr>
        <w:suppressLineNumbers w:val="0"/>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按工程划分：</w:t>
      </w:r>
      <w:r>
        <w:rPr>
          <w:rFonts w:hint="eastAsia" w:ascii="Times New Roman" w:hAnsi="Times New Roman" w:eastAsia="方正仿宋_GBK" w:cs="Times New Roman"/>
          <w:snapToGrid w:val="0"/>
          <w:spacing w:val="6"/>
          <w:kern w:val="0"/>
          <w:sz w:val="32"/>
          <w:szCs w:val="32"/>
          <w:shd w:val="clear" w:color="auto" w:fill="auto"/>
          <w:lang w:val="en-US" w:eastAsia="zh-CN" w:bidi="ar-SA"/>
        </w:rPr>
        <w:t>国土绿化提升工程</w:t>
      </w:r>
      <w:r>
        <w:rPr>
          <w:rFonts w:hint="default" w:ascii="Times New Roman" w:hAnsi="Times New Roman" w:eastAsia="方正仿宋_GBK" w:cs="Times New Roman"/>
          <w:snapToGrid w:val="0"/>
          <w:spacing w:val="6"/>
          <w:kern w:val="0"/>
          <w:sz w:val="32"/>
          <w:szCs w:val="32"/>
          <w:shd w:val="clear" w:color="auto" w:fill="auto"/>
          <w:lang w:val="en-US" w:eastAsia="zh-CN" w:bidi="ar-SA"/>
        </w:rPr>
        <w:t>面积</w:t>
      </w:r>
      <w:r>
        <w:rPr>
          <w:rFonts w:hint="eastAsia" w:ascii="Times New Roman" w:hAnsi="Times New Roman" w:eastAsia="方正仿宋_GBK" w:cs="Times New Roman"/>
          <w:snapToGrid w:val="0"/>
          <w:spacing w:val="6"/>
          <w:kern w:val="0"/>
          <w:sz w:val="32"/>
          <w:szCs w:val="32"/>
          <w:shd w:val="clear" w:color="auto" w:fill="auto"/>
          <w:lang w:val="en-US" w:eastAsia="zh-CN" w:bidi="ar-SA"/>
        </w:rPr>
        <w:t>24958.10</w:t>
      </w:r>
      <w:r>
        <w:rPr>
          <w:rFonts w:hint="default" w:ascii="Times New Roman" w:hAnsi="Times New Roman" w:eastAsia="方正仿宋_GBK" w:cs="Times New Roman"/>
          <w:snapToGrid w:val="0"/>
          <w:spacing w:val="6"/>
          <w:kern w:val="0"/>
          <w:sz w:val="32"/>
          <w:szCs w:val="32"/>
          <w:shd w:val="clear" w:color="auto" w:fill="auto"/>
          <w:lang w:val="en-US" w:eastAsia="zh-CN" w:bidi="ar-SA"/>
        </w:rPr>
        <w:t>公顷、退化草原治理工程面积</w:t>
      </w:r>
      <w:r>
        <w:rPr>
          <w:rFonts w:hint="eastAsia" w:ascii="Times New Roman" w:hAnsi="Times New Roman" w:eastAsia="方正仿宋_GBK" w:cs="Times New Roman"/>
          <w:snapToGrid w:val="0"/>
          <w:spacing w:val="6"/>
          <w:kern w:val="0"/>
          <w:sz w:val="32"/>
          <w:szCs w:val="32"/>
          <w:shd w:val="clear" w:color="auto" w:fill="auto"/>
          <w:lang w:val="en-US" w:eastAsia="zh-CN" w:bidi="ar-SA"/>
        </w:rPr>
        <w:t>666.67</w:t>
      </w:r>
      <w:r>
        <w:rPr>
          <w:rFonts w:hint="default" w:ascii="Times New Roman" w:hAnsi="Times New Roman" w:eastAsia="方正仿宋_GBK" w:cs="Times New Roman"/>
          <w:snapToGrid w:val="0"/>
          <w:spacing w:val="6"/>
          <w:kern w:val="0"/>
          <w:sz w:val="32"/>
          <w:szCs w:val="32"/>
          <w:shd w:val="clear" w:color="auto" w:fill="auto"/>
          <w:lang w:val="en-US" w:eastAsia="zh-CN" w:bidi="ar-SA"/>
        </w:rPr>
        <w:t>公顷。</w:t>
      </w:r>
    </w:p>
    <w:p w14:paraId="0DAF06DE">
      <w:pPr>
        <w:keepNext w:val="0"/>
        <w:keepLines w:val="0"/>
        <w:widowControl/>
        <w:suppressLineNumbers w:val="0"/>
        <w:ind w:firstLine="664" w:firstLineChars="200"/>
        <w:jc w:val="left"/>
        <w:rPr>
          <w:rFonts w:hint="default" w:ascii="Times New Roman" w:hAnsi="Times New Roman" w:eastAsia="方正公文小标宋" w:cs="Times New Roman"/>
          <w:b w:val="0"/>
          <w:bCs w:val="0"/>
          <w:shd w:val="clear" w:color="auto" w:fill="auto"/>
          <w:lang w:val="en-US" w:eastAsia="zh-CN"/>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按措施划分：封山（沙）育林24446.96公顷，退化林修复511.14公顷，草原改良</w:t>
      </w:r>
      <w:r>
        <w:rPr>
          <w:rFonts w:hint="eastAsia" w:ascii="Times New Roman" w:hAnsi="Times New Roman" w:eastAsia="方正仿宋_GBK" w:cs="Times New Roman"/>
          <w:snapToGrid w:val="0"/>
          <w:spacing w:val="6"/>
          <w:kern w:val="0"/>
          <w:sz w:val="32"/>
          <w:szCs w:val="32"/>
          <w:shd w:val="clear" w:color="auto" w:fill="auto"/>
          <w:lang w:val="en-US" w:eastAsia="zh-CN" w:bidi="ar-SA"/>
        </w:rPr>
        <w:t>6</w:t>
      </w:r>
      <w:r>
        <w:rPr>
          <w:rFonts w:hint="default" w:ascii="Times New Roman" w:hAnsi="Times New Roman" w:eastAsia="方正仿宋_GBK" w:cs="Times New Roman"/>
          <w:snapToGrid w:val="0"/>
          <w:spacing w:val="6"/>
          <w:kern w:val="0"/>
          <w:sz w:val="32"/>
          <w:szCs w:val="32"/>
          <w:shd w:val="clear" w:color="auto" w:fill="auto"/>
          <w:lang w:val="en-US" w:eastAsia="zh-CN" w:bidi="ar-SA"/>
        </w:rPr>
        <w:t>66.67公顷。</w:t>
      </w:r>
      <w:r>
        <w:rPr>
          <w:rFonts w:hint="default" w:ascii="Times New Roman" w:hAnsi="Times New Roman" w:eastAsia="方正仿宋_GBK" w:cs="Times New Roman"/>
          <w:b w:val="0"/>
          <w:color w:val="000000"/>
          <w:kern w:val="0"/>
          <w:sz w:val="32"/>
          <w:szCs w:val="32"/>
          <w:shd w:val="clear" w:color="auto" w:fill="auto"/>
          <w:lang w:val="en-US" w:eastAsia="zh-CN" w:bidi="ar"/>
        </w:rPr>
        <w:br w:type="page"/>
      </w:r>
      <w:bookmarkStart w:id="156" w:name="_Toc29682"/>
      <w:bookmarkStart w:id="157" w:name="_Toc8378"/>
    </w:p>
    <w:p w14:paraId="09405B76">
      <w:pPr>
        <w:pStyle w:val="2"/>
        <w:keepNext/>
        <w:keepLines/>
        <w:pageBreakBefore w:val="0"/>
        <w:widowControl/>
        <w:kinsoku/>
        <w:wordWrap/>
        <w:overflowPunct/>
        <w:topLinePunct w:val="0"/>
        <w:autoSpaceDE/>
        <w:autoSpaceDN/>
        <w:bidi w:val="0"/>
        <w:adjustRightInd/>
        <w:snapToGrid/>
        <w:spacing w:before="46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158" w:name="_Toc5162"/>
      <w:r>
        <w:rPr>
          <w:rFonts w:hint="default" w:ascii="Times New Roman" w:hAnsi="Times New Roman" w:eastAsia="方正公文小标宋" w:cs="Times New Roman"/>
          <w:b w:val="0"/>
          <w:bCs w:val="0"/>
          <w:shd w:val="clear" w:color="auto" w:fill="auto"/>
          <w:lang w:val="en-US" w:eastAsia="zh-CN"/>
        </w:rPr>
        <w:t>第四章 规划布局</w:t>
      </w:r>
      <w:bookmarkEnd w:id="156"/>
      <w:bookmarkEnd w:id="157"/>
      <w:bookmarkEnd w:id="158"/>
    </w:p>
    <w:p w14:paraId="0CE3902C">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59" w:name="_Toc15217"/>
      <w:r>
        <w:rPr>
          <w:rFonts w:hint="default" w:ascii="Times New Roman" w:hAnsi="Times New Roman" w:eastAsia="方正公文黑体" w:cs="Times New Roman"/>
          <w:b w:val="0"/>
          <w:bCs w:val="0"/>
          <w:kern w:val="2"/>
          <w:sz w:val="32"/>
          <w:szCs w:val="32"/>
          <w:shd w:val="clear" w:color="auto" w:fill="auto"/>
          <w:lang w:val="en-US" w:eastAsia="zh-CN" w:bidi="ar-SA"/>
        </w:rPr>
        <w:t>一、规划布局</w:t>
      </w:r>
      <w:bookmarkEnd w:id="159"/>
    </w:p>
    <w:p w14:paraId="56DCD20F">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根据沙化土地空间分布特征、风沙危害特点、自然地理条件，遵循自然规律和生态规律，因害设防、分类治理。在防沙治沙总体布局上，采取以绿洲为中心、内治外防的防沙治沙战略，构建三个层次的防治格局。因地施策，实施工程固沙、国土绿化提升、退化草原治理和沙产业等工程，形成“一区两带多</w:t>
      </w:r>
      <w:r>
        <w:rPr>
          <w:rFonts w:hint="eastAsia" w:ascii="Times New Roman" w:hAnsi="Times New Roman" w:eastAsia="方正仿宋_GBK" w:cs="Times New Roman"/>
          <w:snapToGrid w:val="0"/>
          <w:spacing w:val="6"/>
          <w:kern w:val="0"/>
          <w:sz w:val="32"/>
          <w:szCs w:val="32"/>
          <w:shd w:val="clear" w:color="auto" w:fill="auto"/>
          <w:lang w:val="en-US" w:eastAsia="zh-CN" w:bidi="ar-SA"/>
        </w:rPr>
        <w:t>基地</w:t>
      </w:r>
      <w:r>
        <w:rPr>
          <w:rFonts w:hint="default" w:ascii="Times New Roman" w:hAnsi="Times New Roman" w:eastAsia="方正仿宋_GBK" w:cs="Times New Roman"/>
          <w:snapToGrid w:val="0"/>
          <w:spacing w:val="6"/>
          <w:kern w:val="0"/>
          <w:sz w:val="32"/>
          <w:szCs w:val="32"/>
          <w:shd w:val="clear" w:color="auto" w:fill="auto"/>
          <w:lang w:val="en-US" w:eastAsia="zh-CN" w:bidi="ar-SA"/>
        </w:rPr>
        <w:t>”的总体布局。注重自然植被保护和绿洲区防护林建设。开展植被结构调整、树种搭配和荒漠绿化区域保护修复等</w:t>
      </w:r>
      <w:r>
        <w:rPr>
          <w:rFonts w:hint="eastAsia" w:ascii="Times New Roman" w:hAnsi="Times New Roman" w:eastAsia="方正仿宋_GBK" w:cs="Times New Roman"/>
          <w:snapToGrid w:val="0"/>
          <w:spacing w:val="6"/>
          <w:kern w:val="0"/>
          <w:sz w:val="32"/>
          <w:szCs w:val="32"/>
          <w:shd w:val="clear" w:color="auto" w:fill="auto"/>
          <w:lang w:val="en-US" w:eastAsia="zh-CN" w:bidi="ar-SA"/>
        </w:rPr>
        <w:t>工作</w:t>
      </w:r>
      <w:r>
        <w:rPr>
          <w:rFonts w:hint="default" w:ascii="Times New Roman" w:hAnsi="Times New Roman" w:eastAsia="方正仿宋_GBK" w:cs="Times New Roman"/>
          <w:snapToGrid w:val="0"/>
          <w:spacing w:val="6"/>
          <w:kern w:val="0"/>
          <w:sz w:val="32"/>
          <w:szCs w:val="32"/>
          <w:shd w:val="clear" w:color="auto" w:fill="auto"/>
          <w:lang w:val="en-US" w:eastAsia="zh-CN" w:bidi="ar-SA"/>
        </w:rPr>
        <w:t>，保护好戈壁，做好保护和开发有效结合，有效减少扬沙对人居环境的影响。</w:t>
      </w:r>
    </w:p>
    <w:p w14:paraId="6EEB8FF6">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60" w:name="_Toc3685"/>
      <w:bookmarkStart w:id="161" w:name="_Toc2150"/>
      <w:r>
        <w:rPr>
          <w:rFonts w:hint="default" w:ascii="Times New Roman" w:hAnsi="Times New Roman" w:eastAsia="方正楷体_GBK" w:cs="Times New Roman"/>
          <w:b w:val="0"/>
          <w:bCs w:val="0"/>
          <w:kern w:val="2"/>
          <w:sz w:val="32"/>
          <w:szCs w:val="32"/>
          <w:shd w:val="clear" w:color="auto" w:fill="auto"/>
          <w:lang w:val="en-US" w:eastAsia="zh-CN" w:bidi="ar-SA"/>
        </w:rPr>
        <w:t>（一）准噶尔东部荒漠生态区</w:t>
      </w:r>
      <w:bookmarkEnd w:id="160"/>
      <w:bookmarkEnd w:id="161"/>
    </w:p>
    <w:p w14:paraId="2627C619">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一区：准噶尔东部荒漠生态区</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准噶尔东部荒漠生态区是典型的荒漠生态系统，分布着具有景观价值的沙漠、戈壁及许多历史文化古迹，具有十分重要的文化价值、特殊的生态价值和服务价值，切</w:t>
      </w:r>
      <w:r>
        <w:rPr>
          <w:rFonts w:hint="eastAsia" w:ascii="Times New Roman" w:hAnsi="Times New Roman" w:eastAsia="方正仿宋_GBK" w:cs="Times New Roman"/>
          <w:snapToGrid w:val="0"/>
          <w:spacing w:val="6"/>
          <w:kern w:val="0"/>
          <w:sz w:val="32"/>
          <w:szCs w:val="32"/>
          <w:shd w:val="clear" w:color="auto" w:fill="auto"/>
          <w:lang w:val="en-US" w:eastAsia="zh-CN" w:bidi="ar-SA"/>
        </w:rPr>
        <w:t>实</w:t>
      </w:r>
      <w:r>
        <w:rPr>
          <w:rFonts w:hint="default" w:ascii="Times New Roman" w:hAnsi="Times New Roman" w:eastAsia="方正仿宋_GBK" w:cs="Times New Roman"/>
          <w:snapToGrid w:val="0"/>
          <w:spacing w:val="6"/>
          <w:kern w:val="0"/>
          <w:sz w:val="32"/>
          <w:szCs w:val="32"/>
          <w:shd w:val="clear" w:color="auto" w:fill="auto"/>
          <w:lang w:val="en-US" w:eastAsia="zh-CN" w:bidi="ar-SA"/>
        </w:rPr>
        <w:t>做好这片区域内的荒漠生态保护与修复工作具有重要意义。该区域内富集能源矿产，使得区域荒漠生态系统常常受到矿产勘探开采行为的影响，针对历史遗留矿坑</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废弃矿址，实施矿山生态修复，恢复原有地貌，规范矿产资源勘探开发行为，避免乱挖乱伐对地貌及环境的破坏，并持续强化监管。</w:t>
      </w:r>
    </w:p>
    <w:p w14:paraId="76194871">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把沙漠、大戈壁和难以治理以及需要特别保护的地区作为生态维护区域，采取保护措施</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减少人为破坏</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维持生态现状。绿洲外围沙丘、戈壁和其他类型的沙化土地，在现有的技术水平和经济条件下都很难进行治理，目前也无需投入大量人力、物力进行治理。对这些区域应以保持、维护区域现有状况为主，在暂时不易开发利用或地表现有植被破坏后无法恢复的沙漠、戈壁地区建立封禁保护区，严格禁止破坏活动，保护沙漠生态系统。在沙漠、山前戈壁带，有条件建设光伏的地方，发展光伏产业，同时做好光伏电站的防沙工程。在水分条件允许的地方，种植一定的防护林和草地。转变畜牧业发展方式，</w:t>
      </w:r>
      <w:r>
        <w:rPr>
          <w:rFonts w:hint="eastAsia" w:ascii="Times New Roman" w:hAnsi="Times New Roman" w:eastAsia="方正仿宋_GBK" w:cs="Times New Roman"/>
          <w:snapToGrid w:val="0"/>
          <w:spacing w:val="6"/>
          <w:kern w:val="0"/>
          <w:sz w:val="32"/>
          <w:szCs w:val="32"/>
          <w:shd w:val="clear" w:color="auto" w:fill="auto"/>
          <w:lang w:val="en-US" w:eastAsia="zh-CN" w:bidi="ar-SA"/>
        </w:rPr>
        <w:t>并</w:t>
      </w:r>
      <w:r>
        <w:rPr>
          <w:rFonts w:hint="default" w:ascii="Times New Roman" w:hAnsi="Times New Roman" w:eastAsia="方正仿宋_GBK" w:cs="Times New Roman"/>
          <w:snapToGrid w:val="0"/>
          <w:spacing w:val="6"/>
          <w:kern w:val="0"/>
          <w:sz w:val="32"/>
          <w:szCs w:val="32"/>
          <w:shd w:val="clear" w:color="auto" w:fill="auto"/>
          <w:lang w:val="en-US" w:eastAsia="zh-CN" w:bidi="ar-SA"/>
        </w:rPr>
        <w:t>推行以草定畜、草畜平衡制度和草原生态保护补助奖励机制，加强草场改良和人工种草，</w:t>
      </w:r>
      <w:r>
        <w:rPr>
          <w:rFonts w:hint="eastAsia" w:ascii="Times New Roman" w:hAnsi="Times New Roman" w:eastAsia="方正仿宋_GBK" w:cs="Times New Roman"/>
          <w:snapToGrid w:val="0"/>
          <w:spacing w:val="6"/>
          <w:kern w:val="0"/>
          <w:sz w:val="32"/>
          <w:szCs w:val="32"/>
          <w:shd w:val="clear" w:color="auto" w:fill="auto"/>
          <w:lang w:val="en-US" w:eastAsia="zh-CN" w:bidi="ar-SA"/>
        </w:rPr>
        <w:t>实施</w:t>
      </w:r>
      <w:r>
        <w:rPr>
          <w:rFonts w:hint="default" w:ascii="Times New Roman" w:hAnsi="Times New Roman" w:eastAsia="方正仿宋_GBK" w:cs="Times New Roman"/>
          <w:snapToGrid w:val="0"/>
          <w:spacing w:val="6"/>
          <w:kern w:val="0"/>
          <w:sz w:val="32"/>
          <w:szCs w:val="32"/>
          <w:shd w:val="clear" w:color="auto" w:fill="auto"/>
          <w:lang w:val="en-US" w:eastAsia="zh-CN" w:bidi="ar-SA"/>
        </w:rPr>
        <w:t>围封禁牧、划区轮牧、季节性休牧、舍饲圈养等</w:t>
      </w:r>
      <w:r>
        <w:rPr>
          <w:rFonts w:hint="eastAsia" w:ascii="Times New Roman" w:hAnsi="Times New Roman" w:eastAsia="方正仿宋_GBK" w:cs="Times New Roman"/>
          <w:snapToGrid w:val="0"/>
          <w:spacing w:val="6"/>
          <w:kern w:val="0"/>
          <w:sz w:val="32"/>
          <w:szCs w:val="32"/>
          <w:shd w:val="clear" w:color="auto" w:fill="auto"/>
          <w:lang w:val="en-US" w:eastAsia="zh-CN" w:bidi="ar-SA"/>
        </w:rPr>
        <w:t>措施</w:t>
      </w:r>
      <w:r>
        <w:rPr>
          <w:rFonts w:hint="default" w:ascii="Times New Roman" w:hAnsi="Times New Roman" w:eastAsia="方正仿宋_GBK" w:cs="Times New Roman"/>
          <w:snapToGrid w:val="0"/>
          <w:spacing w:val="6"/>
          <w:kern w:val="0"/>
          <w:sz w:val="32"/>
          <w:szCs w:val="32"/>
          <w:shd w:val="clear" w:color="auto" w:fill="auto"/>
          <w:lang w:val="en-US" w:eastAsia="zh-CN" w:bidi="ar-SA"/>
        </w:rPr>
        <w:t>，保护和恢复草原植被。建设光伏产业园、循环经济产业园，</w:t>
      </w:r>
      <w:r>
        <w:rPr>
          <w:rFonts w:hint="eastAsia" w:ascii="Times New Roman" w:hAnsi="Times New Roman" w:eastAsia="方正仿宋_GBK" w:cs="Times New Roman"/>
          <w:snapToGrid w:val="0"/>
          <w:spacing w:val="6"/>
          <w:kern w:val="0"/>
          <w:sz w:val="32"/>
          <w:szCs w:val="32"/>
          <w:shd w:val="clear" w:color="auto" w:fill="auto"/>
          <w:lang w:val="en-US" w:eastAsia="zh-CN" w:bidi="ar-SA"/>
        </w:rPr>
        <w:t>实施</w:t>
      </w:r>
      <w:r>
        <w:rPr>
          <w:rFonts w:hint="default" w:ascii="Times New Roman" w:hAnsi="Times New Roman" w:eastAsia="方正仿宋_GBK" w:cs="Times New Roman"/>
          <w:snapToGrid w:val="0"/>
          <w:spacing w:val="6"/>
          <w:kern w:val="0"/>
          <w:sz w:val="32"/>
          <w:szCs w:val="32"/>
          <w:shd w:val="clear" w:color="auto" w:fill="auto"/>
          <w:lang w:val="en-US" w:eastAsia="zh-CN" w:bidi="ar-SA"/>
        </w:rPr>
        <w:t>光伏治沙</w:t>
      </w:r>
      <w:r>
        <w:rPr>
          <w:rFonts w:hint="eastAsia" w:ascii="Times New Roman" w:hAnsi="Times New Roman" w:eastAsia="方正仿宋_GBK" w:cs="Times New Roman"/>
          <w:snapToGrid w:val="0"/>
          <w:spacing w:val="6"/>
          <w:kern w:val="0"/>
          <w:sz w:val="32"/>
          <w:szCs w:val="32"/>
          <w:shd w:val="clear" w:color="auto" w:fill="auto"/>
          <w:lang w:val="en-US" w:eastAsia="zh-CN" w:bidi="ar-SA"/>
        </w:rPr>
        <w:t>项目</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p>
    <w:p w14:paraId="3C872F7F">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62" w:name="_Toc11934"/>
      <w:bookmarkStart w:id="163" w:name="_Toc13658"/>
      <w:r>
        <w:rPr>
          <w:rFonts w:hint="default" w:ascii="Times New Roman" w:hAnsi="Times New Roman" w:eastAsia="方正楷体_GBK" w:cs="Times New Roman"/>
          <w:b w:val="0"/>
          <w:bCs w:val="0"/>
          <w:kern w:val="2"/>
          <w:sz w:val="32"/>
          <w:szCs w:val="32"/>
          <w:shd w:val="clear" w:color="auto" w:fill="auto"/>
          <w:lang w:val="en-US" w:eastAsia="zh-CN" w:bidi="ar-SA"/>
        </w:rPr>
        <w:t>（二）农田防风固沙林带和道路防风固沙林带</w:t>
      </w:r>
      <w:bookmarkEnd w:id="162"/>
      <w:bookmarkEnd w:id="163"/>
    </w:p>
    <w:p w14:paraId="15C0BD2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两带：指的是以城镇周边、农田四周为体系的防风固沙林带和主要道路防风固沙林带，是实现国土增绿</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打造良好人居环境的主要空间。改造和完善农田防护林体系，推广节水灌溉技术，建设高效经济型林业，推动农牧业集约化经营和沙产业开发。在绿洲内部农田上营造防护林网，在林网内实行林、粮、草混作，在村旁、路旁、渠旁、宅旁开展多方式、多树种的造林绿化。在绿洲内部的小片夹荒地、盐碱地、下潮地和河滩地，建立小片经济林，积极发展特色种植业。根据防护林退化类型因地制宜实施人工防护林退化修复，提升防风固沙功能。</w:t>
      </w:r>
    </w:p>
    <w:p w14:paraId="77A1249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在绿洲水资源总量内合理分配生活、生产、生态用水，在保证生活用水、生产用水的同时，解决好生态用水问题。积极推广喷灌、滴灌、管道</w:t>
      </w:r>
      <w:r>
        <w:rPr>
          <w:rFonts w:hint="eastAsia" w:ascii="Times New Roman" w:hAnsi="Times New Roman" w:eastAsia="方正仿宋_GBK" w:cs="Times New Roman"/>
          <w:snapToGrid w:val="0"/>
          <w:spacing w:val="6"/>
          <w:kern w:val="0"/>
          <w:sz w:val="32"/>
          <w:szCs w:val="32"/>
          <w:shd w:val="clear" w:color="auto" w:fill="auto"/>
          <w:lang w:val="en-US" w:eastAsia="zh-CN" w:bidi="ar-SA"/>
        </w:rPr>
        <w:t>灌溉</w:t>
      </w:r>
      <w:r>
        <w:rPr>
          <w:rFonts w:hint="default" w:ascii="Times New Roman" w:hAnsi="Times New Roman" w:eastAsia="方正仿宋_GBK" w:cs="Times New Roman"/>
          <w:snapToGrid w:val="0"/>
          <w:spacing w:val="6"/>
          <w:kern w:val="0"/>
          <w:sz w:val="32"/>
          <w:szCs w:val="32"/>
          <w:shd w:val="clear" w:color="auto" w:fill="auto"/>
          <w:lang w:val="en-US" w:eastAsia="zh-CN" w:bidi="ar-SA"/>
        </w:rPr>
        <w:t>、膜孔</w:t>
      </w:r>
      <w:r>
        <w:rPr>
          <w:rFonts w:hint="eastAsia" w:ascii="Times New Roman" w:hAnsi="Times New Roman" w:eastAsia="方正仿宋_GBK" w:cs="Times New Roman"/>
          <w:snapToGrid w:val="0"/>
          <w:spacing w:val="6"/>
          <w:kern w:val="0"/>
          <w:sz w:val="32"/>
          <w:szCs w:val="32"/>
          <w:shd w:val="clear" w:color="auto" w:fill="auto"/>
          <w:lang w:val="en-US" w:eastAsia="zh-CN" w:bidi="ar-SA"/>
        </w:rPr>
        <w:t>灌溉</w:t>
      </w:r>
      <w:r>
        <w:rPr>
          <w:rFonts w:hint="default" w:ascii="Times New Roman" w:hAnsi="Times New Roman" w:eastAsia="方正仿宋_GBK" w:cs="Times New Roman"/>
          <w:snapToGrid w:val="0"/>
          <w:spacing w:val="6"/>
          <w:kern w:val="0"/>
          <w:sz w:val="32"/>
          <w:szCs w:val="32"/>
          <w:shd w:val="clear" w:color="auto" w:fill="auto"/>
          <w:lang w:val="en-US" w:eastAsia="zh-CN" w:bidi="ar-SA"/>
        </w:rPr>
        <w:t>等现代节水技术，改进农业灌溉制度，达到既节约水资源，又避免大水漫灌引起地下水位升高</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诱发土壤次生盐渍化的问题。选择耐旱造林树种，采取科学的节水措施，减少水资源的消耗。</w:t>
      </w:r>
    </w:p>
    <w:p w14:paraId="267ECE7B">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64" w:name="_Toc7793"/>
      <w:bookmarkStart w:id="165" w:name="_Toc26417"/>
      <w:r>
        <w:rPr>
          <w:rFonts w:hint="default" w:ascii="Times New Roman" w:hAnsi="Times New Roman" w:eastAsia="方正楷体_GBK" w:cs="Times New Roman"/>
          <w:b w:val="0"/>
          <w:bCs w:val="0"/>
          <w:kern w:val="2"/>
          <w:sz w:val="32"/>
          <w:szCs w:val="32"/>
          <w:shd w:val="clear" w:color="auto" w:fill="auto"/>
          <w:lang w:val="en-US" w:eastAsia="zh-CN" w:bidi="ar-SA"/>
        </w:rPr>
        <w:t>（三）多基地</w:t>
      </w:r>
      <w:bookmarkEnd w:id="164"/>
      <w:bookmarkEnd w:id="165"/>
    </w:p>
    <w:p w14:paraId="47B18DF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以伊吾胡杨林国家沙漠公园、湿地公园等自然公园为主体的多个重要生态功能节点，严格按照自然保护区及湿地公园保护要求进行生态保护，在保护优先的基础上提升沙漠公园以及湿地公园的景观及游憩设施建设</w:t>
      </w:r>
      <w:r>
        <w:rPr>
          <w:rFonts w:hint="eastAsia" w:ascii="Times New Roman" w:hAnsi="Times New Roman" w:eastAsia="方正仿宋_GBK" w:cs="Times New Roman"/>
          <w:snapToGrid w:val="0"/>
          <w:spacing w:val="6"/>
          <w:kern w:val="0"/>
          <w:sz w:val="32"/>
          <w:szCs w:val="32"/>
          <w:shd w:val="clear" w:color="auto" w:fill="auto"/>
          <w:lang w:val="en-US" w:eastAsia="zh-CN" w:bidi="ar-SA"/>
        </w:rPr>
        <w:t>水平</w:t>
      </w:r>
      <w:r>
        <w:rPr>
          <w:rFonts w:hint="default" w:ascii="Times New Roman" w:hAnsi="Times New Roman" w:eastAsia="方正仿宋_GBK" w:cs="Times New Roman"/>
          <w:snapToGrid w:val="0"/>
          <w:spacing w:val="6"/>
          <w:kern w:val="0"/>
          <w:sz w:val="32"/>
          <w:szCs w:val="32"/>
          <w:shd w:val="clear" w:color="auto" w:fill="auto"/>
          <w:lang w:val="en-US" w:eastAsia="zh-CN" w:bidi="ar-SA"/>
        </w:rPr>
        <w:t>，打造生态良好、景观优美的生态型公园。</w:t>
      </w:r>
    </w:p>
    <w:p w14:paraId="5AA067E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通过沙漠公园建设和湿地保护修复，</w:t>
      </w:r>
      <w:r>
        <w:rPr>
          <w:rFonts w:hint="eastAsia" w:ascii="Times New Roman" w:hAnsi="Times New Roman" w:eastAsia="方正仿宋_GBK" w:cs="Times New Roman"/>
          <w:snapToGrid w:val="0"/>
          <w:spacing w:val="6"/>
          <w:kern w:val="0"/>
          <w:sz w:val="32"/>
          <w:szCs w:val="32"/>
          <w:shd w:val="clear" w:color="auto" w:fill="auto"/>
          <w:lang w:val="en-US" w:eastAsia="zh-CN" w:bidi="ar-SA"/>
        </w:rPr>
        <w:t>采取</w:t>
      </w:r>
      <w:r>
        <w:rPr>
          <w:rFonts w:hint="default" w:ascii="Times New Roman" w:hAnsi="Times New Roman" w:eastAsia="方正仿宋_GBK" w:cs="Times New Roman"/>
          <w:snapToGrid w:val="0"/>
          <w:spacing w:val="6"/>
          <w:kern w:val="0"/>
          <w:sz w:val="32"/>
          <w:szCs w:val="32"/>
          <w:shd w:val="clear" w:color="auto" w:fill="auto"/>
          <w:lang w:val="en-US" w:eastAsia="zh-CN" w:bidi="ar-SA"/>
        </w:rPr>
        <w:t>适当的人工促进自然修复措施，使沙化土地依靠自然力量进行修复，保护沙区现有的生态功能和生物多样性，遏制伊吾县生态环境恶化的趋势，有效改善伊吾县人居生态环境。以保护现有植被为前提，以生物措施为主，注重防风与固沙。对该区域应以封沙育林、围栏封育为主，保护原生植被，辅以适当的人工促进措施，扩大植被种类，增加植被盖度。</w:t>
      </w:r>
    </w:p>
    <w:p w14:paraId="7DBE4378">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66" w:name="_Toc20737"/>
      <w:r>
        <w:rPr>
          <w:rFonts w:hint="default" w:ascii="Times New Roman" w:hAnsi="Times New Roman" w:eastAsia="方正公文黑体" w:cs="Times New Roman"/>
          <w:b w:val="0"/>
          <w:bCs w:val="0"/>
          <w:kern w:val="2"/>
          <w:sz w:val="32"/>
          <w:szCs w:val="32"/>
          <w:shd w:val="clear" w:color="auto" w:fill="auto"/>
          <w:lang w:val="en-US" w:eastAsia="zh-CN" w:bidi="ar-SA"/>
        </w:rPr>
        <w:t>二、规划治理区</w:t>
      </w:r>
      <w:bookmarkEnd w:id="166"/>
    </w:p>
    <w:p w14:paraId="2FFF0AE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以哈密市“两屏两区两带多节点”的防沙治沙治理布局为依据，“山水林田湖草沙一体化”的系统治沙思路，以巩固沙化土地治理成果为目的，坚持预防为主、重点修复、适度利用的防沙治沙总体方略，划分三个治理区，分别为伊吾河流域综合治理区、东天山两侧中-低山丘陵植被恢复区、东天山生态功能巩固区。</w:t>
      </w:r>
    </w:p>
    <w:p w14:paraId="7A0F70BE">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67" w:name="_Toc30403"/>
      <w:bookmarkStart w:id="168" w:name="_Toc20938"/>
      <w:r>
        <w:rPr>
          <w:rFonts w:hint="default" w:ascii="Times New Roman" w:hAnsi="Times New Roman" w:eastAsia="方正楷体_GBK" w:cs="Times New Roman"/>
          <w:b w:val="0"/>
          <w:bCs w:val="0"/>
          <w:kern w:val="2"/>
          <w:sz w:val="32"/>
          <w:szCs w:val="32"/>
          <w:shd w:val="clear" w:color="auto" w:fill="auto"/>
          <w:lang w:val="en-US" w:eastAsia="zh-CN" w:bidi="ar-SA"/>
        </w:rPr>
        <w:t>（一）伊吾河流域综合治理区</w:t>
      </w:r>
      <w:bookmarkEnd w:id="167"/>
      <w:bookmarkEnd w:id="168"/>
    </w:p>
    <w:p w14:paraId="7E744DCA">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区域范围：该区域位于东天山东北部，喀尔里克山北坡。</w:t>
      </w:r>
    </w:p>
    <w:p w14:paraId="047DBD5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区域概况：伊吾盆地、淖毛湖绿洲区分布在该区域，区域内中部是喀尔里克山区的山前冲洪积扇，总体地势南高北低，分布着荒漠草原、灌木等旱生、超旱生植被，植被盖度较低；其中的伊吾河是哈密地区乃至东疆唯一的一条常流河，河流经过伊吾县城、吐葫芦乡、苇子峡乡流至淖毛湖镇。</w:t>
      </w:r>
    </w:p>
    <w:p w14:paraId="594D656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主要生态问题：伊吾盆地内部、淖毛湖绿洲区人工防护林退化严重、防护功能衰退，伊吾盆地外围地表植被以荒漠草原植被为主</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覆盖率低，加上该区地形落差大、气候条件等因素的影响，生态环境脆弱，资源环境承载力较差，主要有荒漠植被退化、土地沙化、土地盐渍化等问题日益凸显。</w:t>
      </w:r>
    </w:p>
    <w:p w14:paraId="193D607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治理方向：实施人工造林、退化防护林治理工程，让区域内“增绿</w:t>
      </w:r>
      <w:r>
        <w:rPr>
          <w:rFonts w:hint="eastAsia" w:ascii="Times New Roman" w:hAnsi="Times New Roman" w:eastAsia="方正仿宋_GBK" w:cs="Times New Roman"/>
          <w:snapToGrid w:val="0"/>
          <w:spacing w:val="6"/>
          <w:kern w:val="0"/>
          <w:sz w:val="32"/>
          <w:szCs w:val="32"/>
          <w:shd w:val="clear" w:color="auto" w:fill="auto"/>
          <w:lang w:val="en-US" w:eastAsia="zh-CN" w:bidi="ar-SA"/>
        </w:rPr>
        <w:t>添彩</w:t>
      </w:r>
      <w:r>
        <w:rPr>
          <w:rFonts w:hint="default" w:ascii="Times New Roman" w:hAnsi="Times New Roman" w:eastAsia="方正仿宋_GBK" w:cs="Times New Roman"/>
          <w:snapToGrid w:val="0"/>
          <w:spacing w:val="6"/>
          <w:kern w:val="0"/>
          <w:sz w:val="32"/>
          <w:szCs w:val="32"/>
          <w:shd w:val="clear" w:color="auto" w:fill="auto"/>
          <w:lang w:val="en-US" w:eastAsia="zh-CN" w:bidi="ar-SA"/>
        </w:rPr>
        <w:t>”，加快生态环境建设，实施草原生态</w:t>
      </w:r>
      <w:r>
        <w:rPr>
          <w:rFonts w:hint="eastAsia" w:ascii="Times New Roman" w:hAnsi="Times New Roman" w:eastAsia="方正仿宋_GBK" w:cs="Times New Roman"/>
          <w:snapToGrid w:val="0"/>
          <w:spacing w:val="6"/>
          <w:kern w:val="0"/>
          <w:sz w:val="32"/>
          <w:szCs w:val="32"/>
          <w:shd w:val="clear" w:color="auto" w:fill="auto"/>
          <w:lang w:val="en-US" w:eastAsia="zh-CN" w:bidi="ar-SA"/>
        </w:rPr>
        <w:t>环境</w:t>
      </w:r>
      <w:r>
        <w:rPr>
          <w:rFonts w:hint="default" w:ascii="Times New Roman" w:hAnsi="Times New Roman" w:eastAsia="方正仿宋_GBK" w:cs="Times New Roman"/>
          <w:snapToGrid w:val="0"/>
          <w:spacing w:val="6"/>
          <w:kern w:val="0"/>
          <w:sz w:val="32"/>
          <w:szCs w:val="32"/>
          <w:shd w:val="clear" w:color="auto" w:fill="auto"/>
          <w:lang w:val="en-US" w:eastAsia="zh-CN" w:bidi="ar-SA"/>
        </w:rPr>
        <w:t>综合治理修复工程，进行天然林封育，恢复荒漠灌木、草原植被。伊吾河流域范围内禁止砍伐、放牧、开垦、开矿、挖沙等活动，禁止污染环境、破坏资源或者景观的开发活动；保护流域内的湿地、水源涵养地等生态系统的完整性。</w:t>
      </w:r>
    </w:p>
    <w:p w14:paraId="2BA5C426">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69" w:name="_Toc3376"/>
      <w:bookmarkStart w:id="170" w:name="_Toc30810"/>
      <w:r>
        <w:rPr>
          <w:rFonts w:hint="default" w:ascii="Times New Roman" w:hAnsi="Times New Roman" w:eastAsia="方正楷体_GBK" w:cs="Times New Roman"/>
          <w:b w:val="0"/>
          <w:bCs w:val="0"/>
          <w:kern w:val="2"/>
          <w:sz w:val="32"/>
          <w:szCs w:val="32"/>
          <w:shd w:val="clear" w:color="auto" w:fill="auto"/>
          <w:lang w:val="en-US" w:eastAsia="zh-CN" w:bidi="ar-SA"/>
        </w:rPr>
        <w:t>（二）东天山两侧中—低山丘陵植被恢复区</w:t>
      </w:r>
      <w:bookmarkEnd w:id="169"/>
      <w:bookmarkEnd w:id="170"/>
    </w:p>
    <w:p w14:paraId="06B8218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区域范围：该区域由东天山的西北侧中山区和东南侧低山丘陵区组成，西北侧位于莫钦乌拉山西段，东南侧位于喀尔里克山东部尾段和伊州区西部低山丘陵区。</w:t>
      </w:r>
    </w:p>
    <w:p w14:paraId="6B916CB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区域概况：西北侧区域山峦起伏、纵横交错，与准噶尔盆地东部相结合，区域内典型植被是山地荒漠草原和以爬地柏（新疆圆柏）、兔儿条为主的低矮灌木林地；东南侧区域属荒漠型山地地形，地域辽阔，地表被梭梭、黑柴、酥油草等荒漠植被覆盖。</w:t>
      </w:r>
    </w:p>
    <w:p w14:paraId="18F5EB6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主要生态问题：该区域是哈密主要牧场之一，最频繁的人为活动是放牧，边缘区域富含矿产资源，矿产开发行为也是生态环境主要的胁迫因素之一，区域内草畜矛盾日益突出，高强度利用使草地退化，草原鼠虫害频发，荒漠区生态环境脆弱。</w:t>
      </w:r>
    </w:p>
    <w:p w14:paraId="4D72C44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治理方向：实行草原围栏封禁，控制草地利用强度，保障草地生态安全，建立鼠虫害监测机制，及时反映草原的健康状态，防止草地退化，控制草地生态逆转、减少草地流失数量；同时对外沿区域的荒漠灌木、半灌木实施封禁保护，防止矿产勘探开发行为对荒漠植被的破坏。</w:t>
      </w:r>
    </w:p>
    <w:p w14:paraId="79D08453">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2"/>
        <w:rPr>
          <w:rFonts w:hint="default" w:ascii="Times New Roman" w:hAnsi="Times New Roman" w:eastAsia="方正楷体_GBK" w:cs="Times New Roman"/>
          <w:b w:val="0"/>
          <w:bCs w:val="0"/>
          <w:kern w:val="2"/>
          <w:sz w:val="32"/>
          <w:szCs w:val="32"/>
          <w:shd w:val="clear" w:color="auto" w:fill="auto"/>
          <w:lang w:val="en-US" w:eastAsia="zh-CN" w:bidi="ar-SA"/>
        </w:rPr>
      </w:pPr>
      <w:bookmarkStart w:id="171" w:name="_Toc22895"/>
      <w:bookmarkStart w:id="172" w:name="_Toc30842"/>
      <w:r>
        <w:rPr>
          <w:rFonts w:hint="default" w:ascii="Times New Roman" w:hAnsi="Times New Roman" w:eastAsia="方正楷体_GBK" w:cs="Times New Roman"/>
          <w:b w:val="0"/>
          <w:bCs w:val="0"/>
          <w:kern w:val="2"/>
          <w:sz w:val="32"/>
          <w:szCs w:val="32"/>
          <w:shd w:val="clear" w:color="auto" w:fill="auto"/>
          <w:lang w:val="en-US" w:eastAsia="zh-CN" w:bidi="ar-SA"/>
        </w:rPr>
        <w:t>（三）东天山生态功能巩固区</w:t>
      </w:r>
      <w:bookmarkEnd w:id="171"/>
      <w:bookmarkEnd w:id="172"/>
    </w:p>
    <w:p w14:paraId="28481BA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区域范围：该区位于天山山脉的东段，跨伊州区、巴里坤哈萨克自治县、伊吾县三个行政区。</w:t>
      </w:r>
    </w:p>
    <w:p w14:paraId="6361D80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区域概况：该区域生态系统结构相对完整，担负着许多重要的生态服务功能，生物资源丰富</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对水资源和气候的调节及保持具有重要作用，是重要的水源地，是哈密盆地绿洲的生命线，对维系天山两侧绿洲农业和城镇发展具有极其重要的作用。山顶冰川发育，有大小冰川226条，面积180.9平方公里，折合水储量65亿立方米，是重要的天然固体水库，东天山冰雪融水补给水量丰富且较稳定，保障了哈密绿洲充足的灌溉用水及农业经济的发展。东天山生态系统保存完整，区内生态系统类型主要有针叶林和高山草甸草原，主要以雪岭云杉、西伯利亚落叶松为主组成天山唯一的针叶混交林森林生态系统，形成完整的天山东部山地垂直自然林带，在保护生物多样性方面也发挥着重要作用，区内有如雪豹、雪莲等珍稀濒危重点保护动植物。各种生物资源与生态环境之间，生物与生物之间，长期相互作用、相互依存、相互促进、相互制约，共同</w:t>
      </w:r>
      <w:r>
        <w:rPr>
          <w:rFonts w:hint="eastAsia" w:ascii="Times New Roman" w:hAnsi="Times New Roman" w:eastAsia="方正仿宋_GBK" w:cs="Times New Roman"/>
          <w:snapToGrid w:val="0"/>
          <w:spacing w:val="6"/>
          <w:kern w:val="0"/>
          <w:sz w:val="32"/>
          <w:szCs w:val="32"/>
          <w:shd w:val="clear" w:color="auto" w:fill="auto"/>
          <w:lang w:val="en-US" w:eastAsia="zh-CN" w:bidi="ar-SA"/>
        </w:rPr>
        <w:t>维持</w:t>
      </w:r>
      <w:r>
        <w:rPr>
          <w:rFonts w:hint="default" w:ascii="Times New Roman" w:hAnsi="Times New Roman" w:eastAsia="方正仿宋_GBK" w:cs="Times New Roman"/>
          <w:snapToGrid w:val="0"/>
          <w:spacing w:val="6"/>
          <w:kern w:val="0"/>
          <w:sz w:val="32"/>
          <w:szCs w:val="32"/>
          <w:shd w:val="clear" w:color="auto" w:fill="auto"/>
          <w:lang w:val="en-US" w:eastAsia="zh-CN" w:bidi="ar-SA"/>
        </w:rPr>
        <w:t>生态平衡。</w:t>
      </w:r>
    </w:p>
    <w:p w14:paraId="42557BD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主要生态问题：区域以森林生态系统为核心，天然草原过度放牧导致山地天然林和山地草甸型植被破坏较严重，水源涵养功能减弱。同时由于气候变化，温度上升，引起冰川减少，雪线上升，草地植被呈现不同程度的退化，进而引发水土流失、土壤侵蚀以及土地沙化等生态环境问题。</w:t>
      </w:r>
    </w:p>
    <w:p w14:paraId="07AD135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治理方向：区域内生态系统结构复杂，针对区域内各生态功能，分区施策，并重视生态功能的保护与修复，严格保护具有重要水源涵养功能的自然植被，限制或禁止各种损害生态系统水源涵养功能的经济社会活动和生产方式，如无序采矿、毁坏林地、湿地和草地开垦、过度放牧、道路建设等。加强生态保护与恢复，恢复与重建水源涵养区森林、草地、湿地等生态系统，提高生态系统的水源涵养能力。坚持自然恢复为主，采取自然恢复（封山育林）、林分改造、森林抚育、森林生态工程等措施，改善森林群落结构和</w:t>
      </w:r>
      <w:r>
        <w:rPr>
          <w:rFonts w:hint="eastAsia" w:ascii="Times New Roman" w:hAnsi="Times New Roman" w:eastAsia="方正仿宋_GBK" w:cs="Times New Roman"/>
          <w:snapToGrid w:val="0"/>
          <w:spacing w:val="6"/>
          <w:kern w:val="0"/>
          <w:sz w:val="32"/>
          <w:szCs w:val="32"/>
          <w:shd w:val="clear" w:color="auto" w:fill="auto"/>
          <w:lang w:val="en-US" w:eastAsia="zh-CN" w:bidi="ar-SA"/>
        </w:rPr>
        <w:t>健康状况</w:t>
      </w:r>
      <w:r>
        <w:rPr>
          <w:rFonts w:hint="default" w:ascii="Times New Roman" w:hAnsi="Times New Roman" w:eastAsia="方正仿宋_GBK" w:cs="Times New Roman"/>
          <w:snapToGrid w:val="0"/>
          <w:spacing w:val="6"/>
          <w:kern w:val="0"/>
          <w:sz w:val="32"/>
          <w:szCs w:val="32"/>
          <w:shd w:val="clear" w:color="auto" w:fill="auto"/>
          <w:lang w:val="en-US" w:eastAsia="zh-CN" w:bidi="ar-SA"/>
        </w:rPr>
        <w:t>，提升水源涵养、生物多样性保护和森林固碳能力等综合生态服务功能。严格控制载畜量，实行以草定畜，在农牧交错区提倡农牧结合，发展生态产业，培育替代产业，减轻区内畜牧业对水源和生态系统的压力。</w:t>
      </w:r>
    </w:p>
    <w:p w14:paraId="4DD9509B">
      <w:pPr>
        <w:rPr>
          <w:rFonts w:hint="default" w:ascii="Times New Roman" w:hAnsi="Times New Roman" w:eastAsia="方正公文小标宋" w:cs="Times New Roman"/>
          <w:b w:val="0"/>
          <w:bCs w:val="0"/>
          <w:shd w:val="clear" w:color="auto" w:fill="auto"/>
          <w:lang w:val="en-US" w:eastAsia="zh-CN"/>
        </w:rPr>
      </w:pPr>
      <w:r>
        <w:rPr>
          <w:rFonts w:hint="default" w:ascii="Times New Roman" w:hAnsi="Times New Roman" w:eastAsia="方正仿宋_GBK" w:cs="Times New Roman"/>
          <w:sz w:val="32"/>
          <w:szCs w:val="32"/>
          <w:shd w:val="clear" w:color="auto" w:fill="auto"/>
          <w:lang w:val="en-US" w:eastAsia="zh-CN"/>
        </w:rPr>
        <w:br w:type="page"/>
      </w:r>
      <w:bookmarkStart w:id="173" w:name="_Toc11158"/>
    </w:p>
    <w:p w14:paraId="4CE0ED01">
      <w:pPr>
        <w:pStyle w:val="2"/>
        <w:keepNext/>
        <w:keepLines/>
        <w:pageBreakBefore w:val="0"/>
        <w:widowControl/>
        <w:kinsoku/>
        <w:wordWrap/>
        <w:overflowPunct/>
        <w:topLinePunct w:val="0"/>
        <w:autoSpaceDE/>
        <w:autoSpaceDN/>
        <w:bidi w:val="0"/>
        <w:adjustRightInd/>
        <w:snapToGrid/>
        <w:spacing w:before="46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174" w:name="_Toc2389"/>
      <w:r>
        <w:rPr>
          <w:rFonts w:hint="default" w:ascii="Times New Roman" w:hAnsi="Times New Roman" w:eastAsia="方正公文小标宋" w:cs="Times New Roman"/>
          <w:b w:val="0"/>
          <w:bCs w:val="0"/>
          <w:shd w:val="clear" w:color="auto" w:fill="auto"/>
          <w:lang w:val="en-US" w:eastAsia="zh-CN"/>
        </w:rPr>
        <w:t>第五章 建设内容与规模</w:t>
      </w:r>
      <w:bookmarkEnd w:id="174"/>
    </w:p>
    <w:p w14:paraId="263A26B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依托“三北”工程、生态保护与修复工程，通过实施沙化土地综合治理、国土绿化提升、草原改良等工程，在沙漠前沿建设灌草、带片网状的防风阻沙林草带，阻止流沙扩展，起到锁边作用</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在绿洲外围建设以防风、固沙、减灾为主要目的</w:t>
      </w:r>
      <w:r>
        <w:rPr>
          <w:rFonts w:hint="eastAsia" w:ascii="Times New Roman" w:hAnsi="Times New Roman" w:eastAsia="方正仿宋_GBK" w:cs="Times New Roman"/>
          <w:snapToGrid w:val="0"/>
          <w:spacing w:val="6"/>
          <w:kern w:val="0"/>
          <w:sz w:val="32"/>
          <w:szCs w:val="32"/>
          <w:shd w:val="clear" w:color="auto" w:fill="auto"/>
          <w:lang w:val="en-US" w:eastAsia="zh-CN" w:bidi="ar-SA"/>
        </w:rPr>
        <w:t>的</w:t>
      </w:r>
      <w:r>
        <w:rPr>
          <w:rFonts w:hint="default" w:ascii="Times New Roman" w:hAnsi="Times New Roman" w:eastAsia="方正仿宋_GBK" w:cs="Times New Roman"/>
          <w:snapToGrid w:val="0"/>
          <w:spacing w:val="6"/>
          <w:kern w:val="0"/>
          <w:sz w:val="32"/>
          <w:szCs w:val="32"/>
          <w:shd w:val="clear" w:color="auto" w:fill="auto"/>
          <w:lang w:val="en-US" w:eastAsia="zh-CN" w:bidi="ar-SA"/>
        </w:rPr>
        <w:t>绿洲防护林体系</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在城市、村庄周边营造防护林带，内部营造景观林带</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特色林果，加快乡村绿化美化</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在公路沿线结合地形、气候条件，营造乔、灌混交的护路林带</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在潜在沙化土地以及未利用沙化土地上营造以生态效益为主的多功能、多种人造林</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在生态脆弱、人类活动少、暂不具备治理能力的区域实施封禁，以自然恢复为主</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其他区域以封育等限制人为活动的保护为主。在重点区域建设防沙治沙生态屏障，主要沙漠实现锁边和固定，减轻水土流失及荒漠化程度，增强区域防风固沙、水土保持、生物多样性等生态系统服务功能，提升生态承载力，减轻风沙危害。</w:t>
      </w:r>
    </w:p>
    <w:p w14:paraId="29636B92">
      <w:pPr>
        <w:keepNext/>
        <w:keepLines/>
        <w:pageBreakBefore w:val="0"/>
        <w:widowControl w:val="0"/>
        <w:kinsoku/>
        <w:wordWrap/>
        <w:overflowPunct/>
        <w:topLinePunct w:val="0"/>
        <w:autoSpaceDE/>
        <w:autoSpaceDN/>
        <w:bidi w:val="0"/>
        <w:adjustRightInd/>
        <w:snapToGrid/>
        <w:spacing w:before="0" w:after="0" w:line="590"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75" w:name="_Toc12840"/>
      <w:r>
        <w:rPr>
          <w:rFonts w:hint="default" w:ascii="Times New Roman" w:hAnsi="Times New Roman" w:eastAsia="方正公文黑体" w:cs="Times New Roman"/>
          <w:b w:val="0"/>
          <w:bCs w:val="0"/>
          <w:kern w:val="2"/>
          <w:sz w:val="32"/>
          <w:szCs w:val="32"/>
          <w:shd w:val="clear" w:color="auto" w:fill="auto"/>
          <w:lang w:val="en-US" w:eastAsia="zh-CN" w:bidi="ar-SA"/>
        </w:rPr>
        <w:t>一、</w:t>
      </w:r>
      <w:bookmarkEnd w:id="175"/>
      <w:r>
        <w:rPr>
          <w:rFonts w:hint="eastAsia" w:ascii="Times New Roman" w:hAnsi="Times New Roman" w:eastAsia="方正公文黑体" w:cs="Times New Roman"/>
          <w:b w:val="0"/>
          <w:bCs w:val="0"/>
          <w:kern w:val="2"/>
          <w:sz w:val="32"/>
          <w:szCs w:val="32"/>
          <w:shd w:val="clear" w:color="auto" w:fill="auto"/>
          <w:lang w:val="en-US" w:eastAsia="zh-CN" w:bidi="ar-SA"/>
        </w:rPr>
        <w:t>国土绿化提升工程</w:t>
      </w:r>
    </w:p>
    <w:p w14:paraId="0D76C58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采取人工造林、封山育林、退化林修复、森林抚育等措施，营造农田防护林、防风固沙林、水土保持林、护路林以及碳汇林和经济林等，形成乔、灌结合，林带、林网、片林相结合，多种林、多种树合理配置，农、林、牧协调发展的防护林体系。包括农田林网化建设：结合自治区高标准农田建设，巩固完善农田防护林体系，积极使用抗逆性强的乡土树种，科学设计林网规格、乔灌混交比例与建设模式，坚持造管并重，组织动员群众全过程参与农田防护林建设。护路</w:t>
      </w:r>
      <w:r>
        <w:rPr>
          <w:rFonts w:hint="eastAsia" w:ascii="Times New Roman" w:hAnsi="Times New Roman" w:eastAsia="方正仿宋_GBK" w:cs="Times New Roman"/>
          <w:snapToGrid w:val="0"/>
          <w:spacing w:val="6"/>
          <w:kern w:val="0"/>
          <w:sz w:val="32"/>
          <w:szCs w:val="32"/>
          <w:shd w:val="clear" w:color="auto" w:fill="auto"/>
          <w:lang w:val="en-US" w:eastAsia="zh-CN" w:bidi="ar-SA"/>
        </w:rPr>
        <w:t>工程，对高速伊吾段等主要干道，以及重要农村公路沿线沙化、风沙危害路段的治理要求，建设护路林。建立交通与林草部门在防沙固沙、</w:t>
      </w:r>
      <w:r>
        <w:rPr>
          <w:rFonts w:hint="default" w:ascii="Times New Roman" w:hAnsi="Times New Roman" w:eastAsia="方正仿宋_GBK" w:cs="Times New Roman"/>
          <w:snapToGrid w:val="0"/>
          <w:spacing w:val="6"/>
          <w:kern w:val="0"/>
          <w:sz w:val="32"/>
          <w:szCs w:val="32"/>
          <w:shd w:val="clear" w:color="auto" w:fill="auto"/>
          <w:lang w:val="en-US" w:eastAsia="zh-CN" w:bidi="ar-SA"/>
        </w:rPr>
        <w:t>乡村绿化美化行动：结合自治区乡村振兴战略总体要求，以水定林、见缝插绿，加大“村旁、路旁、水旁、宅旁”造林绿化工作，积极推广使用乡土树种，积极改善农村人居环境</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其他营造林工程项目：坚持以水定林，科学规划、合理布局，加强荒山绿化、城乡绿化、通道绿化。结合重要湿地和保护区发展需要，建设完善防护林体系。</w:t>
      </w:r>
    </w:p>
    <w:p w14:paraId="425A304E">
      <w:pPr>
        <w:pStyle w:val="4"/>
        <w:keepNext/>
        <w:keepLines/>
        <w:pageBreakBefore w:val="0"/>
        <w:widowControl/>
        <w:numPr>
          <w:ilvl w:val="0"/>
          <w:numId w:val="0"/>
        </w:numPr>
        <w:kinsoku/>
        <w:wordWrap/>
        <w:overflowPunct/>
        <w:topLinePunct w:val="0"/>
        <w:autoSpaceDE/>
        <w:autoSpaceDN/>
        <w:bidi w:val="0"/>
        <w:adjustRightInd/>
        <w:snapToGrid/>
        <w:spacing w:before="0" w:after="0" w:line="413" w:lineRule="auto"/>
        <w:ind w:firstLine="640" w:firstLineChars="200"/>
        <w:textAlignment w:val="auto"/>
        <w:rPr>
          <w:rFonts w:hint="default" w:ascii="Times New Roman" w:hAnsi="Times New Roman" w:eastAsia="方正楷体_GBK" w:cs="Times New Roman"/>
          <w:b w:val="0"/>
          <w:bCs w:val="0"/>
          <w:kern w:val="2"/>
          <w:sz w:val="32"/>
          <w:szCs w:val="32"/>
          <w:shd w:val="clear" w:color="auto" w:fill="auto"/>
          <w:lang w:val="en-US" w:eastAsia="zh-CN" w:bidi="ar-SA"/>
        </w:rPr>
      </w:pPr>
      <w:bookmarkStart w:id="176" w:name="_Toc7063"/>
      <w:bookmarkStart w:id="177" w:name="_Toc14416"/>
      <w:r>
        <w:rPr>
          <w:rFonts w:hint="eastAsia" w:ascii="Times New Roman" w:hAnsi="Times New Roman" w:eastAsia="方正楷体_GBK" w:cs="Times New Roman"/>
          <w:b w:val="0"/>
          <w:bCs w:val="0"/>
          <w:kern w:val="2"/>
          <w:sz w:val="32"/>
          <w:szCs w:val="32"/>
          <w:shd w:val="clear" w:color="auto" w:fill="auto"/>
          <w:lang w:val="en-US" w:eastAsia="zh-CN" w:bidi="ar-SA"/>
        </w:rPr>
        <w:t>（一）</w:t>
      </w:r>
      <w:r>
        <w:rPr>
          <w:rFonts w:hint="default" w:ascii="Times New Roman" w:hAnsi="Times New Roman" w:eastAsia="方正楷体_GBK" w:cs="Times New Roman"/>
          <w:b w:val="0"/>
          <w:bCs w:val="0"/>
          <w:kern w:val="2"/>
          <w:sz w:val="32"/>
          <w:szCs w:val="32"/>
          <w:shd w:val="clear" w:color="auto" w:fill="auto"/>
          <w:lang w:val="en-US" w:eastAsia="zh-CN" w:bidi="ar-SA"/>
        </w:rPr>
        <w:t>封山（沙）育林</w:t>
      </w:r>
      <w:bookmarkEnd w:id="176"/>
      <w:bookmarkEnd w:id="177"/>
    </w:p>
    <w:p w14:paraId="7C24118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建设地点：葫芦乡、下马崖乡、苇子峡乡。</w:t>
      </w:r>
    </w:p>
    <w:p w14:paraId="4097E0D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建设规模：2021</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2025年建设22517.82公顷，2026</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2030年建设1929.15公顷。</w:t>
      </w:r>
    </w:p>
    <w:p w14:paraId="7F812DC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建设目标：建设旨在利用灌木的根系稳固沙土，有效抑制沙漠化扩展，通过提高地表植被</w:t>
      </w:r>
      <w:r>
        <w:rPr>
          <w:rFonts w:hint="eastAsia" w:ascii="Times New Roman" w:hAnsi="Times New Roman" w:eastAsia="方正仿宋_GBK" w:cs="Times New Roman"/>
          <w:snapToGrid w:val="0"/>
          <w:spacing w:val="6"/>
          <w:kern w:val="0"/>
          <w:sz w:val="32"/>
          <w:szCs w:val="32"/>
          <w:shd w:val="clear" w:color="auto" w:fill="auto"/>
          <w:lang w:val="en-US" w:eastAsia="zh-CN" w:bidi="ar-SA"/>
        </w:rPr>
        <w:t>覆盖度</w:t>
      </w:r>
      <w:r>
        <w:rPr>
          <w:rFonts w:hint="default" w:ascii="Times New Roman" w:hAnsi="Times New Roman" w:eastAsia="方正仿宋_GBK" w:cs="Times New Roman"/>
          <w:snapToGrid w:val="0"/>
          <w:spacing w:val="6"/>
          <w:kern w:val="0"/>
          <w:sz w:val="32"/>
          <w:szCs w:val="32"/>
          <w:shd w:val="clear" w:color="auto" w:fill="auto"/>
          <w:lang w:val="en-US" w:eastAsia="zh-CN" w:bidi="ar-SA"/>
        </w:rPr>
        <w:t>，减少风蚀作用，以生物措施保护土地，维护区域生态安全，支撑当地农业和生态环境的可持续发展。</w:t>
      </w:r>
    </w:p>
    <w:p w14:paraId="545081D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建设内容：选择适应当地沙化土地的耐旱灌木品种进行大规模种植，建立多层次的</w:t>
      </w:r>
      <w:r>
        <w:rPr>
          <w:rFonts w:hint="eastAsia" w:ascii="Times New Roman" w:hAnsi="Times New Roman" w:eastAsia="方正仿宋_GBK" w:cs="Times New Roman"/>
          <w:snapToGrid w:val="0"/>
          <w:spacing w:val="6"/>
          <w:kern w:val="0"/>
          <w:sz w:val="32"/>
          <w:szCs w:val="32"/>
          <w:shd w:val="clear" w:color="auto" w:fill="auto"/>
          <w:lang w:val="en-US" w:eastAsia="zh-CN" w:bidi="ar-SA"/>
        </w:rPr>
        <w:t>乔、</w:t>
      </w:r>
      <w:r>
        <w:rPr>
          <w:rFonts w:hint="default" w:ascii="Times New Roman" w:hAnsi="Times New Roman" w:eastAsia="方正仿宋_GBK" w:cs="Times New Roman"/>
          <w:snapToGrid w:val="0"/>
          <w:spacing w:val="6"/>
          <w:kern w:val="0"/>
          <w:sz w:val="32"/>
          <w:szCs w:val="32"/>
          <w:shd w:val="clear" w:color="auto" w:fill="auto"/>
          <w:lang w:val="en-US" w:eastAsia="zh-CN" w:bidi="ar-SA"/>
        </w:rPr>
        <w:t>灌木植被带；实施土壤改良，提高沙土的保水和养分能力；开展灌溉系统建设，确保灌木林的成活率；进行科学的林间管理和维护，包括修剪、疏透、施肥等，以促进灌木生长；同时，结合沙障工程，设置草方格等物理阻沙措施，以及推广生物结皮技术，共同构建起综合的防沙治沙体系。</w:t>
      </w:r>
    </w:p>
    <w:p w14:paraId="06D92E55">
      <w:pPr>
        <w:pStyle w:val="4"/>
        <w:keepNext/>
        <w:keepLines/>
        <w:pageBreakBefore w:val="0"/>
        <w:widowControl/>
        <w:numPr>
          <w:ilvl w:val="0"/>
          <w:numId w:val="0"/>
        </w:numPr>
        <w:kinsoku/>
        <w:wordWrap/>
        <w:overflowPunct/>
        <w:topLinePunct w:val="0"/>
        <w:autoSpaceDE/>
        <w:autoSpaceDN/>
        <w:bidi w:val="0"/>
        <w:adjustRightInd/>
        <w:snapToGrid/>
        <w:spacing w:before="0" w:after="0" w:line="413" w:lineRule="auto"/>
        <w:ind w:firstLine="640" w:firstLineChars="200"/>
        <w:textAlignment w:val="auto"/>
        <w:rPr>
          <w:rFonts w:hint="default" w:ascii="Times New Roman" w:hAnsi="Times New Roman" w:eastAsia="方正楷体_GBK" w:cs="Times New Roman"/>
          <w:b w:val="0"/>
          <w:bCs w:val="0"/>
          <w:kern w:val="2"/>
          <w:sz w:val="32"/>
          <w:szCs w:val="32"/>
          <w:shd w:val="clear" w:color="auto" w:fill="auto"/>
          <w:lang w:val="en-US" w:eastAsia="zh-CN" w:bidi="ar-SA"/>
        </w:rPr>
      </w:pPr>
      <w:bookmarkStart w:id="178" w:name="_Toc22150"/>
      <w:bookmarkStart w:id="179" w:name="_Toc25954"/>
      <w:r>
        <w:rPr>
          <w:rFonts w:hint="eastAsia" w:ascii="Times New Roman" w:hAnsi="Times New Roman" w:eastAsia="方正楷体_GBK" w:cs="Times New Roman"/>
          <w:b w:val="0"/>
          <w:bCs w:val="0"/>
          <w:kern w:val="2"/>
          <w:sz w:val="32"/>
          <w:szCs w:val="32"/>
          <w:shd w:val="clear" w:color="auto" w:fill="auto"/>
          <w:lang w:val="en-US" w:eastAsia="zh-CN" w:bidi="ar-SA"/>
        </w:rPr>
        <w:t>（二）</w:t>
      </w:r>
      <w:r>
        <w:rPr>
          <w:rFonts w:hint="default" w:ascii="Times New Roman" w:hAnsi="Times New Roman" w:eastAsia="方正楷体_GBK" w:cs="Times New Roman"/>
          <w:b w:val="0"/>
          <w:bCs w:val="0"/>
          <w:kern w:val="2"/>
          <w:sz w:val="32"/>
          <w:szCs w:val="32"/>
          <w:shd w:val="clear" w:color="auto" w:fill="auto"/>
          <w:lang w:val="en-US" w:eastAsia="zh-CN" w:bidi="ar-SA"/>
        </w:rPr>
        <w:t>退化林修复</w:t>
      </w:r>
      <w:bookmarkEnd w:id="178"/>
      <w:bookmarkEnd w:id="179"/>
    </w:p>
    <w:p w14:paraId="26AF891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退化林修复的目的在于提高防护林的生态功能，增强其生态系统的稳定性，改善生态系统的健康和活力，保育生态系统的生物多样性和服务功能，提高生态系统的生产效能，发挥和促进防护林在社会、环境和经济持续协调</w:t>
      </w:r>
      <w:r>
        <w:rPr>
          <w:rFonts w:hint="eastAsia" w:ascii="Times New Roman" w:hAnsi="Times New Roman" w:eastAsia="方正仿宋_GBK" w:cs="Times New Roman"/>
          <w:snapToGrid w:val="0"/>
          <w:spacing w:val="6"/>
          <w:kern w:val="0"/>
          <w:sz w:val="32"/>
          <w:szCs w:val="32"/>
          <w:shd w:val="clear" w:color="auto" w:fill="auto"/>
          <w:lang w:val="en-US" w:eastAsia="zh-CN" w:bidi="ar-SA"/>
        </w:rPr>
        <w:t>发展中</w:t>
      </w:r>
      <w:r>
        <w:rPr>
          <w:rFonts w:hint="default" w:ascii="Times New Roman" w:hAnsi="Times New Roman" w:eastAsia="方正仿宋_GBK" w:cs="Times New Roman"/>
          <w:snapToGrid w:val="0"/>
          <w:spacing w:val="6"/>
          <w:kern w:val="0"/>
          <w:sz w:val="32"/>
          <w:szCs w:val="32"/>
          <w:shd w:val="clear" w:color="auto" w:fill="auto"/>
          <w:lang w:val="en-US" w:eastAsia="zh-CN" w:bidi="ar-SA"/>
        </w:rPr>
        <w:t>的作用的生态效益。目前，哈密市乃至自治区的人工防护林体系都已进入成熟老化阶段，区域退化严重、防护功能衰退，因此开展退化林修复是提升区域内森林质量的重要举措。依据《土地利用现状分类》(GB/T2101</w:t>
      </w:r>
      <w:r>
        <w:rPr>
          <w:rFonts w:hint="eastAsia" w:ascii="Times New Roman" w:hAnsi="Times New Roman" w:eastAsia="方正仿宋_GBK" w:cs="Times New Roman"/>
          <w:snapToGrid w:val="0"/>
          <w:spacing w:val="6"/>
          <w:kern w:val="0"/>
          <w:sz w:val="32"/>
          <w:szCs w:val="32"/>
          <w:shd w:val="clear" w:color="auto" w:fill="auto"/>
          <w:lang w:val="en-US" w:eastAsia="zh-CN" w:bidi="ar-SA"/>
        </w:rPr>
        <w:t>0 - 20</w:t>
      </w:r>
      <w:r>
        <w:rPr>
          <w:rFonts w:hint="default" w:ascii="Times New Roman" w:hAnsi="Times New Roman" w:eastAsia="方正仿宋_GBK" w:cs="Times New Roman"/>
          <w:snapToGrid w:val="0"/>
          <w:spacing w:val="6"/>
          <w:kern w:val="0"/>
          <w:sz w:val="32"/>
          <w:szCs w:val="32"/>
          <w:shd w:val="clear" w:color="auto" w:fill="auto"/>
          <w:lang w:val="en-US" w:eastAsia="zh-CN" w:bidi="ar-SA"/>
        </w:rPr>
        <w:t>17)、《森林资源规划设计调查技术规程》（GB/T2642</w:t>
      </w:r>
      <w:r>
        <w:rPr>
          <w:rFonts w:hint="eastAsia" w:ascii="Times New Roman" w:hAnsi="Times New Roman" w:eastAsia="方正仿宋_GBK" w:cs="Times New Roman"/>
          <w:snapToGrid w:val="0"/>
          <w:spacing w:val="6"/>
          <w:kern w:val="0"/>
          <w:sz w:val="32"/>
          <w:szCs w:val="32"/>
          <w:shd w:val="clear" w:color="auto" w:fill="auto"/>
          <w:lang w:val="en-US" w:eastAsia="zh-CN" w:bidi="ar-SA"/>
        </w:rPr>
        <w:t>4 - 2</w:t>
      </w:r>
      <w:r>
        <w:rPr>
          <w:rFonts w:hint="default" w:ascii="Times New Roman" w:hAnsi="Times New Roman" w:eastAsia="方正仿宋_GBK" w:cs="Times New Roman"/>
          <w:snapToGrid w:val="0"/>
          <w:spacing w:val="6"/>
          <w:kern w:val="0"/>
          <w:sz w:val="32"/>
          <w:szCs w:val="32"/>
          <w:shd w:val="clear" w:color="auto" w:fill="auto"/>
          <w:lang w:val="en-US" w:eastAsia="zh-CN" w:bidi="ar-SA"/>
        </w:rPr>
        <w:t>010）、《退化防护林修复技术规程》（LY/T3179</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r>
        <w:rPr>
          <w:rFonts w:hint="eastAsia" w:ascii="Times New Roman" w:hAnsi="Times New Roman" w:eastAsia="方正仿宋_GBK" w:cs="Times New Roman"/>
          <w:snapToGrid w:val="0"/>
          <w:spacing w:val="6"/>
          <w:kern w:val="0"/>
          <w:sz w:val="32"/>
          <w:szCs w:val="32"/>
          <w:shd w:val="clear" w:color="auto" w:fill="auto"/>
          <w:lang w:val="en-US" w:eastAsia="zh-CN" w:bidi="ar-SA"/>
        </w:rPr>
        <w:t xml:space="preserve"> </w:t>
      </w:r>
      <w:r>
        <w:rPr>
          <w:rFonts w:hint="default" w:ascii="Times New Roman" w:hAnsi="Times New Roman" w:eastAsia="方正仿宋_GBK" w:cs="Times New Roman"/>
          <w:snapToGrid w:val="0"/>
          <w:spacing w:val="6"/>
          <w:kern w:val="0"/>
          <w:sz w:val="32"/>
          <w:szCs w:val="32"/>
          <w:shd w:val="clear" w:color="auto" w:fill="auto"/>
          <w:lang w:val="en-US" w:eastAsia="zh-CN" w:bidi="ar-SA"/>
        </w:rPr>
        <w:t>2020）等相关技术规程在区域内开展退化林调查，划定退化等级、记录退化原因、退化特征等，掌握区域内森林退化现状，形成退化林调查成果库。综合退化成因、退化程度，按照先急后缓、分类指导、分区</w:t>
      </w:r>
      <w:r>
        <w:rPr>
          <w:rFonts w:hint="eastAsia" w:ascii="Times New Roman" w:hAnsi="Times New Roman" w:eastAsia="方正仿宋_GBK" w:cs="Times New Roman"/>
          <w:snapToGrid w:val="0"/>
          <w:spacing w:val="6"/>
          <w:kern w:val="0"/>
          <w:sz w:val="32"/>
          <w:szCs w:val="32"/>
          <w:shd w:val="clear" w:color="auto" w:fill="auto"/>
          <w:lang w:val="en-US" w:eastAsia="zh-CN" w:bidi="ar-SA"/>
        </w:rPr>
        <w:t>施策</w:t>
      </w:r>
      <w:r>
        <w:rPr>
          <w:rFonts w:hint="default" w:ascii="Times New Roman" w:hAnsi="Times New Roman" w:eastAsia="方正仿宋_GBK" w:cs="Times New Roman"/>
          <w:snapToGrid w:val="0"/>
          <w:spacing w:val="6"/>
          <w:kern w:val="0"/>
          <w:sz w:val="32"/>
          <w:szCs w:val="32"/>
          <w:shd w:val="clear" w:color="auto" w:fill="auto"/>
          <w:lang w:val="en-US" w:eastAsia="zh-CN" w:bidi="ar-SA"/>
        </w:rPr>
        <w:t>的原则，科学选择合适的修复方式来改善林分结构和生境、提高林分质量，恢复和提升生态防护功能。哈密市退化林现状总体呈现出由于水资源短缺、农户对农田防护林建设不重视以及管护不到位等因素，导致农田防护林带缺行断带，前期退耕还林残败、林木老化、树种单一、林龄结构不合理等情况。退化林修复方式主要有补植补造、采伐修复</w:t>
      </w:r>
      <w:r>
        <w:rPr>
          <w:rFonts w:hint="eastAsia" w:ascii="Times New Roman" w:hAnsi="Times New Roman" w:eastAsia="方正仿宋_GBK" w:cs="Times New Roman"/>
          <w:snapToGrid w:val="0"/>
          <w:spacing w:val="6"/>
          <w:kern w:val="0"/>
          <w:sz w:val="32"/>
          <w:szCs w:val="32"/>
          <w:shd w:val="clear" w:color="auto" w:fill="auto"/>
          <w:lang w:val="en-US" w:eastAsia="zh-CN" w:bidi="ar-SA"/>
        </w:rPr>
        <w:t>，包</w:t>
      </w:r>
      <w:r>
        <w:rPr>
          <w:rFonts w:hint="default" w:ascii="Times New Roman" w:hAnsi="Times New Roman" w:eastAsia="方正仿宋_GBK" w:cs="Times New Roman"/>
          <w:snapToGrid w:val="0"/>
          <w:spacing w:val="6"/>
          <w:kern w:val="0"/>
          <w:sz w:val="32"/>
          <w:szCs w:val="32"/>
          <w:shd w:val="clear" w:color="auto" w:fill="auto"/>
          <w:lang w:val="en-US" w:eastAsia="zh-CN" w:bidi="ar-SA"/>
        </w:rPr>
        <w:t>括采用皆伐更新、林冠下更新、渐进更新等更替修复方式，以及修枝、完善灌溉设施等辅助修复方式。针对缺行断带的进行补植补造，大面积损失林木的地块可选择更替修复，并完善灌溉设施，具体的修复措施需结合树种、退化原因、综合森林主导功能和立地条件来确定，遵循“尊重自然、科学修复，目标导向、全周期设计，因地制宜、因林施策，保护生境、保持水土”的总则，进行科学修复。</w:t>
      </w:r>
    </w:p>
    <w:p w14:paraId="3630B32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建设地点：盐池镇、淖毛湖镇、</w:t>
      </w:r>
      <w:r>
        <w:rPr>
          <w:rFonts w:hint="eastAsia" w:ascii="Times New Roman" w:hAnsi="Times New Roman" w:eastAsia="方正仿宋_GBK" w:cs="Times New Roman"/>
          <w:snapToGrid w:val="0"/>
          <w:spacing w:val="6"/>
          <w:kern w:val="0"/>
          <w:sz w:val="32"/>
          <w:szCs w:val="32"/>
          <w:shd w:val="clear" w:color="auto" w:fill="auto"/>
          <w:lang w:val="en-US" w:eastAsia="zh-CN" w:bidi="ar-SA"/>
        </w:rPr>
        <w:t>国道335</w:t>
      </w:r>
      <w:r>
        <w:rPr>
          <w:rFonts w:hint="default" w:ascii="Times New Roman" w:hAnsi="Times New Roman" w:eastAsia="方正仿宋_GBK" w:cs="Times New Roman"/>
          <w:snapToGrid w:val="0"/>
          <w:spacing w:val="6"/>
          <w:kern w:val="0"/>
          <w:sz w:val="32"/>
          <w:szCs w:val="32"/>
          <w:shd w:val="clear" w:color="auto" w:fill="auto"/>
          <w:lang w:val="en-US" w:eastAsia="zh-CN" w:bidi="ar-SA"/>
        </w:rPr>
        <w:t>盐池段。</w:t>
      </w:r>
    </w:p>
    <w:p w14:paraId="0E638A9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建设规模：2021-2025年建设393.52公顷，2025-2030年建设117.62公顷。</w:t>
      </w:r>
    </w:p>
    <w:p w14:paraId="0DF8416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建设目标：加大保护力度，停止破坏，使天然林增强恢复的能力。</w:t>
      </w:r>
    </w:p>
    <w:p w14:paraId="5B33BDA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建设内容：通过围栏建设</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封禁等措施，引洪灌溉等措施保护和恢复天然荒漠植被，大力保护荒漠地区天然植被，以防风固沙为建设重点，加强重点公益林管护，提高森林质量，改善生态环境。同时，对人造林进行更新、抚育、补植补造等修复措施。</w:t>
      </w:r>
    </w:p>
    <w:p w14:paraId="2A6BE4BD">
      <w:pPr>
        <w:keepNext/>
        <w:keepLines/>
        <w:pageBreakBefore w:val="0"/>
        <w:widowControl w:val="0"/>
        <w:numPr>
          <w:ilvl w:val="0"/>
          <w:numId w:val="0"/>
        </w:numPr>
        <w:kinsoku/>
        <w:wordWrap/>
        <w:overflowPunct/>
        <w:topLinePunct w:val="0"/>
        <w:autoSpaceDE/>
        <w:autoSpaceDN/>
        <w:bidi w:val="0"/>
        <w:adjustRightInd/>
        <w:snapToGrid/>
        <w:spacing w:before="0" w:after="0" w:line="590"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80" w:name="_Toc6969"/>
      <w:r>
        <w:rPr>
          <w:rFonts w:hint="eastAsia" w:ascii="Times New Roman" w:hAnsi="Times New Roman" w:eastAsia="方正公文黑体" w:cs="Times New Roman"/>
          <w:b w:val="0"/>
          <w:bCs w:val="0"/>
          <w:kern w:val="2"/>
          <w:sz w:val="32"/>
          <w:szCs w:val="32"/>
          <w:shd w:val="clear" w:fill="auto"/>
          <w:lang w:val="en-US" w:eastAsia="zh-CN" w:bidi="ar-SA"/>
        </w:rPr>
        <w:t>二、</w:t>
      </w:r>
      <w:r>
        <w:rPr>
          <w:rFonts w:hint="default" w:ascii="Times New Roman" w:hAnsi="Times New Roman" w:eastAsia="方正公文黑体" w:cs="Times New Roman"/>
          <w:b w:val="0"/>
          <w:bCs w:val="0"/>
          <w:kern w:val="2"/>
          <w:sz w:val="32"/>
          <w:szCs w:val="32"/>
          <w:shd w:val="clear" w:color="auto" w:fill="auto"/>
          <w:lang w:val="en-US" w:eastAsia="zh-CN" w:bidi="ar-SA"/>
        </w:rPr>
        <w:t>退化草原治理工程</w:t>
      </w:r>
      <w:bookmarkEnd w:id="180"/>
    </w:p>
    <w:p w14:paraId="46026F0A">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草地退化后极易造成土地沙化，伊吾县荒漠草地近均已有草原覆盖度降低、土地沙漠化增加的趋势。针对此现状，按照统筹兼顾、整体施策、多措并举的防治</w:t>
      </w:r>
      <w:r>
        <w:rPr>
          <w:rFonts w:hint="eastAsia" w:ascii="Times New Roman" w:hAnsi="Times New Roman" w:eastAsia="方正仿宋_GBK" w:cs="Times New Roman"/>
          <w:snapToGrid w:val="0"/>
          <w:spacing w:val="6"/>
          <w:kern w:val="0"/>
          <w:sz w:val="32"/>
          <w:szCs w:val="32"/>
          <w:shd w:val="clear" w:color="auto" w:fill="auto"/>
          <w:lang w:val="en-US" w:eastAsia="zh-CN" w:bidi="ar-SA"/>
        </w:rPr>
        <w:t>原则</w:t>
      </w:r>
      <w:r>
        <w:rPr>
          <w:rFonts w:hint="default" w:ascii="Times New Roman" w:hAnsi="Times New Roman" w:eastAsia="方正仿宋_GBK" w:cs="Times New Roman"/>
          <w:snapToGrid w:val="0"/>
          <w:spacing w:val="6"/>
          <w:kern w:val="0"/>
          <w:sz w:val="32"/>
          <w:szCs w:val="32"/>
          <w:shd w:val="clear" w:color="auto" w:fill="auto"/>
          <w:lang w:val="en-US" w:eastAsia="zh-CN" w:bidi="ar-SA"/>
        </w:rPr>
        <w:t>，将重点解决退化牧场的草地修复作为主要治理方向，以提升荒漠草地饲草供应能力为主要手段，适度引水，建立优质乡土</w:t>
      </w:r>
      <w:r>
        <w:rPr>
          <w:rFonts w:hint="eastAsia" w:ascii="Times New Roman" w:hAnsi="Times New Roman" w:eastAsia="方正仿宋_GBK" w:cs="Times New Roman"/>
          <w:snapToGrid w:val="0"/>
          <w:spacing w:val="6"/>
          <w:kern w:val="0"/>
          <w:sz w:val="32"/>
          <w:szCs w:val="32"/>
          <w:shd w:val="clear" w:color="auto" w:fill="auto"/>
          <w:lang w:val="en-US" w:eastAsia="zh-CN" w:bidi="ar-SA"/>
        </w:rPr>
        <w:t>草种</w:t>
      </w:r>
      <w:r>
        <w:rPr>
          <w:rFonts w:hint="default" w:ascii="Times New Roman" w:hAnsi="Times New Roman" w:eastAsia="方正仿宋_GBK" w:cs="Times New Roman"/>
          <w:snapToGrid w:val="0"/>
          <w:spacing w:val="6"/>
          <w:kern w:val="0"/>
          <w:sz w:val="32"/>
          <w:szCs w:val="32"/>
          <w:shd w:val="clear" w:color="auto" w:fill="auto"/>
          <w:lang w:val="en-US" w:eastAsia="zh-CN" w:bidi="ar-SA"/>
        </w:rPr>
        <w:t>繁殖基地，大规模补播改良退化的天然草场、治理春秋季草场风沙危害严重的区域。对受损严重的已垦草原、利用过度草原、沙化草原区等，因地制宜，科学论证，采取围栏封育、工程型平整、适宜牧草补植补造以及具备条件的灌溉施肥等农艺手段恢复草原植被，积极探索政府组织和监管、农牧民参与、第三方承担的生态修复新机制，稳步推进和巩固退化草原修复治理。加强天然割草场及草种基地建设，补齐短板，提升草原承载能力和自我恢复能力。</w:t>
      </w:r>
    </w:p>
    <w:p w14:paraId="1CCDBFB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推进产学研结合，整合资源建立完善专家咨询指导服务组，强化草原生态保护科技支撑，指导落实相关重大工程实施，培育壮大基层草原专业人才队伍，着力提升草原保护修复治理能力和水平。</w:t>
      </w:r>
    </w:p>
    <w:p w14:paraId="0CC6C5A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color w:val="7030A0"/>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建设地点：前山乡、盐池镇、吐葫芦乡、下马崖乡。</w:t>
      </w:r>
    </w:p>
    <w:p w14:paraId="2A40C98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建设规模：2021-2025年建设</w:t>
      </w:r>
      <w:r>
        <w:rPr>
          <w:rFonts w:hint="eastAsia" w:ascii="Times New Roman" w:hAnsi="Times New Roman" w:eastAsia="方正仿宋_GBK" w:cs="Times New Roman"/>
          <w:snapToGrid w:val="0"/>
          <w:spacing w:val="6"/>
          <w:kern w:val="0"/>
          <w:sz w:val="32"/>
          <w:szCs w:val="32"/>
          <w:shd w:val="clear" w:color="auto" w:fill="auto"/>
          <w:lang w:val="en-US" w:eastAsia="zh-CN" w:bidi="ar-SA"/>
        </w:rPr>
        <w:t>6</w:t>
      </w:r>
      <w:r>
        <w:rPr>
          <w:rFonts w:hint="default" w:ascii="Times New Roman" w:hAnsi="Times New Roman" w:eastAsia="方正仿宋_GBK" w:cs="Times New Roman"/>
          <w:snapToGrid w:val="0"/>
          <w:spacing w:val="6"/>
          <w:kern w:val="0"/>
          <w:sz w:val="32"/>
          <w:szCs w:val="32"/>
          <w:shd w:val="clear" w:color="auto" w:fill="auto"/>
          <w:lang w:val="en-US" w:eastAsia="zh-CN" w:bidi="ar-SA"/>
        </w:rPr>
        <w:t>66.67公顷。</w:t>
      </w:r>
    </w:p>
    <w:p w14:paraId="392B7A72">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建设目标：加大保护力度，停止破坏，使天然林增强恢复的能力。</w:t>
      </w:r>
    </w:p>
    <w:p w14:paraId="1A38FFE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内容：通过人工种植草地，恢复植被，大规模补播改良退化的天然草场、治理春秋季草场风沙危害严重的区域。对受损严重的已垦草原、利用过度草原、沙化草原区等，因地制宜，科学论证，采取围栏封育、工程型平整、适宜牧草补植补造。</w:t>
      </w:r>
    </w:p>
    <w:p w14:paraId="43B0051C">
      <w:pPr>
        <w:keepNext/>
        <w:keepLines/>
        <w:pageBreakBefore w:val="0"/>
        <w:widowControl w:val="0"/>
        <w:numPr>
          <w:ilvl w:val="0"/>
          <w:numId w:val="4"/>
        </w:numPr>
        <w:kinsoku/>
        <w:wordWrap/>
        <w:overflowPunct/>
        <w:topLinePunct w:val="0"/>
        <w:autoSpaceDE/>
        <w:autoSpaceDN/>
        <w:bidi w:val="0"/>
        <w:adjustRightInd/>
        <w:snapToGrid/>
        <w:spacing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81" w:name="_Toc3962"/>
      <w:r>
        <w:rPr>
          <w:rFonts w:hint="default" w:ascii="Times New Roman" w:hAnsi="Times New Roman" w:eastAsia="方正公文黑体" w:cs="Times New Roman"/>
          <w:b w:val="0"/>
          <w:bCs w:val="0"/>
          <w:kern w:val="2"/>
          <w:sz w:val="32"/>
          <w:szCs w:val="32"/>
          <w:shd w:val="clear" w:color="auto" w:fill="auto"/>
          <w:lang w:val="en-US" w:eastAsia="zh-CN" w:bidi="ar-SA"/>
        </w:rPr>
        <w:t>特色沙产业</w:t>
      </w:r>
      <w:bookmarkEnd w:id="181"/>
    </w:p>
    <w:p w14:paraId="406BC34A">
      <w:pPr>
        <w:pStyle w:val="4"/>
        <w:keepNext/>
        <w:keepLines/>
        <w:pageBreakBefore w:val="0"/>
        <w:widowControl/>
        <w:numPr>
          <w:ilvl w:val="0"/>
          <w:numId w:val="0"/>
        </w:numPr>
        <w:kinsoku/>
        <w:wordWrap/>
        <w:overflowPunct/>
        <w:topLinePunct w:val="0"/>
        <w:autoSpaceDE/>
        <w:autoSpaceDN/>
        <w:bidi w:val="0"/>
        <w:adjustRightInd/>
        <w:snapToGrid/>
        <w:spacing w:before="0" w:beforeLines="0" w:after="0" w:afterLines="0" w:line="596" w:lineRule="exact"/>
        <w:ind w:firstLine="664" w:firstLineChars="200"/>
        <w:textAlignment w:val="auto"/>
        <w:rPr>
          <w:rFonts w:hint="default" w:ascii="Times New Roman" w:hAnsi="Times New Roman" w:eastAsia="方正仿宋_GBK" w:cs="Times New Roman"/>
          <w:b w:val="0"/>
          <w:snapToGrid w:val="0"/>
          <w:spacing w:val="6"/>
          <w:kern w:val="0"/>
          <w:sz w:val="32"/>
          <w:szCs w:val="32"/>
          <w:shd w:val="clear" w:color="auto" w:fill="auto"/>
          <w:lang w:val="en-US" w:eastAsia="zh-CN" w:bidi="ar-SA"/>
        </w:rPr>
      </w:pPr>
      <w:bookmarkStart w:id="182" w:name="_Toc19099"/>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（一）积极拓展沙产业</w:t>
      </w:r>
      <w:bookmarkEnd w:id="182"/>
    </w:p>
    <w:p w14:paraId="45823D7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eastAsia" w:ascii="Times New Roman" w:hAnsi="Times New Roman" w:eastAsia="方正仿宋_GBK" w:cs="Times New Roman"/>
          <w:b w:val="0"/>
          <w:snapToGrid w:val="0"/>
          <w:spacing w:val="6"/>
          <w:kern w:val="0"/>
          <w:sz w:val="32"/>
          <w:szCs w:val="32"/>
          <w:shd w:val="clear" w:color="auto" w:fill="auto"/>
          <w:lang w:val="en-US" w:eastAsia="zh-CN" w:bidi="ar-SA"/>
        </w:rPr>
      </w:pPr>
      <w:r>
        <w:rPr>
          <w:rFonts w:hint="default" w:ascii="Times New Roman" w:hAnsi="Times New Roman" w:eastAsia="方正仿宋_GBK" w:cs="Times New Roman"/>
          <w:b w:val="0"/>
          <w:snapToGrid w:val="0"/>
          <w:spacing w:val="6"/>
          <w:kern w:val="0"/>
          <w:sz w:val="32"/>
          <w:szCs w:val="32"/>
          <w:shd w:val="clear" w:color="auto" w:fill="auto"/>
          <w:lang w:val="en-US" w:eastAsia="zh-CN" w:bidi="ar-SA"/>
        </w:rPr>
        <w:t>依托防沙治沙工程建设，发展沙生特色经济作物产业既可以有效吸引社会资本投入生态建设管理，改善生态环境，又可以切实增加农牧民收入</w:t>
      </w:r>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目前，伊吾县依托退耕还林还草工程、三北防护林工程发展沙生植物创收产业初成规模，发展以沙棘、山杏、戈壁设施农业为主的沙生特色经济作物。但现有的沙生植物种植品类、规模较小，经营管理方式较为落后，实现的收益并不理想。坚持市场导向为发展方向，依托政府政策扶持与引导，加强与各大科研单位合作，助力科技推广；转变沙产业发展思路，以“龙头企业＋基地＋农户”产业化发展模式，积极引进社会资本力量，推动企业深加工，拉长产业链条，实施品牌战略。建立标准化、规模化、机械化种植示范基地，以点带面，带动特色沙产业提质增效，实现</w:t>
      </w:r>
      <w:r>
        <w:rPr>
          <w:rFonts w:hint="default" w:ascii="Times New Roman" w:hAnsi="Times New Roman" w:eastAsia="方正仿宋_GBK" w:cs="Times New Roman"/>
          <w:b w:val="0"/>
          <w:snapToGrid w:val="0"/>
          <w:spacing w:val="6"/>
          <w:kern w:val="0"/>
          <w:sz w:val="32"/>
          <w:szCs w:val="32"/>
          <w:shd w:val="clear" w:color="auto" w:fill="auto"/>
          <w:lang w:val="en-US" w:eastAsia="zh-CN" w:bidi="ar-SA"/>
        </w:rPr>
        <w:t>沙产业良好的促进作用</w:t>
      </w:r>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，更好地带动农牧民经济发展，扩大就业容量。</w:t>
      </w:r>
    </w:p>
    <w:p w14:paraId="40BB23B4">
      <w:pPr>
        <w:pStyle w:val="4"/>
        <w:keepNext/>
        <w:keepLines/>
        <w:pageBreakBefore w:val="0"/>
        <w:widowControl/>
        <w:numPr>
          <w:ilvl w:val="0"/>
          <w:numId w:val="0"/>
        </w:numPr>
        <w:kinsoku/>
        <w:wordWrap/>
        <w:overflowPunct/>
        <w:topLinePunct w:val="0"/>
        <w:autoSpaceDE/>
        <w:autoSpaceDN/>
        <w:bidi w:val="0"/>
        <w:adjustRightInd/>
        <w:snapToGrid/>
        <w:spacing w:before="0" w:beforeLines="0" w:after="0" w:afterLines="0" w:line="596" w:lineRule="exact"/>
        <w:ind w:firstLine="664" w:firstLineChars="200"/>
        <w:textAlignment w:val="auto"/>
        <w:rPr>
          <w:rFonts w:hint="default" w:ascii="Times New Roman" w:hAnsi="Times New Roman" w:eastAsia="方正仿宋_GBK" w:cs="Times New Roman"/>
          <w:b w:val="0"/>
          <w:snapToGrid w:val="0"/>
          <w:spacing w:val="6"/>
          <w:kern w:val="0"/>
          <w:sz w:val="32"/>
          <w:szCs w:val="32"/>
          <w:shd w:val="clear" w:color="auto" w:fill="auto"/>
          <w:lang w:val="en-US" w:eastAsia="zh-CN" w:bidi="ar-SA"/>
        </w:rPr>
      </w:pPr>
      <w:bookmarkStart w:id="183" w:name="_Toc1537"/>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（二）合理开发利用沙漠资源</w:t>
      </w:r>
      <w:bookmarkEnd w:id="183"/>
    </w:p>
    <w:p w14:paraId="38D155B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eastAsia" w:ascii="Times New Roman" w:hAnsi="Times New Roman" w:eastAsia="方正仿宋_GBK" w:cs="Times New Roman"/>
          <w:b w:val="0"/>
          <w:snapToGrid w:val="0"/>
          <w:spacing w:val="6"/>
          <w:kern w:val="0"/>
          <w:sz w:val="32"/>
          <w:szCs w:val="32"/>
          <w:shd w:val="clear" w:color="auto" w:fill="auto"/>
          <w:lang w:val="en-US" w:eastAsia="zh-CN" w:bidi="ar-SA"/>
        </w:rPr>
      </w:pPr>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紧紧围绕自治区旅游兴疆战略，将“用沙、治沙”有机结合，以伊吾胡杨林国家沙漠公园为重点，积极争取中央投资，对沙漠资源进行多层次、多途径开发利用，集聚沙漠旅游资源，完善沙漠公园旅游设施建设，推进科学监测、宣传教育、生态旅游等基础设施建设。充分认识生态旅游业在沙产业发展中的重要作用，利用自然景观优势，在确保不损害荒漠生态系统功能的前提下，加大沙漠公园和旅游项目的建设力度；开展以沙漠探险、沙漠观光为主题的沙漠旅游项目，开展滑沙、农家乐、民俗游等一批独具特色的生态旅游项目，推进沙产业与旅游、教育、文化、康养等产业深度融合发展。合理开发沙漠资源的同时，利用旅游发展带动区域生态治理修复，加强国家沙漠公园内荒漠生态系统及其生物多样性保护，采取有效的措施和办法，维护沙漠生态系统的各种功能和效益，保证沙漠资源的可持续利用。</w:t>
      </w:r>
    </w:p>
    <w:p w14:paraId="075EB459">
      <w:pPr>
        <w:pStyle w:val="4"/>
        <w:keepNext/>
        <w:keepLines/>
        <w:pageBreakBefore w:val="0"/>
        <w:widowControl/>
        <w:numPr>
          <w:ilvl w:val="0"/>
          <w:numId w:val="0"/>
        </w:numPr>
        <w:kinsoku/>
        <w:wordWrap/>
        <w:overflowPunct/>
        <w:topLinePunct w:val="0"/>
        <w:autoSpaceDE/>
        <w:autoSpaceDN/>
        <w:bidi w:val="0"/>
        <w:adjustRightInd/>
        <w:snapToGrid/>
        <w:spacing w:before="0" w:beforeLines="0" w:after="0" w:afterLines="0" w:line="596" w:lineRule="exact"/>
        <w:ind w:firstLine="664" w:firstLineChars="200"/>
        <w:textAlignment w:val="auto"/>
        <w:rPr>
          <w:rFonts w:hint="default" w:ascii="Times New Roman" w:hAnsi="Times New Roman" w:eastAsia="方正仿宋_GBK" w:cs="Times New Roman"/>
          <w:b w:val="0"/>
          <w:snapToGrid w:val="0"/>
          <w:spacing w:val="6"/>
          <w:kern w:val="0"/>
          <w:sz w:val="32"/>
          <w:szCs w:val="32"/>
          <w:shd w:val="clear" w:color="auto" w:fill="auto"/>
          <w:lang w:val="en-US" w:eastAsia="zh-CN" w:bidi="ar-SA"/>
        </w:rPr>
      </w:pPr>
      <w:bookmarkStart w:id="184" w:name="_Toc12323"/>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（三）积极发展光伏治沙</w:t>
      </w:r>
      <w:bookmarkEnd w:id="184"/>
    </w:p>
    <w:p w14:paraId="20BFCD1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b w:val="0"/>
          <w:snapToGrid w:val="0"/>
          <w:spacing w:val="6"/>
          <w:kern w:val="0"/>
          <w:sz w:val="32"/>
          <w:szCs w:val="32"/>
          <w:shd w:val="clear" w:color="auto" w:fill="auto"/>
          <w:lang w:val="en-US" w:eastAsia="zh-CN" w:bidi="ar-SA"/>
        </w:rPr>
      </w:pPr>
      <w:r>
        <w:rPr>
          <w:rFonts w:hint="default" w:ascii="Times New Roman" w:hAnsi="Times New Roman" w:eastAsia="方正仿宋_GBK" w:cs="Times New Roman"/>
          <w:b w:val="0"/>
          <w:snapToGrid w:val="0"/>
          <w:spacing w:val="6"/>
          <w:kern w:val="0"/>
          <w:sz w:val="32"/>
          <w:szCs w:val="32"/>
          <w:shd w:val="clear" w:color="auto" w:fill="auto"/>
          <w:lang w:val="en-US" w:eastAsia="zh-CN" w:bidi="ar-SA"/>
        </w:rPr>
        <w:t>荒漠戈壁区的沙漠光伏产业拥有巨大的发电潜力，同时还具有多种生态功能。光伏电站可以起到防风防沙的作用，大规模安装光伏板后，白天可为地面遮挡强光直射，有效降低地表水分的蒸发，可使蒸发量降低20%—30%，并能有效降低地面风速，降低风与地表摩擦，减少扬尘飞土，减轻风沙对绿</w:t>
      </w:r>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洲的</w:t>
      </w:r>
      <w:r>
        <w:rPr>
          <w:rFonts w:hint="default" w:ascii="Times New Roman" w:hAnsi="Times New Roman" w:eastAsia="方正仿宋_GBK" w:cs="Times New Roman"/>
          <w:b w:val="0"/>
          <w:snapToGrid w:val="0"/>
          <w:spacing w:val="6"/>
          <w:kern w:val="0"/>
          <w:sz w:val="32"/>
          <w:szCs w:val="32"/>
          <w:shd w:val="clear" w:color="auto" w:fill="auto"/>
          <w:lang w:val="en-US" w:eastAsia="zh-CN" w:bidi="ar-SA"/>
        </w:rPr>
        <w:t>入侵。伊吾县已经规划建设淖毛湖镇光伏区，均在绿洲外围，能有效降低风速、减轻风沙对绿洲的侵害。光伏电站投入运行后，将增加清洁能源供给，解决后续防沙治沙的用能需求，实现沙漠地区太阳能资源高效利用和沙漠变绿洲的双重收益。“光伏+防沙治沙”是一条沙漠治理与经济发展双赢的成功道路，</w:t>
      </w:r>
      <w:r>
        <w:rPr>
          <w:rFonts w:hint="eastAsia" w:ascii="Times New Roman" w:hAnsi="Times New Roman" w:eastAsia="方正仿宋_GBK" w:cs="Times New Roman"/>
          <w:b w:val="0"/>
          <w:snapToGrid w:val="0"/>
          <w:spacing w:val="6"/>
          <w:kern w:val="0"/>
          <w:sz w:val="32"/>
          <w:szCs w:val="32"/>
          <w:shd w:val="clear" w:color="auto" w:fill="auto"/>
          <w:lang w:val="en-US" w:eastAsia="zh-CN" w:bidi="ar-SA"/>
        </w:rPr>
        <w:t>伊吾县</w:t>
      </w:r>
      <w:r>
        <w:rPr>
          <w:rFonts w:hint="default" w:ascii="Times New Roman" w:hAnsi="Times New Roman" w:eastAsia="方正仿宋_GBK" w:cs="Times New Roman"/>
          <w:b w:val="0"/>
          <w:snapToGrid w:val="0"/>
          <w:spacing w:val="6"/>
          <w:kern w:val="0"/>
          <w:sz w:val="32"/>
          <w:szCs w:val="32"/>
          <w:shd w:val="clear" w:color="auto" w:fill="auto"/>
          <w:lang w:val="en-US" w:eastAsia="zh-CN" w:bidi="ar-SA"/>
        </w:rPr>
        <w:t>也可积极探索符合当地的发展模式，进而实现光伏与防沙治沙协同发展，实现新能源与生态融合发展、友好发展，促进实现碳达峰、碳中和目标。</w:t>
      </w:r>
    </w:p>
    <w:p w14:paraId="1CBBA1F9">
      <w:pPr>
        <w:keepNext/>
        <w:keepLines/>
        <w:pageBreakBefore w:val="0"/>
        <w:widowControl w:val="0"/>
        <w:numPr>
          <w:ilvl w:val="0"/>
          <w:numId w:val="0"/>
        </w:numPr>
        <w:kinsoku/>
        <w:wordWrap/>
        <w:overflowPunct/>
        <w:topLinePunct w:val="0"/>
        <w:autoSpaceDE/>
        <w:autoSpaceDN/>
        <w:bidi w:val="0"/>
        <w:adjustRightInd/>
        <w:snapToGrid/>
        <w:spacing w:line="596" w:lineRule="exact"/>
        <w:ind w:left="0" w:leftChars="0" w:firstLine="480" w:firstLineChars="150"/>
        <w:jc w:val="both"/>
        <w:textAlignment w:val="auto"/>
        <w:outlineLvl w:val="1"/>
        <w:rPr>
          <w:rFonts w:hint="default" w:ascii="Times New Roman" w:hAnsi="Times New Roman" w:eastAsia="方正公文黑体" w:cs="Times New Roman"/>
          <w:b w:val="0"/>
          <w:bCs w:val="0"/>
          <w:strike w:val="0"/>
          <w:dstrike w:val="0"/>
          <w:kern w:val="2"/>
          <w:sz w:val="32"/>
          <w:szCs w:val="32"/>
          <w:shd w:val="clear" w:color="auto" w:fill="auto"/>
          <w:lang w:val="en-US" w:eastAsia="zh-CN" w:bidi="ar-SA"/>
        </w:rPr>
      </w:pPr>
      <w:bookmarkStart w:id="185" w:name="_Toc29868"/>
      <w:r>
        <w:rPr>
          <w:rFonts w:hint="eastAsia" w:ascii="Times New Roman" w:hAnsi="Times New Roman" w:eastAsia="方正公文黑体" w:cs="Times New Roman"/>
          <w:b w:val="0"/>
          <w:bCs w:val="0"/>
          <w:strike w:val="0"/>
          <w:dstrike w:val="0"/>
          <w:kern w:val="2"/>
          <w:sz w:val="32"/>
          <w:szCs w:val="32"/>
          <w:shd w:val="clear" w:fill="auto"/>
          <w:lang w:val="en-US" w:eastAsia="zh-CN" w:bidi="ar-SA"/>
        </w:rPr>
        <w:t>四、</w:t>
      </w:r>
      <w:r>
        <w:rPr>
          <w:rFonts w:hint="default" w:ascii="Times New Roman" w:hAnsi="Times New Roman" w:eastAsia="方正公文黑体" w:cs="Times New Roman"/>
          <w:b w:val="0"/>
          <w:bCs w:val="0"/>
          <w:strike w:val="0"/>
          <w:dstrike w:val="0"/>
          <w:kern w:val="2"/>
          <w:sz w:val="32"/>
          <w:szCs w:val="32"/>
          <w:shd w:val="clear" w:color="auto" w:fill="auto"/>
          <w:lang w:val="en-US" w:eastAsia="zh-CN" w:bidi="ar-SA"/>
        </w:rPr>
        <w:t>矿山生态修复</w:t>
      </w:r>
      <w:bookmarkEnd w:id="185"/>
    </w:p>
    <w:p w14:paraId="4DED5A12">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哈密市矿产资源丰富，已探明矿种88种</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占全疆63.8%，储量居全疆前列</w:t>
      </w:r>
      <w:r>
        <w:rPr>
          <w:rFonts w:hint="eastAsia" w:ascii="Times New Roman" w:hAnsi="Times New Roman" w:eastAsia="方正仿宋_GBK" w:cs="Times New Roman"/>
          <w:snapToGrid w:val="0"/>
          <w:spacing w:val="6"/>
          <w:kern w:val="0"/>
          <w:sz w:val="32"/>
          <w:szCs w:val="32"/>
          <w:shd w:val="clear" w:color="auto" w:fill="auto"/>
          <w:lang w:val="en-US" w:eastAsia="zh-CN" w:bidi="ar-SA"/>
        </w:rPr>
        <w:t>的</w:t>
      </w:r>
      <w:r>
        <w:rPr>
          <w:rFonts w:hint="default" w:ascii="Times New Roman" w:hAnsi="Times New Roman" w:eastAsia="方正仿宋_GBK" w:cs="Times New Roman"/>
          <w:snapToGrid w:val="0"/>
          <w:spacing w:val="6"/>
          <w:kern w:val="0"/>
          <w:sz w:val="32"/>
          <w:szCs w:val="32"/>
          <w:shd w:val="clear" w:color="auto" w:fill="auto"/>
          <w:lang w:val="en-US" w:eastAsia="zh-CN" w:bidi="ar-SA"/>
        </w:rPr>
        <w:t>有17种。其中，煤炭预测资源量5708亿吨，占全疆31.7%、占全国12.5%；铁矿预测资源量29亿吨，镍矿预测资源量1584万金属吨，均居全疆首位。伊吾县矿产资源主要分布在淖毛戈壁等戈壁荒漠区，荒漠戈壁的生态环境非常脆弱，不规范的矿产勘探开发行为造成地表破坏、地貌改变，是加剧土地沙化、导致风沙危害加重最直接的原因。目前，伊吾县戈壁荒漠区存在较多历史遗留废弃矿坑、勘探留下的土坑以及不规范的勘探开发行为对地表的破坏，且这种问题持续存在，因而需积极采取措施，阻止荒漠生态持续被破坏，恢复荒漠原有地貌，重塑荒漠生态功能。通过生态重塑措施实现矿区生态环境的改善，人工辅助回填矿坑、土坑，以水定绿、实施绿化行动，采取乔灌草相结合的方法，恢复植被，增强土壤稳定性，防止土壤沙化和水土流失。针对无法实施植物修复的区域，推进地形重塑和土壤重构，填充矿渣、矿石等废弃物来改变地表形态，恢复原有地貌，提高土地利用效率。</w:t>
      </w:r>
    </w:p>
    <w:p w14:paraId="473FEB4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实施区域：主要为伊吾县在S302省道两侧3公里内、淖毛湖镇东八区、伊州区石油基地、大泉湾乡、东郊草场。</w:t>
      </w:r>
    </w:p>
    <w:p w14:paraId="1F626BF1">
      <w:pPr>
        <w:keepNext/>
        <w:keepLines/>
        <w:pageBreakBefore w:val="0"/>
        <w:widowControl w:val="0"/>
        <w:kinsoku/>
        <w:wordWrap/>
        <w:overflowPunct/>
        <w:topLinePunct w:val="0"/>
        <w:autoSpaceDE/>
        <w:autoSpaceDN/>
        <w:bidi w:val="0"/>
        <w:adjustRightInd/>
        <w:snapToGrid/>
        <w:spacing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86" w:name="_Toc5745"/>
      <w:r>
        <w:rPr>
          <w:rFonts w:hint="eastAsia" w:ascii="Times New Roman" w:hAnsi="Times New Roman" w:eastAsia="方正公文黑体" w:cs="Times New Roman"/>
          <w:b w:val="0"/>
          <w:bCs w:val="0"/>
          <w:kern w:val="2"/>
          <w:sz w:val="32"/>
          <w:szCs w:val="32"/>
          <w:shd w:val="clear" w:color="auto" w:fill="auto"/>
          <w:lang w:val="en-US" w:eastAsia="zh-CN" w:bidi="ar-SA"/>
        </w:rPr>
        <w:t>五</w:t>
      </w:r>
      <w:r>
        <w:rPr>
          <w:rFonts w:hint="default" w:ascii="Times New Roman" w:hAnsi="Times New Roman" w:eastAsia="方正公文黑体" w:cs="Times New Roman"/>
          <w:b w:val="0"/>
          <w:bCs w:val="0"/>
          <w:kern w:val="2"/>
          <w:sz w:val="32"/>
          <w:szCs w:val="32"/>
          <w:shd w:val="clear" w:color="auto" w:fill="auto"/>
          <w:lang w:val="en-US" w:eastAsia="zh-CN" w:bidi="ar-SA"/>
        </w:rPr>
        <w:t>、国家沙漠公园建设</w:t>
      </w:r>
      <w:bookmarkEnd w:id="186"/>
    </w:p>
    <w:p w14:paraId="5B2A9D5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建设地点：淖毛湖镇。</w:t>
      </w:r>
    </w:p>
    <w:p w14:paraId="2870C0D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建设规模：</w:t>
      </w:r>
      <w:r>
        <w:rPr>
          <w:rFonts w:hint="eastAsia" w:ascii="Times New Roman" w:hAnsi="Times New Roman" w:eastAsia="方正仿宋_GBK" w:cs="Times New Roman"/>
          <w:snapToGrid w:val="0"/>
          <w:color w:val="auto"/>
          <w:spacing w:val="6"/>
          <w:kern w:val="0"/>
          <w:sz w:val="32"/>
          <w:szCs w:val="32"/>
          <w:shd w:val="clear" w:color="auto" w:fill="auto"/>
          <w:lang w:val="en-US" w:eastAsia="zh-CN" w:bidi="ar-SA"/>
        </w:rPr>
        <w:t>31733</w:t>
      </w: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公顷。</w:t>
      </w:r>
    </w:p>
    <w:p w14:paraId="2EA6438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color w:val="auto"/>
          <w:spacing w:val="6"/>
          <w:kern w:val="0"/>
          <w:sz w:val="32"/>
          <w:szCs w:val="32"/>
          <w:shd w:val="clear" w:color="auto" w:fill="auto"/>
          <w:lang w:val="en-US" w:eastAsia="zh-CN" w:bidi="ar-SA"/>
        </w:rPr>
        <w:t>建设目标：深度挖掘和合理利用</w:t>
      </w:r>
      <w:r>
        <w:rPr>
          <w:rFonts w:hint="default" w:ascii="Times New Roman" w:hAnsi="Times New Roman" w:eastAsia="方正仿宋_GBK" w:cs="Times New Roman"/>
          <w:snapToGrid w:val="0"/>
          <w:spacing w:val="6"/>
          <w:kern w:val="0"/>
          <w:sz w:val="32"/>
          <w:szCs w:val="32"/>
          <w:shd w:val="clear" w:color="auto" w:fill="auto"/>
          <w:lang w:val="en-US" w:eastAsia="zh-CN" w:bidi="ar-SA"/>
        </w:rPr>
        <w:t>沙漠资源，通过多层次、多途径的开发策略，建立伊吾胡杨林国家级沙漠公园和沙漠戈壁景观体验区，为加快沙漠公园建设和保护利用，组织编制《新疆伊吾县胡杨林生态园景区总体规划及修建性详细规划》，开展沙漠公园生态保育区、宣教展示区、沙漠体验区、管理服务区的建设。据统计，2020年胡杨林沙漠公园接待游客量达到1.381万人次，沙漠资源的保护与利用仍在持续推进。</w:t>
      </w:r>
    </w:p>
    <w:p w14:paraId="3299FA0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建设内容：在广袤无垠的沙漠之中，蕴藏着无数未被完全发掘的自然宝藏，沙漠资源以其独有的珍贵性和独特性，成为了人类探索与利用的新领域。为了深度挖掘并合理利用这些宝贵的沙漠资源，</w:t>
      </w:r>
      <w:r>
        <w:rPr>
          <w:rFonts w:hint="eastAsia" w:ascii="Times New Roman" w:hAnsi="Times New Roman" w:eastAsia="方正仿宋_GBK" w:cs="Times New Roman"/>
          <w:snapToGrid w:val="0"/>
          <w:spacing w:val="6"/>
          <w:kern w:val="0"/>
          <w:sz w:val="32"/>
          <w:szCs w:val="32"/>
          <w:shd w:val="clear" w:color="auto" w:fill="auto"/>
          <w:lang w:val="en-US" w:eastAsia="zh-CN" w:bidi="ar-SA"/>
        </w:rPr>
        <w:t>我们</w:t>
      </w:r>
      <w:r>
        <w:rPr>
          <w:rFonts w:hint="default" w:ascii="Times New Roman" w:hAnsi="Times New Roman" w:eastAsia="方正仿宋_GBK" w:cs="Times New Roman"/>
          <w:snapToGrid w:val="0"/>
          <w:spacing w:val="6"/>
          <w:kern w:val="0"/>
          <w:sz w:val="32"/>
          <w:szCs w:val="32"/>
          <w:shd w:val="clear" w:color="auto" w:fill="auto"/>
          <w:lang w:val="en-US" w:eastAsia="zh-CN" w:bidi="ar-SA"/>
        </w:rPr>
        <w:t>采取了多层次、多途径的开发策略，致力于打造一个集生态保护、科研教育、休闲旅游和文化体验于一体的国家级景区——伊吾胡杨林国家级沙漠公园。伊吾胡杨林沙漠公园的建立，不仅是对沙漠资源的一次大胆尝试，更是对生态保护与可持续发展理念的深刻践行。我们组织编制了《新疆伊吾县胡杨林生态园景区总体规划及修建性详细规划》，以确保公园的建设既符合生态保育的原则，又能满足游客的多样化需求。</w:t>
      </w:r>
    </w:p>
    <w:p w14:paraId="2D19C43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公园内划分了生态保育区、宣教展示区、沙漠体验区和管理服务区等多个功能区。生态保育区致力于保护原始胡杨林这一世界级的自然遗产，确保胡杨林的生态系统得以完整保存；宣教展示区则通过生动的科普教育和互动体验，向游客传递荒漠生态知识，提升公众的环保意识；沙漠体验区则提供了丰富的探险活动，让游客在体验沙漠风光的同时，感受到大自然的神秘与壮丽；而管理服务区则确保了公园的日常运营和服务质量。作为世界三大胡杨林之一的所在地，伊吾胡杨林沙漠公园不仅坐拥31733.33公顷的原始胡杨林，更以其独特的沙漠绿洲奇景，成为了体验沙漠风光、感受自然魅力的绝佳目的地。未来，</w:t>
      </w:r>
      <w:r>
        <w:rPr>
          <w:rFonts w:hint="eastAsia" w:ascii="Times New Roman" w:hAnsi="Times New Roman" w:eastAsia="方正仿宋_GBK" w:cs="Times New Roman"/>
          <w:snapToGrid w:val="0"/>
          <w:spacing w:val="6"/>
          <w:kern w:val="0"/>
          <w:sz w:val="32"/>
          <w:szCs w:val="32"/>
          <w:shd w:val="clear" w:color="auto" w:fill="auto"/>
          <w:lang w:val="en-US" w:eastAsia="zh-CN" w:bidi="ar-SA"/>
        </w:rPr>
        <w:t>我们</w:t>
      </w:r>
      <w:r>
        <w:rPr>
          <w:rFonts w:hint="default" w:ascii="Times New Roman" w:hAnsi="Times New Roman" w:eastAsia="方正仿宋_GBK" w:cs="Times New Roman"/>
          <w:snapToGrid w:val="0"/>
          <w:spacing w:val="6"/>
          <w:kern w:val="0"/>
          <w:sz w:val="32"/>
          <w:szCs w:val="32"/>
          <w:shd w:val="clear" w:color="auto" w:fill="auto"/>
          <w:lang w:val="en-US" w:eastAsia="zh-CN" w:bidi="ar-SA"/>
        </w:rPr>
        <w:t>将继续推进沙漠资源的保护与利用工作，努力将伊吾胡杨林国家级沙漠公园打造成为国内外知名的生态旅游胜地，让更多的人在这里领略到沙漠的壮丽与神秘，感受到大自然的无限魅力。</w:t>
      </w:r>
    </w:p>
    <w:p w14:paraId="14616C35">
      <w:pPr>
        <w:pStyle w:val="4"/>
        <w:keepNext/>
        <w:keepLines/>
        <w:pageBreakBefore w:val="0"/>
        <w:widowControl/>
        <w:kinsoku/>
        <w:wordWrap/>
        <w:overflowPunct/>
        <w:topLinePunct w:val="0"/>
        <w:autoSpaceDE/>
        <w:autoSpaceDN/>
        <w:bidi w:val="0"/>
        <w:adjustRightInd/>
        <w:snapToGrid/>
        <w:spacing w:before="0" w:beforeLines="0" w:after="0" w:afterLines="0" w:line="596" w:lineRule="exact"/>
        <w:textAlignment w:val="auto"/>
        <w:outlineLvl w:val="1"/>
        <w:rPr>
          <w:rFonts w:hint="default" w:ascii="Times New Roman" w:hAnsi="Times New Roman" w:cs="Times New Roman"/>
          <w:shd w:val="clear" w:color="auto" w:fill="auto"/>
          <w:lang w:val="en-US" w:eastAsia="zh-CN"/>
        </w:rPr>
      </w:pPr>
      <w:bookmarkStart w:id="187" w:name="_Toc31349"/>
      <w:r>
        <w:rPr>
          <w:rFonts w:hint="eastAsia" w:ascii="Times New Roman" w:hAnsi="Times New Roman" w:eastAsia="方正公文黑体" w:cs="Times New Roman"/>
          <w:b w:val="0"/>
          <w:bCs w:val="0"/>
          <w:kern w:val="2"/>
          <w:sz w:val="32"/>
          <w:szCs w:val="32"/>
          <w:shd w:val="clear" w:color="auto" w:fill="auto"/>
          <w:lang w:val="en-US" w:eastAsia="zh-CN" w:bidi="ar-SA"/>
        </w:rPr>
        <w:t>六</w:t>
      </w:r>
      <w:r>
        <w:rPr>
          <w:rFonts w:hint="default" w:ascii="Times New Roman" w:hAnsi="Times New Roman" w:eastAsia="方正公文黑体" w:cs="Times New Roman"/>
          <w:b w:val="0"/>
          <w:bCs w:val="0"/>
          <w:kern w:val="2"/>
          <w:sz w:val="32"/>
          <w:szCs w:val="32"/>
          <w:shd w:val="clear" w:color="auto" w:fill="auto"/>
          <w:lang w:val="en-US" w:eastAsia="zh-CN" w:bidi="ar-SA"/>
        </w:rPr>
        <w:t>、加强沙化土地监测体系建设</w:t>
      </w:r>
      <w:bookmarkEnd w:id="187"/>
      <w:r>
        <w:rPr>
          <w:rFonts w:hint="default" w:ascii="Times New Roman" w:hAnsi="Times New Roman" w:cs="Times New Roman"/>
          <w:shd w:val="clear" w:color="auto" w:fill="auto"/>
          <w:lang w:val="en-US" w:eastAsia="zh-CN"/>
        </w:rPr>
        <w:t xml:space="preserve"> </w:t>
      </w:r>
    </w:p>
    <w:p w14:paraId="222EB03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丰富荒漠化防治监测手段，完善监测设施设备，提高监测结果精准度，扩大监测范围，提升监测能力。加强高科技在荒漠化监测预警领域的应用，实现针对沙害、风险等级、沙害类型的精准识别，模拟呈现各种环境下沙害可能的演化过程、危害方式、危害强度、覆盖范围、方案优化、效应预评估等，实现基于大数据分析以区布局、因害设防、精准施策，实现荒漠化监测预警体系建设。</w:t>
      </w:r>
    </w:p>
    <w:p w14:paraId="199364F6">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eastAsia" w:ascii="Times New Roman" w:hAnsi="Times New Roman" w:eastAsia="方正仿宋_GBK" w:cs="Times New Roman"/>
          <w:snapToGrid w:val="0"/>
          <w:spacing w:val="6"/>
          <w:kern w:val="0"/>
          <w:sz w:val="32"/>
          <w:szCs w:val="32"/>
          <w:shd w:val="clear" w:color="auto" w:fill="auto"/>
          <w:lang w:val="en-US" w:eastAsia="zh-CN" w:bidi="ar-SA"/>
        </w:rPr>
        <w:t>积极与自治区科研院校合作，探索新的防风固沙治理模式，加强与各地交流学习，借鉴成功做法和经验，探索适合当地的治理模式。此外，注重科技成果的转化应用，</w:t>
      </w:r>
      <w:r>
        <w:rPr>
          <w:rFonts w:hint="default" w:ascii="Times New Roman" w:hAnsi="Times New Roman" w:eastAsia="方正仿宋_GBK" w:cs="Times New Roman"/>
          <w:snapToGrid w:val="0"/>
          <w:spacing w:val="6"/>
          <w:kern w:val="0"/>
          <w:sz w:val="32"/>
          <w:szCs w:val="32"/>
          <w:shd w:val="clear" w:color="auto" w:fill="auto"/>
          <w:lang w:val="en-US" w:eastAsia="zh-CN" w:bidi="ar-SA"/>
        </w:rPr>
        <w:t>加强科技攻关和科技推广，完善防沙治沙成果转化机制</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以防沙治沙为目的、</w:t>
      </w:r>
      <w:r>
        <w:rPr>
          <w:rFonts w:hint="eastAsia" w:ascii="Times New Roman" w:hAnsi="Times New Roman" w:eastAsia="方正仿宋_GBK" w:cs="Times New Roman"/>
          <w:snapToGrid w:val="0"/>
          <w:spacing w:val="6"/>
          <w:kern w:val="0"/>
          <w:sz w:val="32"/>
          <w:szCs w:val="32"/>
          <w:shd w:val="clear" w:color="auto" w:fill="auto"/>
          <w:lang w:val="en-US" w:eastAsia="zh-CN" w:bidi="ar-SA"/>
        </w:rPr>
        <w:t>以</w:t>
      </w:r>
      <w:r>
        <w:rPr>
          <w:rFonts w:hint="default" w:ascii="Times New Roman" w:hAnsi="Times New Roman" w:eastAsia="方正仿宋_GBK" w:cs="Times New Roman"/>
          <w:snapToGrid w:val="0"/>
          <w:spacing w:val="6"/>
          <w:kern w:val="0"/>
          <w:sz w:val="32"/>
          <w:szCs w:val="32"/>
          <w:shd w:val="clear" w:color="auto" w:fill="auto"/>
          <w:lang w:val="en-US" w:eastAsia="zh-CN" w:bidi="ar-SA"/>
        </w:rPr>
        <w:t>防沙治沙产业发展为目标，加大新材料、新技术、新方法的研发投入；总结防沙治沙</w:t>
      </w:r>
      <w:r>
        <w:rPr>
          <w:rFonts w:hint="eastAsia" w:ascii="Times New Roman" w:hAnsi="Times New Roman" w:eastAsia="方正仿宋_GBK" w:cs="Times New Roman"/>
          <w:snapToGrid w:val="0"/>
          <w:spacing w:val="6"/>
          <w:kern w:val="0"/>
          <w:sz w:val="32"/>
          <w:szCs w:val="32"/>
          <w:shd w:val="clear" w:color="auto" w:fill="auto"/>
          <w:lang w:val="en-US" w:eastAsia="zh-CN" w:bidi="ar-SA"/>
        </w:rPr>
        <w:t>经验</w:t>
      </w:r>
      <w:r>
        <w:rPr>
          <w:rFonts w:hint="default" w:ascii="Times New Roman" w:hAnsi="Times New Roman" w:eastAsia="方正仿宋_GBK" w:cs="Times New Roman"/>
          <w:snapToGrid w:val="0"/>
          <w:spacing w:val="6"/>
          <w:kern w:val="0"/>
          <w:sz w:val="32"/>
          <w:szCs w:val="32"/>
          <w:shd w:val="clear" w:color="auto" w:fill="auto"/>
          <w:lang w:val="en-US" w:eastAsia="zh-CN" w:bidi="ar-SA"/>
        </w:rPr>
        <w:t>，选</w:t>
      </w:r>
      <w:r>
        <w:rPr>
          <w:rFonts w:hint="eastAsia" w:ascii="Times New Roman" w:hAnsi="Times New Roman" w:eastAsia="方正仿宋_GBK" w:cs="Times New Roman"/>
          <w:snapToGrid w:val="0"/>
          <w:spacing w:val="6"/>
          <w:kern w:val="0"/>
          <w:sz w:val="32"/>
          <w:szCs w:val="32"/>
          <w:shd w:val="clear" w:color="auto" w:fill="auto"/>
          <w:lang w:val="en-US" w:eastAsia="zh-CN" w:bidi="ar-SA"/>
        </w:rPr>
        <w:t>择</w:t>
      </w:r>
      <w:r>
        <w:rPr>
          <w:rFonts w:hint="default" w:ascii="Times New Roman" w:hAnsi="Times New Roman" w:eastAsia="方正仿宋_GBK" w:cs="Times New Roman"/>
          <w:snapToGrid w:val="0"/>
          <w:spacing w:val="6"/>
          <w:kern w:val="0"/>
          <w:sz w:val="32"/>
          <w:szCs w:val="32"/>
          <w:shd w:val="clear" w:color="auto" w:fill="auto"/>
          <w:lang w:val="en-US" w:eastAsia="zh-CN" w:bidi="ar-SA"/>
        </w:rPr>
        <w:t>典型案例，探索成果转化模式，强化防沙治沙成果应用示范。加大先进技术模式推广应用力度，推进集成技术模式共享。</w:t>
      </w:r>
    </w:p>
    <w:p w14:paraId="2B56719F">
      <w:pPr>
        <w:pageBreakBefore w:val="0"/>
        <w:kinsoku/>
        <w:wordWrap/>
        <w:overflowPunct/>
        <w:topLinePunct w:val="0"/>
        <w:autoSpaceDE/>
        <w:autoSpaceDN/>
        <w:bidi w:val="0"/>
        <w:adjustRightInd/>
        <w:snapToGrid/>
        <w:spacing w:line="596" w:lineRule="exact"/>
        <w:ind w:firstLine="664" w:firstLineChars="200"/>
        <w:textAlignment w:val="auto"/>
        <w:rPr>
          <w:rFonts w:hint="default" w:ascii="Times New Roman" w:hAnsi="Times New Roman" w:eastAsia="方正公文小标宋" w:cs="Times New Roman"/>
          <w:b w:val="0"/>
          <w:bCs w:val="0"/>
          <w:shd w:val="clear" w:color="auto" w:fill="auto"/>
          <w:lang w:val="en-US" w:eastAsia="zh-CN"/>
        </w:rPr>
      </w:pPr>
      <w:r>
        <w:rPr>
          <w:rFonts w:hint="eastAsia" w:ascii="Times New Roman" w:hAnsi="Times New Roman" w:eastAsia="方正仿宋_GBK" w:cs="Times New Roman"/>
          <w:snapToGrid w:val="0"/>
          <w:spacing w:val="6"/>
          <w:kern w:val="0"/>
          <w:sz w:val="32"/>
          <w:szCs w:val="32"/>
          <w:shd w:val="clear" w:color="auto" w:fill="auto"/>
          <w:lang w:val="en-US" w:eastAsia="zh-CN" w:bidi="ar-SA"/>
        </w:rPr>
        <w:t>加强专业技术人才队伍建设，积极调动伊吾县防沙治沙站的能动性，</w:t>
      </w:r>
      <w:r>
        <w:rPr>
          <w:rFonts w:hint="default" w:ascii="Times New Roman" w:hAnsi="Times New Roman" w:eastAsia="方正仿宋_GBK" w:cs="Times New Roman"/>
          <w:snapToGrid w:val="0"/>
          <w:spacing w:val="6"/>
          <w:kern w:val="0"/>
          <w:sz w:val="32"/>
          <w:szCs w:val="32"/>
          <w:shd w:val="clear" w:color="auto" w:fill="auto"/>
          <w:lang w:val="en-US" w:eastAsia="zh-CN" w:bidi="ar-SA"/>
        </w:rPr>
        <w:t>加大防沙治沙科普宣传力度，扩大防沙治沙法律法规宣传的范围，强化各</w:t>
      </w:r>
      <w:r>
        <w:rPr>
          <w:rFonts w:hint="eastAsia" w:ascii="Times New Roman" w:hAnsi="Times New Roman" w:eastAsia="方正仿宋_GBK" w:cs="Times New Roman"/>
          <w:snapToGrid w:val="0"/>
          <w:spacing w:val="6"/>
          <w:kern w:val="0"/>
          <w:sz w:val="32"/>
          <w:szCs w:val="32"/>
          <w:shd w:val="clear" w:color="auto" w:fill="auto"/>
          <w:lang w:val="en-US" w:eastAsia="zh-CN" w:bidi="ar-SA"/>
        </w:rPr>
        <w:t>区县</w:t>
      </w:r>
      <w:r>
        <w:rPr>
          <w:rFonts w:hint="default" w:ascii="Times New Roman" w:hAnsi="Times New Roman" w:eastAsia="方正仿宋_GBK" w:cs="Times New Roman"/>
          <w:snapToGrid w:val="0"/>
          <w:spacing w:val="6"/>
          <w:kern w:val="0"/>
          <w:sz w:val="32"/>
          <w:szCs w:val="32"/>
          <w:shd w:val="clear" w:color="auto" w:fill="auto"/>
          <w:lang w:val="en-US" w:eastAsia="zh-CN" w:bidi="ar-SA"/>
        </w:rPr>
        <w:t>工作者对于防沙治沙法律法规的</w:t>
      </w:r>
      <w:r>
        <w:rPr>
          <w:rFonts w:hint="eastAsia" w:ascii="Times New Roman" w:hAnsi="Times New Roman" w:eastAsia="方正仿宋_GBK" w:cs="Times New Roman"/>
          <w:snapToGrid w:val="0"/>
          <w:spacing w:val="6"/>
          <w:kern w:val="0"/>
          <w:sz w:val="32"/>
          <w:szCs w:val="32"/>
          <w:shd w:val="clear" w:color="auto" w:fill="auto"/>
          <w:lang w:val="en-US" w:eastAsia="zh-CN" w:bidi="ar-SA"/>
        </w:rPr>
        <w:t>认知</w:t>
      </w:r>
      <w:r>
        <w:rPr>
          <w:rFonts w:hint="default" w:ascii="Times New Roman" w:hAnsi="Times New Roman" w:eastAsia="方正仿宋_GBK" w:cs="Times New Roman"/>
          <w:snapToGrid w:val="0"/>
          <w:spacing w:val="6"/>
          <w:kern w:val="0"/>
          <w:sz w:val="32"/>
          <w:szCs w:val="32"/>
          <w:shd w:val="clear" w:color="auto" w:fill="auto"/>
          <w:lang w:val="en-US" w:eastAsia="zh-CN" w:bidi="ar-SA"/>
        </w:rPr>
        <w:t>，加强针对一线防沙治沙工作人员的科技教育力度，定期举办相关的技术培训活动，建立健全人才队伍建设机制。组织开展治沙先进个人、典型人物、典型事迹评选活动并加大宣传力度。</w:t>
      </w:r>
      <w:r>
        <w:rPr>
          <w:rFonts w:hint="eastAsia" w:ascii="Times New Roman" w:hAnsi="Times New Roman" w:eastAsia="方正仿宋_GBK" w:cs="Times New Roman"/>
          <w:snapToGrid w:val="0"/>
          <w:spacing w:val="6"/>
          <w:kern w:val="0"/>
          <w:sz w:val="32"/>
          <w:szCs w:val="32"/>
          <w:shd w:val="clear" w:color="auto" w:fill="auto"/>
          <w:lang w:val="en-US" w:eastAsia="zh-CN" w:bidi="ar-SA"/>
        </w:rPr>
        <w:t>全范围宣传“</w:t>
      </w:r>
      <w:r>
        <w:rPr>
          <w:rFonts w:hint="default" w:ascii="Times New Roman" w:hAnsi="Times New Roman" w:eastAsia="方正仿宋_GBK" w:cs="Times New Roman"/>
          <w:snapToGrid w:val="0"/>
          <w:spacing w:val="6"/>
          <w:kern w:val="0"/>
          <w:sz w:val="32"/>
          <w:szCs w:val="32"/>
          <w:shd w:val="clear" w:color="auto" w:fill="auto"/>
          <w:lang w:val="en-US" w:eastAsia="zh-CN" w:bidi="ar-SA"/>
        </w:rPr>
        <w:t>6·17世界防治荒漠化和干旱日</w:t>
      </w:r>
      <w:r>
        <w:rPr>
          <w:rFonts w:hint="eastAsia" w:ascii="Times New Roman" w:hAnsi="Times New Roman" w:eastAsia="方正仿宋_GBK" w:cs="Times New Roman"/>
          <w:snapToGrid w:val="0"/>
          <w:spacing w:val="6"/>
          <w:kern w:val="0"/>
          <w:sz w:val="32"/>
          <w:szCs w:val="32"/>
          <w:shd w:val="clear" w:color="auto" w:fill="auto"/>
          <w:lang w:val="en-US" w:eastAsia="zh-CN" w:bidi="ar-SA"/>
        </w:rPr>
        <w:t>”，调动广大群众参与到防沙治沙事业中</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bookmarkEnd w:id="173"/>
      <w:r>
        <w:rPr>
          <w:rFonts w:hint="default" w:ascii="Times New Roman" w:hAnsi="Times New Roman" w:eastAsia="方正仿宋_GBK" w:cs="Times New Roman"/>
          <w:b w:val="0"/>
          <w:color w:val="000000"/>
          <w:kern w:val="0"/>
          <w:sz w:val="32"/>
          <w:szCs w:val="32"/>
          <w:shd w:val="clear" w:color="auto" w:fill="auto"/>
          <w:lang w:val="en-US" w:eastAsia="zh-CN" w:bidi="ar"/>
        </w:rPr>
        <w:br w:type="page"/>
      </w:r>
      <w:bookmarkStart w:id="188" w:name="_Toc21396"/>
      <w:bookmarkStart w:id="189" w:name="_Toc23086"/>
    </w:p>
    <w:p w14:paraId="35BDC24C">
      <w:pPr>
        <w:pStyle w:val="2"/>
        <w:keepNext/>
        <w:keepLines/>
        <w:pageBreakBefore w:val="0"/>
        <w:widowControl/>
        <w:kinsoku/>
        <w:wordWrap/>
        <w:overflowPunct/>
        <w:topLinePunct w:val="0"/>
        <w:autoSpaceDE/>
        <w:autoSpaceDN/>
        <w:bidi w:val="0"/>
        <w:adjustRightInd/>
        <w:snapToGrid/>
        <w:spacing w:before="469" w:beforeLines="150" w:after="469" w:afterLines="15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190" w:name="_Toc27682"/>
      <w:r>
        <w:rPr>
          <w:rFonts w:hint="default" w:ascii="Times New Roman" w:hAnsi="Times New Roman" w:eastAsia="方正公文小标宋" w:cs="Times New Roman"/>
          <w:b w:val="0"/>
          <w:bCs w:val="0"/>
          <w:shd w:val="clear" w:color="auto" w:fill="auto"/>
          <w:lang w:val="en-US" w:eastAsia="zh-CN"/>
        </w:rPr>
        <w:t>第六章 水资源平衡分析</w:t>
      </w:r>
      <w:bookmarkEnd w:id="188"/>
      <w:bookmarkEnd w:id="190"/>
    </w:p>
    <w:p w14:paraId="791D9029">
      <w:pPr>
        <w:pStyle w:val="3"/>
        <w:keepNext/>
        <w:keepLines/>
        <w:pageBreakBefore w:val="0"/>
        <w:widowControl/>
        <w:kinsoku/>
        <w:wordWrap/>
        <w:overflowPunct/>
        <w:topLinePunct w:val="0"/>
        <w:autoSpaceDE/>
        <w:autoSpaceDN/>
        <w:bidi w:val="0"/>
        <w:adjustRightInd/>
        <w:snapToGrid/>
        <w:spacing w:before="0" w:after="0" w:line="596" w:lineRule="exact"/>
        <w:ind w:firstLine="320" w:firstLineChars="100"/>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191" w:name="_Toc16465"/>
      <w:bookmarkStart w:id="192" w:name="_Toc75519838"/>
      <w:bookmarkStart w:id="193" w:name="_Toc4323"/>
      <w:bookmarkStart w:id="194" w:name="_Toc10142"/>
      <w:r>
        <w:rPr>
          <w:rFonts w:hint="default" w:ascii="Times New Roman" w:hAnsi="Times New Roman" w:eastAsia="方正公文黑体" w:cs="Times New Roman"/>
          <w:b w:val="0"/>
          <w:bCs w:val="0"/>
          <w:kern w:val="2"/>
          <w:sz w:val="32"/>
          <w:szCs w:val="32"/>
          <w:shd w:val="clear" w:color="auto" w:fill="auto"/>
          <w:lang w:val="en-US" w:eastAsia="zh-CN" w:bidi="ar-SA"/>
        </w:rPr>
        <w:t>一、计算依据</w:t>
      </w:r>
      <w:bookmarkEnd w:id="191"/>
      <w:bookmarkEnd w:id="192"/>
      <w:bookmarkEnd w:id="193"/>
      <w:bookmarkEnd w:id="194"/>
    </w:p>
    <w:p w14:paraId="583A809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1、《新疆维吾尔自治区农业用水定额》新水厅〔2023〕67号；</w:t>
      </w:r>
    </w:p>
    <w:p w14:paraId="5EC41099">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2、《新疆维吾尔自治区哈密市水利</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十三五</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规划》；</w:t>
      </w:r>
    </w:p>
    <w:p w14:paraId="59B689A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3、《新疆维吾尔自治区哈密市水利</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十四五</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规划》；</w:t>
      </w:r>
    </w:p>
    <w:p w14:paraId="0CD46F1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4、哈密市水资源公报；</w:t>
      </w:r>
    </w:p>
    <w:p w14:paraId="2CD96DD5">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5、伊吾县水利局提供的其它资料。</w:t>
      </w:r>
    </w:p>
    <w:p w14:paraId="484EBB02">
      <w:pPr>
        <w:pStyle w:val="3"/>
        <w:keepNext/>
        <w:keepLines/>
        <w:pageBreakBefore w:val="0"/>
        <w:widowControl/>
        <w:kinsoku/>
        <w:wordWrap/>
        <w:overflowPunct/>
        <w:topLinePunct w:val="0"/>
        <w:autoSpaceDE/>
        <w:autoSpaceDN/>
        <w:bidi w:val="0"/>
        <w:adjustRightInd/>
        <w:snapToGrid/>
        <w:spacing w:before="0" w:after="0" w:line="596" w:lineRule="exact"/>
        <w:ind w:firstLine="320" w:firstLineChars="100"/>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195" w:name="_Toc75519839"/>
      <w:bookmarkStart w:id="196" w:name="_Toc16957"/>
      <w:bookmarkStart w:id="197" w:name="_Toc9115"/>
      <w:bookmarkStart w:id="198" w:name="_Toc31862"/>
      <w:r>
        <w:rPr>
          <w:rFonts w:hint="default" w:ascii="Times New Roman" w:hAnsi="Times New Roman" w:eastAsia="方正公文黑体" w:cs="Times New Roman"/>
          <w:b w:val="0"/>
          <w:bCs w:val="0"/>
          <w:kern w:val="2"/>
          <w:sz w:val="32"/>
          <w:szCs w:val="32"/>
          <w:shd w:val="clear" w:color="auto" w:fill="auto"/>
          <w:lang w:val="en-US" w:eastAsia="zh-CN" w:bidi="ar-SA"/>
        </w:rPr>
        <w:t>二、规划年可供水资源总量</w:t>
      </w:r>
      <w:bookmarkEnd w:id="195"/>
      <w:bookmarkEnd w:id="196"/>
      <w:bookmarkEnd w:id="197"/>
      <w:bookmarkEnd w:id="198"/>
    </w:p>
    <w:p w14:paraId="60F5B890">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b w:val="0"/>
          <w:color w:val="000000"/>
          <w:kern w:val="0"/>
          <w:sz w:val="32"/>
          <w:szCs w:val="32"/>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按照“以水定绿、以水定林定草”的原则，根据《新疆用水总量控制方案》和哈密市红线批准水量规划</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伊吾县</w:t>
      </w:r>
      <w:r>
        <w:rPr>
          <w:rFonts w:hint="eastAsia" w:ascii="Times New Roman" w:hAnsi="Times New Roman" w:eastAsia="方正仿宋_GBK" w:cs="Times New Roman"/>
          <w:snapToGrid w:val="0"/>
          <w:spacing w:val="6"/>
          <w:kern w:val="0"/>
          <w:sz w:val="32"/>
          <w:szCs w:val="32"/>
          <w:shd w:val="clear" w:color="auto" w:fill="auto"/>
          <w:lang w:val="en-US" w:eastAsia="zh-CN" w:bidi="ar-SA"/>
        </w:rPr>
        <w:t>2020年水资源公报，伊吾县用水总量0.77亿立方米；其中，农业用水量（包括耕地和林地、园地、牧草地灌溉，鱼塘补水及牲畜用水）0.41亿立方米，工业用水量0.19亿立方米，居民生活用水量0.04亿立方米，人工生态环境补水量（包括人为措施供给的城镇环境用水和部分河湖、湿地补水）0.13亿立方米。</w:t>
      </w:r>
    </w:p>
    <w:p w14:paraId="4E37CFD2">
      <w:pPr>
        <w:keepNext/>
        <w:keepLines/>
        <w:pageBreakBefore w:val="0"/>
        <w:widowControl w:val="0"/>
        <w:numPr>
          <w:ilvl w:val="0"/>
          <w:numId w:val="5"/>
        </w:numPr>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199" w:name="_Toc5797"/>
      <w:bookmarkStart w:id="200" w:name="_Toc17057"/>
      <w:bookmarkStart w:id="201" w:name="_Toc10117"/>
      <w:r>
        <w:rPr>
          <w:rFonts w:hint="default" w:ascii="Times New Roman" w:hAnsi="Times New Roman" w:eastAsia="方正公文黑体" w:cs="Times New Roman"/>
          <w:b w:val="0"/>
          <w:bCs w:val="0"/>
          <w:kern w:val="2"/>
          <w:sz w:val="32"/>
          <w:szCs w:val="32"/>
          <w:shd w:val="clear" w:color="auto" w:fill="auto"/>
          <w:lang w:val="en-US" w:eastAsia="zh-CN" w:bidi="ar-SA"/>
        </w:rPr>
        <w:t>规划新增工程需水量</w:t>
      </w:r>
      <w:bookmarkEnd w:id="199"/>
      <w:bookmarkEnd w:id="200"/>
      <w:bookmarkEnd w:id="201"/>
    </w:p>
    <w:p w14:paraId="0175CE7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在规划期，计划新增用水量的工程，国土绿化中人造乔木林，人造灌木林，退化林修复中更新和补植补造的乔木林和灌木林，退化草原治理工程中的人工种草，水土保持中新增加人工种植的乔木、灌木和草地，沙产业种植包含在人工种植林草中。</w:t>
      </w:r>
    </w:p>
    <w:tbl>
      <w:tblPr>
        <w:tblStyle w:val="14"/>
        <w:tblW w:w="842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1"/>
        <w:gridCol w:w="1331"/>
        <w:gridCol w:w="1268"/>
        <w:gridCol w:w="1419"/>
        <w:gridCol w:w="1322"/>
        <w:gridCol w:w="1323"/>
        <w:gridCol w:w="1350"/>
      </w:tblGrid>
      <w:tr w14:paraId="60DD8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8424" w:type="dxa"/>
            <w:gridSpan w:val="7"/>
            <w:tcBorders>
              <w:top w:val="nil"/>
              <w:left w:val="nil"/>
              <w:bottom w:val="single" w:color="000000" w:sz="4" w:space="0"/>
              <w:right w:val="nil"/>
            </w:tcBorders>
            <w:noWrap/>
            <w:vAlign w:val="center"/>
          </w:tcPr>
          <w:p w14:paraId="3FA4DC9F">
            <w:pPr>
              <w:keepNext w:val="0"/>
              <w:keepLines w:val="0"/>
              <w:pageBreakBefore w:val="0"/>
              <w:widowControl/>
              <w:suppressLineNumbers w:val="0"/>
              <w:kinsoku/>
              <w:wordWrap/>
              <w:overflowPunct/>
              <w:topLinePunct w:val="0"/>
              <w:autoSpaceDE/>
              <w:autoSpaceDN/>
              <w:bidi w:val="0"/>
              <w:adjustRightInd/>
              <w:snapToGrid/>
              <w:spacing w:after="157" w:afterLines="50" w:line="596" w:lineRule="exact"/>
              <w:jc w:val="center"/>
              <w:textAlignment w:val="center"/>
              <w:rPr>
                <w:rFonts w:hint="default" w:ascii="Times New Roman" w:hAnsi="Times New Roman" w:eastAsia="方正公文黑体" w:cs="Times New Roman"/>
                <w:i w:val="0"/>
                <w:iCs w:val="0"/>
                <w:color w:val="000000"/>
                <w:sz w:val="21"/>
                <w:szCs w:val="21"/>
                <w:u w:val="none"/>
                <w:shd w:val="clear" w:color="auto" w:fill="auto"/>
              </w:rPr>
            </w:pPr>
            <w:bookmarkStart w:id="202" w:name="_Toc72507478"/>
            <w:bookmarkStart w:id="203" w:name="_Toc273180983"/>
            <w:bookmarkStart w:id="204" w:name="_Toc18864"/>
            <w:bookmarkStart w:id="205" w:name="_Toc450750457"/>
            <w:bookmarkStart w:id="206" w:name="_Toc477276748"/>
            <w:bookmarkStart w:id="207" w:name="_Toc70412301"/>
            <w:bookmarkStart w:id="208" w:name="_Toc75519841"/>
            <w:r>
              <w:rPr>
                <w:rFonts w:hint="default" w:ascii="Times New Roman" w:hAnsi="Times New Roman" w:eastAsia="仿宋_GB2312" w:cs="Times New Roman"/>
                <w:color w:val="000000"/>
                <w:kern w:val="0"/>
                <w:sz w:val="28"/>
                <w:szCs w:val="28"/>
                <w:shd w:val="clear" w:color="auto" w:fill="auto"/>
                <w:lang w:val="en-US" w:eastAsia="zh-CN" w:bidi="ar"/>
              </w:rPr>
              <w:t>表6-1规划期新增造林种草需水量计算表</w:t>
            </w:r>
          </w:p>
        </w:tc>
      </w:tr>
      <w:tr w14:paraId="54AAE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11" w:type="dxa"/>
            <w:tcBorders>
              <w:top w:val="single" w:color="000000" w:sz="4" w:space="0"/>
              <w:left w:val="single" w:color="000000" w:sz="4" w:space="0"/>
              <w:bottom w:val="single" w:color="000000" w:sz="4" w:space="0"/>
              <w:right w:val="single" w:color="000000" w:sz="4" w:space="0"/>
            </w:tcBorders>
            <w:noWrap/>
            <w:vAlign w:val="center"/>
          </w:tcPr>
          <w:p w14:paraId="52C0755A">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序号</w:t>
            </w:r>
          </w:p>
        </w:tc>
        <w:tc>
          <w:tcPr>
            <w:tcW w:w="1331" w:type="dxa"/>
            <w:tcBorders>
              <w:top w:val="single" w:color="000000" w:sz="4" w:space="0"/>
              <w:left w:val="single" w:color="000000" w:sz="4" w:space="0"/>
              <w:bottom w:val="single" w:color="000000" w:sz="4" w:space="0"/>
              <w:right w:val="single" w:color="000000" w:sz="4" w:space="0"/>
            </w:tcBorders>
            <w:noWrap/>
            <w:vAlign w:val="center"/>
          </w:tcPr>
          <w:p w14:paraId="6820AF01">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项目</w:t>
            </w:r>
          </w:p>
        </w:tc>
        <w:tc>
          <w:tcPr>
            <w:tcW w:w="1268" w:type="dxa"/>
            <w:tcBorders>
              <w:top w:val="single" w:color="000000" w:sz="4" w:space="0"/>
              <w:left w:val="single" w:color="000000" w:sz="4" w:space="0"/>
              <w:bottom w:val="single" w:color="000000" w:sz="4" w:space="0"/>
              <w:right w:val="single" w:color="000000" w:sz="4" w:space="0"/>
            </w:tcBorders>
            <w:noWrap/>
            <w:vAlign w:val="center"/>
          </w:tcPr>
          <w:p w14:paraId="71038C7D">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2021年-2030年面积（公顷）</w:t>
            </w:r>
          </w:p>
        </w:tc>
        <w:tc>
          <w:tcPr>
            <w:tcW w:w="1419" w:type="dxa"/>
            <w:tcBorders>
              <w:top w:val="single" w:color="000000" w:sz="4" w:space="0"/>
              <w:left w:val="single" w:color="000000" w:sz="4" w:space="0"/>
              <w:bottom w:val="single" w:color="000000" w:sz="4" w:space="0"/>
              <w:right w:val="single" w:color="000000" w:sz="4" w:space="0"/>
            </w:tcBorders>
            <w:noWrap/>
            <w:vAlign w:val="center"/>
          </w:tcPr>
          <w:p w14:paraId="3AF4A448">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kern w:val="0"/>
                <w:sz w:val="21"/>
                <w:szCs w:val="21"/>
                <w:u w:val="none"/>
                <w:shd w:val="clear" w:color="auto" w:fill="auto"/>
                <w:lang w:val="en-US" w:eastAsia="zh-CN" w:bidi="ar"/>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2021年-2025年面积</w:t>
            </w:r>
          </w:p>
          <w:p w14:paraId="23025E4F">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（公顷）</w:t>
            </w:r>
          </w:p>
        </w:tc>
        <w:tc>
          <w:tcPr>
            <w:tcW w:w="1322" w:type="dxa"/>
            <w:tcBorders>
              <w:top w:val="single" w:color="000000" w:sz="4" w:space="0"/>
              <w:left w:val="single" w:color="000000" w:sz="4" w:space="0"/>
              <w:bottom w:val="single" w:color="000000" w:sz="4" w:space="0"/>
              <w:right w:val="single" w:color="000000" w:sz="4" w:space="0"/>
            </w:tcBorders>
            <w:noWrap/>
            <w:vAlign w:val="center"/>
          </w:tcPr>
          <w:p w14:paraId="68F9859F">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灌溉定额（方/公顷）</w:t>
            </w:r>
          </w:p>
        </w:tc>
        <w:tc>
          <w:tcPr>
            <w:tcW w:w="1323" w:type="dxa"/>
            <w:tcBorders>
              <w:top w:val="single" w:color="000000" w:sz="4" w:space="0"/>
              <w:left w:val="single" w:color="000000" w:sz="4" w:space="0"/>
              <w:bottom w:val="single" w:color="000000" w:sz="4" w:space="0"/>
              <w:right w:val="single" w:color="000000" w:sz="4" w:space="0"/>
            </w:tcBorders>
            <w:noWrap/>
            <w:vAlign w:val="center"/>
          </w:tcPr>
          <w:p w14:paraId="1B86211C">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2021年-2030年需水量（万方）</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64936F8">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2021年-2025年需水量（万方）</w:t>
            </w:r>
          </w:p>
        </w:tc>
      </w:tr>
      <w:tr w14:paraId="7CF61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11" w:type="dxa"/>
            <w:tcBorders>
              <w:top w:val="single" w:color="000000" w:sz="4" w:space="0"/>
              <w:left w:val="single" w:color="000000" w:sz="4" w:space="0"/>
              <w:bottom w:val="single" w:color="000000" w:sz="4" w:space="0"/>
              <w:right w:val="single" w:color="000000" w:sz="4" w:space="0"/>
            </w:tcBorders>
            <w:noWrap/>
            <w:vAlign w:val="center"/>
          </w:tcPr>
          <w:p w14:paraId="6D59F106">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eastAsia" w:ascii="Times New Roman" w:hAnsi="Times New Roman" w:eastAsia="仿宋" w:cs="Times New Roman"/>
                <w:i w:val="0"/>
                <w:iCs w:val="0"/>
                <w:color w:val="000000"/>
                <w:kern w:val="0"/>
                <w:sz w:val="21"/>
                <w:szCs w:val="21"/>
                <w:u w:val="none"/>
                <w:shd w:val="clear" w:color="auto" w:fill="auto"/>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noWrap/>
            <w:vAlign w:val="center"/>
          </w:tcPr>
          <w:p w14:paraId="081972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人造退化乔木林修复</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0AB4E90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144.24</w:t>
            </w:r>
          </w:p>
        </w:tc>
        <w:tc>
          <w:tcPr>
            <w:tcW w:w="1419" w:type="dxa"/>
            <w:tcBorders>
              <w:top w:val="single" w:color="000000" w:sz="4" w:space="0"/>
              <w:left w:val="single" w:color="000000" w:sz="4" w:space="0"/>
              <w:bottom w:val="single" w:color="000000" w:sz="4" w:space="0"/>
              <w:right w:val="single" w:color="000000" w:sz="4" w:space="0"/>
            </w:tcBorders>
            <w:noWrap/>
            <w:vAlign w:val="center"/>
          </w:tcPr>
          <w:p w14:paraId="33C6152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26.61</w:t>
            </w:r>
          </w:p>
        </w:tc>
        <w:tc>
          <w:tcPr>
            <w:tcW w:w="1322" w:type="dxa"/>
            <w:tcBorders>
              <w:top w:val="single" w:color="000000" w:sz="4" w:space="0"/>
              <w:left w:val="single" w:color="000000" w:sz="4" w:space="0"/>
              <w:bottom w:val="single" w:color="000000" w:sz="4" w:space="0"/>
              <w:right w:val="single" w:color="000000" w:sz="4" w:space="0"/>
            </w:tcBorders>
            <w:noWrap/>
            <w:vAlign w:val="center"/>
          </w:tcPr>
          <w:p w14:paraId="42F6175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7200</w:t>
            </w:r>
          </w:p>
        </w:tc>
        <w:tc>
          <w:tcPr>
            <w:tcW w:w="1323" w:type="dxa"/>
            <w:tcBorders>
              <w:top w:val="single" w:color="000000" w:sz="4" w:space="0"/>
              <w:left w:val="single" w:color="000000" w:sz="4" w:space="0"/>
              <w:bottom w:val="single" w:color="000000" w:sz="4" w:space="0"/>
              <w:right w:val="single" w:color="000000" w:sz="4" w:space="0"/>
            </w:tcBorders>
            <w:noWrap/>
            <w:vAlign w:val="center"/>
          </w:tcPr>
          <w:p w14:paraId="3584674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103.85</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499A347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19.16</w:t>
            </w:r>
          </w:p>
        </w:tc>
      </w:tr>
      <w:tr w14:paraId="3D2E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11" w:type="dxa"/>
            <w:tcBorders>
              <w:top w:val="single" w:color="000000" w:sz="4" w:space="0"/>
              <w:left w:val="single" w:color="000000" w:sz="4" w:space="0"/>
              <w:bottom w:val="single" w:color="000000" w:sz="4" w:space="0"/>
              <w:right w:val="single" w:color="000000" w:sz="4" w:space="0"/>
            </w:tcBorders>
            <w:noWrap/>
            <w:vAlign w:val="center"/>
          </w:tcPr>
          <w:p w14:paraId="011EC8AD">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lang w:val="en-US"/>
              </w:rPr>
            </w:pPr>
            <w:r>
              <w:rPr>
                <w:rFonts w:hint="eastAsia" w:ascii="Times New Roman" w:hAnsi="Times New Roman" w:eastAsia="仿宋" w:cs="Times New Roman"/>
                <w:i w:val="0"/>
                <w:iCs w:val="0"/>
                <w:color w:val="000000"/>
                <w:kern w:val="0"/>
                <w:sz w:val="21"/>
                <w:szCs w:val="21"/>
                <w:u w:val="none"/>
                <w:shd w:val="clear" w:color="auto" w:fill="auto"/>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noWrap/>
            <w:vAlign w:val="center"/>
          </w:tcPr>
          <w:p w14:paraId="7CB143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人造退化灌木林修复</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1B57B7F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366.91</w:t>
            </w:r>
          </w:p>
        </w:tc>
        <w:tc>
          <w:tcPr>
            <w:tcW w:w="1419" w:type="dxa"/>
            <w:tcBorders>
              <w:top w:val="single" w:color="000000" w:sz="4" w:space="0"/>
              <w:left w:val="single" w:color="000000" w:sz="4" w:space="0"/>
              <w:bottom w:val="single" w:color="000000" w:sz="4" w:space="0"/>
              <w:right w:val="single" w:color="000000" w:sz="4" w:space="0"/>
            </w:tcBorders>
            <w:noWrap/>
            <w:vAlign w:val="center"/>
          </w:tcPr>
          <w:p w14:paraId="02E7CD4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366.91</w:t>
            </w:r>
          </w:p>
        </w:tc>
        <w:tc>
          <w:tcPr>
            <w:tcW w:w="1322" w:type="dxa"/>
            <w:tcBorders>
              <w:top w:val="single" w:color="000000" w:sz="4" w:space="0"/>
              <w:left w:val="single" w:color="000000" w:sz="4" w:space="0"/>
              <w:bottom w:val="single" w:color="000000" w:sz="4" w:space="0"/>
              <w:right w:val="single" w:color="000000" w:sz="4" w:space="0"/>
            </w:tcBorders>
            <w:noWrap/>
            <w:vAlign w:val="center"/>
          </w:tcPr>
          <w:p w14:paraId="070FC3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3000</w:t>
            </w:r>
          </w:p>
        </w:tc>
        <w:tc>
          <w:tcPr>
            <w:tcW w:w="1323" w:type="dxa"/>
            <w:tcBorders>
              <w:top w:val="single" w:color="000000" w:sz="4" w:space="0"/>
              <w:left w:val="single" w:color="000000" w:sz="4" w:space="0"/>
              <w:bottom w:val="single" w:color="000000" w:sz="4" w:space="0"/>
              <w:right w:val="single" w:color="000000" w:sz="4" w:space="0"/>
            </w:tcBorders>
            <w:noWrap/>
            <w:vAlign w:val="center"/>
          </w:tcPr>
          <w:p w14:paraId="3FD805C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110.07</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537DBC1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110.07</w:t>
            </w:r>
          </w:p>
        </w:tc>
      </w:tr>
      <w:tr w14:paraId="0E807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11" w:type="dxa"/>
            <w:tcBorders>
              <w:top w:val="single" w:color="000000" w:sz="4" w:space="0"/>
              <w:left w:val="single" w:color="000000" w:sz="4" w:space="0"/>
              <w:bottom w:val="single" w:color="000000" w:sz="4" w:space="0"/>
              <w:right w:val="single" w:color="000000" w:sz="4" w:space="0"/>
            </w:tcBorders>
            <w:noWrap/>
            <w:vAlign w:val="center"/>
          </w:tcPr>
          <w:p w14:paraId="7D1DFAB7">
            <w:pPr>
              <w:pageBreakBefore w:val="0"/>
              <w:kinsoku/>
              <w:wordWrap/>
              <w:overflowPunct/>
              <w:topLinePunct w:val="0"/>
              <w:autoSpaceDE/>
              <w:autoSpaceDN/>
              <w:bidi w:val="0"/>
              <w:adjustRightInd/>
              <w:snapToGrid/>
              <w:spacing w:line="596" w:lineRule="exact"/>
              <w:jc w:val="center"/>
              <w:rPr>
                <w:rFonts w:hint="default" w:ascii="Times New Roman" w:hAnsi="Times New Roman" w:eastAsia="仿宋" w:cs="Times New Roman"/>
                <w:i w:val="0"/>
                <w:iCs w:val="0"/>
                <w:color w:val="000000"/>
                <w:sz w:val="21"/>
                <w:szCs w:val="21"/>
                <w:u w:val="none"/>
                <w:shd w:val="clear" w:color="auto" w:fill="auto"/>
              </w:rPr>
            </w:pPr>
          </w:p>
        </w:tc>
        <w:tc>
          <w:tcPr>
            <w:tcW w:w="1331" w:type="dxa"/>
            <w:tcBorders>
              <w:top w:val="single" w:color="000000" w:sz="4" w:space="0"/>
              <w:left w:val="single" w:color="000000" w:sz="4" w:space="0"/>
              <w:bottom w:val="single" w:color="000000" w:sz="4" w:space="0"/>
              <w:right w:val="single" w:color="000000" w:sz="4" w:space="0"/>
            </w:tcBorders>
            <w:noWrap/>
            <w:vAlign w:val="center"/>
          </w:tcPr>
          <w:p w14:paraId="01F5EBB4">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仿宋" w:cs="Times New Roman"/>
                <w:i w:val="0"/>
                <w:iCs w:val="0"/>
                <w:color w:val="000000"/>
                <w:kern w:val="0"/>
                <w:sz w:val="21"/>
                <w:szCs w:val="21"/>
                <w:u w:val="none"/>
                <w:shd w:val="clear" w:color="auto" w:fill="auto"/>
                <w:lang w:val="en-US" w:eastAsia="zh-CN" w:bidi="ar"/>
              </w:rPr>
              <w:t>合计</w:t>
            </w:r>
          </w:p>
        </w:tc>
        <w:tc>
          <w:tcPr>
            <w:tcW w:w="1268" w:type="dxa"/>
            <w:tcBorders>
              <w:top w:val="single" w:color="000000" w:sz="4" w:space="0"/>
              <w:left w:val="single" w:color="000000" w:sz="4" w:space="0"/>
              <w:bottom w:val="single" w:color="000000" w:sz="4" w:space="0"/>
              <w:right w:val="single" w:color="000000" w:sz="4" w:space="0"/>
            </w:tcBorders>
            <w:noWrap/>
            <w:vAlign w:val="center"/>
          </w:tcPr>
          <w:p w14:paraId="15C1860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511.15</w:t>
            </w:r>
          </w:p>
        </w:tc>
        <w:tc>
          <w:tcPr>
            <w:tcW w:w="1419" w:type="dxa"/>
            <w:tcBorders>
              <w:top w:val="single" w:color="000000" w:sz="4" w:space="0"/>
              <w:left w:val="single" w:color="000000" w:sz="4" w:space="0"/>
              <w:bottom w:val="single" w:color="000000" w:sz="4" w:space="0"/>
              <w:right w:val="single" w:color="000000" w:sz="4" w:space="0"/>
            </w:tcBorders>
            <w:noWrap/>
            <w:vAlign w:val="center"/>
          </w:tcPr>
          <w:p w14:paraId="002C5C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shd w:val="clear" w:color="auto" w:fill="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393.52</w:t>
            </w:r>
          </w:p>
        </w:tc>
        <w:tc>
          <w:tcPr>
            <w:tcW w:w="1322" w:type="dxa"/>
            <w:tcBorders>
              <w:top w:val="single" w:color="000000" w:sz="4" w:space="0"/>
              <w:left w:val="single" w:color="000000" w:sz="4" w:space="0"/>
              <w:bottom w:val="single" w:color="000000" w:sz="4" w:space="0"/>
              <w:right w:val="single" w:color="000000" w:sz="4" w:space="0"/>
            </w:tcBorders>
            <w:noWrap/>
            <w:vAlign w:val="center"/>
          </w:tcPr>
          <w:p w14:paraId="243ED65D">
            <w:pPr>
              <w:jc w:val="center"/>
              <w:rPr>
                <w:rFonts w:hint="default" w:ascii="Times New Roman" w:hAnsi="Times New Roman" w:eastAsia="仿宋" w:cs="Times New Roman"/>
                <w:i w:val="0"/>
                <w:iCs w:val="0"/>
                <w:color w:val="000000"/>
                <w:sz w:val="21"/>
                <w:szCs w:val="21"/>
                <w:u w:val="none"/>
                <w:shd w:val="clear" w:color="auto" w:fill="auto"/>
              </w:rPr>
            </w:pPr>
          </w:p>
        </w:tc>
        <w:tc>
          <w:tcPr>
            <w:tcW w:w="1323" w:type="dxa"/>
            <w:tcBorders>
              <w:top w:val="single" w:color="000000" w:sz="4" w:space="0"/>
              <w:left w:val="single" w:color="000000" w:sz="4" w:space="0"/>
              <w:bottom w:val="single" w:color="000000" w:sz="4" w:space="0"/>
              <w:right w:val="single" w:color="000000" w:sz="4" w:space="0"/>
            </w:tcBorders>
            <w:noWrap/>
            <w:vAlign w:val="center"/>
          </w:tcPr>
          <w:p w14:paraId="0269999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213.92</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4AD3AEF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shd w:val="clear" w:color="auto" w:fill="auto"/>
              </w:rPr>
            </w:pPr>
            <w:r>
              <w:rPr>
                <w:rFonts w:hint="default" w:ascii="Times New Roman" w:hAnsi="Times New Roman" w:eastAsia="宋体" w:cs="Times New Roman"/>
                <w:i w:val="0"/>
                <w:iCs w:val="0"/>
                <w:color w:val="000000"/>
                <w:kern w:val="0"/>
                <w:sz w:val="21"/>
                <w:szCs w:val="21"/>
                <w:u w:val="none"/>
                <w:lang w:val="en-US" w:eastAsia="zh-CN" w:bidi="ar"/>
              </w:rPr>
              <w:t>129.23</w:t>
            </w:r>
          </w:p>
        </w:tc>
      </w:tr>
    </w:tbl>
    <w:p w14:paraId="009B0A56">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64" w:firstLineChars="200"/>
        <w:jc w:val="left"/>
        <w:textAlignment w:val="auto"/>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pP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规划</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需水量如表</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6-1</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，人造退化乔木林修复灌溉定额为7200方/公顷，人造退化灌木林修复灌溉定额为3000方/公顷。到2025年总种植面积为</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393.52</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公顷，其中，人造退化乔木林修复26.61公顷，人造退化灌木林修复366.91公顷，年总需水量为</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129.23</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万立方米；到2030年总种植面积为</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511.15</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公顷，其中，人造退化乔木林修复144.24公顷，人造退化灌木林修复366.91公顷，年总需水量为</w:t>
      </w:r>
      <w:r>
        <w:rPr>
          <w:rFonts w:hint="eastAsia" w:ascii="Times New Roman" w:hAnsi="Times New Roman" w:eastAsia="方正仿宋_GBK" w:cs="Times New Roman"/>
          <w:snapToGrid w:val="0"/>
          <w:spacing w:val="6"/>
          <w:kern w:val="0"/>
          <w:sz w:val="32"/>
          <w:szCs w:val="32"/>
          <w:highlight w:val="none"/>
          <w:shd w:val="clear" w:color="auto" w:fill="auto"/>
          <w:lang w:val="en-US" w:eastAsia="zh-CN" w:bidi="ar-SA"/>
        </w:rPr>
        <w:t>213.92</w:t>
      </w:r>
      <w:r>
        <w:rPr>
          <w:rFonts w:hint="default" w:ascii="Times New Roman" w:hAnsi="Times New Roman" w:eastAsia="方正仿宋_GBK" w:cs="Times New Roman"/>
          <w:snapToGrid w:val="0"/>
          <w:spacing w:val="6"/>
          <w:kern w:val="0"/>
          <w:sz w:val="32"/>
          <w:szCs w:val="32"/>
          <w:highlight w:val="none"/>
          <w:shd w:val="clear" w:color="auto" w:fill="auto"/>
          <w:lang w:val="en-US" w:eastAsia="zh-CN" w:bidi="ar-SA"/>
        </w:rPr>
        <w:t>万立方米。</w:t>
      </w:r>
    </w:p>
    <w:p w14:paraId="7AFDBF9F">
      <w:pPr>
        <w:keepNext/>
        <w:keepLines/>
        <w:pageBreakBefore w:val="0"/>
        <w:widowControl w:val="0"/>
        <w:numPr>
          <w:ilvl w:val="0"/>
          <w:numId w:val="5"/>
        </w:numPr>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209" w:name="_Toc12817"/>
      <w:r>
        <w:rPr>
          <w:rFonts w:hint="default" w:ascii="Times New Roman" w:hAnsi="Times New Roman" w:eastAsia="方正公文黑体" w:cs="Times New Roman"/>
          <w:b w:val="0"/>
          <w:bCs w:val="0"/>
          <w:kern w:val="2"/>
          <w:sz w:val="32"/>
          <w:szCs w:val="32"/>
          <w:shd w:val="clear" w:color="auto" w:fill="auto"/>
          <w:lang w:val="en-US" w:eastAsia="zh-CN" w:bidi="ar-SA"/>
        </w:rPr>
        <w:t>水资源供需平衡分析</w:t>
      </w:r>
      <w:bookmarkEnd w:id="209"/>
    </w:p>
    <w:bookmarkEnd w:id="202"/>
    <w:bookmarkEnd w:id="203"/>
    <w:bookmarkEnd w:id="204"/>
    <w:bookmarkEnd w:id="205"/>
    <w:bookmarkEnd w:id="206"/>
    <w:bookmarkEnd w:id="207"/>
    <w:bookmarkEnd w:id="208"/>
    <w:p w14:paraId="74F252F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pP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对规划水平年2021—2030年伊吾县的规划需水量结果和水资源可供水总量进行供需平衡分析，到2025年</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退化林修复</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面积为</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393.52</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公顷，年总需水量为</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129.23</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万立方米，占到伊吾县用水总量的</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1.67</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，占人工生态环境补水量的9.90%</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；到2030年总</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退化林修复</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为</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511.15</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公顷，年总需水量为</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213.92</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万立方米，占到伊吾县供水总量的</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2.78</w:t>
      </w:r>
      <w:r>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w:t>
      </w:r>
      <w:r>
        <w:rPr>
          <w:rFonts w:hint="eastAsia"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t>，占人工生态环境补水量的16.39%，能够满足工程的水量需求。</w:t>
      </w:r>
    </w:p>
    <w:p w14:paraId="2C22848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eastAsia" w:ascii="Times New Roman" w:hAnsi="Times New Roman" w:eastAsia="方正仿宋_GBK" w:cs="Times New Roman"/>
          <w:snapToGrid w:val="0"/>
          <w:spacing w:val="6"/>
          <w:kern w:val="0"/>
          <w:sz w:val="32"/>
          <w:szCs w:val="32"/>
          <w:shd w:val="clear" w:color="auto" w:fill="auto"/>
          <w:lang w:val="en-US" w:eastAsia="zh-CN" w:bidi="ar-SA"/>
        </w:rPr>
        <w:t>伊吾县水资源短缺，不新增人工造林，</w:t>
      </w:r>
      <w:r>
        <w:rPr>
          <w:rFonts w:hint="default" w:ascii="Times New Roman" w:hAnsi="Times New Roman" w:eastAsia="方正仿宋_GBK" w:cs="Times New Roman"/>
          <w:snapToGrid w:val="0"/>
          <w:spacing w:val="6"/>
          <w:kern w:val="0"/>
          <w:sz w:val="32"/>
          <w:szCs w:val="32"/>
          <w:shd w:val="clear" w:color="auto" w:fill="auto"/>
          <w:lang w:val="en-US" w:eastAsia="zh-CN" w:bidi="ar-SA"/>
        </w:rPr>
        <w:t>封山（沙）育林的区域主要通过封禁围栏，控制人为活动对荒漠植被的干扰，保护并促进荒漠植被的自然生长发育，不实施灌溉措施。退化林修复利用原有灌溉设施或在原有的基础上进行修缮改造，不新增灌溉设施、不新增生态用水量。退化草原治理工程为人工种草、草原改良、围栏封育，草原改良通过松耙、施肥等措施完成，不实施生态补水措施。</w:t>
      </w:r>
      <w:r>
        <w:rPr>
          <w:rFonts w:hint="eastAsia" w:ascii="Times New Roman" w:hAnsi="Times New Roman" w:eastAsia="方正仿宋_GBK" w:cs="Times New Roman"/>
          <w:snapToGrid w:val="0"/>
          <w:spacing w:val="6"/>
          <w:kern w:val="0"/>
          <w:sz w:val="32"/>
          <w:szCs w:val="32"/>
          <w:shd w:val="clear" w:color="auto" w:fill="auto"/>
          <w:lang w:val="en-US" w:eastAsia="zh-CN" w:bidi="ar-SA"/>
        </w:rPr>
        <w:t>综上所述</w:t>
      </w:r>
      <w:r>
        <w:rPr>
          <w:rFonts w:hint="default" w:ascii="Times New Roman" w:hAnsi="Times New Roman" w:eastAsia="方正仿宋_GBK" w:cs="Times New Roman"/>
          <w:snapToGrid w:val="0"/>
          <w:spacing w:val="6"/>
          <w:kern w:val="0"/>
          <w:sz w:val="32"/>
          <w:szCs w:val="32"/>
          <w:shd w:val="clear" w:color="auto" w:fill="auto"/>
          <w:lang w:val="en-US" w:eastAsia="zh-CN" w:bidi="ar-SA"/>
        </w:rPr>
        <w:t>，本规划不新增生态用水量。</w:t>
      </w:r>
    </w:p>
    <w:p w14:paraId="39238E7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为了实现水资源的可持续利用，遵循“以水定绿、以水定林地定草”的原则</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大力推行节水灌溉技术，并调整产业种植结构，进行水量置换。同时，防护林种植需种植低耗水</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抗逆性强的乡土树种。</w:t>
      </w:r>
    </w:p>
    <w:p w14:paraId="5F40E04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color w:val="000000" w:themeColor="text1"/>
          <w:spacing w:val="6"/>
          <w:kern w:val="0"/>
          <w:sz w:val="32"/>
          <w:szCs w:val="32"/>
          <w:shd w:val="clear" w:color="auto" w:fill="auto"/>
          <w:lang w:val="en-US" w:eastAsia="zh-CN" w:bidi="ar-SA"/>
          <w14:textFill>
            <w14:solidFill>
              <w14:schemeClr w14:val="tx1"/>
            </w14:solidFill>
          </w14:textFill>
        </w:rPr>
      </w:pPr>
    </w:p>
    <w:p w14:paraId="201862BE">
      <w:pPr>
        <w:rPr>
          <w:rFonts w:hint="default" w:ascii="Times New Roman" w:hAnsi="Times New Roman" w:eastAsia="方正公文小标宋" w:cs="Times New Roman"/>
          <w:b w:val="0"/>
          <w:bCs w:val="0"/>
          <w:shd w:val="clear" w:color="auto" w:fill="auto"/>
          <w:lang w:val="en-US" w:eastAsia="zh-CN"/>
        </w:rPr>
      </w:pPr>
      <w:r>
        <w:rPr>
          <w:rFonts w:hint="default" w:ascii="Times New Roman" w:hAnsi="Times New Roman" w:eastAsia="方正仿宋_GBK" w:cs="Times New Roman"/>
          <w:b w:val="0"/>
          <w:color w:val="000000"/>
          <w:kern w:val="0"/>
          <w:sz w:val="32"/>
          <w:szCs w:val="32"/>
          <w:shd w:val="clear" w:color="auto" w:fill="auto"/>
          <w:lang w:val="en-US" w:eastAsia="zh-CN" w:bidi="ar"/>
        </w:rPr>
        <w:br w:type="page"/>
      </w:r>
      <w:bookmarkStart w:id="210" w:name="_Toc2484"/>
    </w:p>
    <w:p w14:paraId="4C6B1620">
      <w:pPr>
        <w:pStyle w:val="2"/>
        <w:keepNext/>
        <w:keepLines/>
        <w:pageBreakBefore w:val="0"/>
        <w:widowControl/>
        <w:numPr>
          <w:ilvl w:val="0"/>
          <w:numId w:val="6"/>
        </w:numPr>
        <w:kinsoku/>
        <w:wordWrap/>
        <w:overflowPunct/>
        <w:topLinePunct w:val="0"/>
        <w:autoSpaceDE/>
        <w:autoSpaceDN/>
        <w:bidi w:val="0"/>
        <w:adjustRightInd/>
        <w:snapToGrid/>
        <w:spacing w:before="469" w:beforeLines="15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211" w:name="_Toc24536"/>
      <w:r>
        <w:rPr>
          <w:rFonts w:hint="default" w:ascii="Times New Roman" w:hAnsi="Times New Roman" w:eastAsia="方正公文小标宋" w:cs="Times New Roman"/>
          <w:b w:val="0"/>
          <w:bCs w:val="0"/>
          <w:shd w:val="clear" w:color="auto" w:fill="auto"/>
          <w:lang w:val="en-US" w:eastAsia="zh-CN"/>
        </w:rPr>
        <w:t>投资估算</w:t>
      </w:r>
      <w:bookmarkEnd w:id="211"/>
    </w:p>
    <w:p w14:paraId="7292BCC1">
      <w:pPr>
        <w:pStyle w:val="3"/>
        <w:keepNext/>
        <w:keepLines/>
        <w:pageBreakBefore w:val="0"/>
        <w:widowControl/>
        <w:kinsoku/>
        <w:wordWrap/>
        <w:overflowPunct/>
        <w:topLinePunct w:val="0"/>
        <w:autoSpaceDE/>
        <w:autoSpaceDN/>
        <w:bidi w:val="0"/>
        <w:adjustRightInd/>
        <w:snapToGrid/>
        <w:spacing w:before="0" w:after="0" w:line="596" w:lineRule="exact"/>
        <w:ind w:firstLine="320" w:firstLineChars="100"/>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212" w:name="_Toc23694"/>
      <w:r>
        <w:rPr>
          <w:rFonts w:hint="default" w:ascii="Times New Roman" w:hAnsi="Times New Roman" w:eastAsia="方正公文黑体" w:cs="Times New Roman"/>
          <w:b w:val="0"/>
          <w:bCs w:val="0"/>
          <w:kern w:val="2"/>
          <w:sz w:val="32"/>
          <w:szCs w:val="32"/>
          <w:shd w:val="clear" w:color="auto" w:fill="auto"/>
          <w:lang w:val="en-US" w:eastAsia="zh-CN" w:bidi="ar-SA"/>
        </w:rPr>
        <w:t>一、估算依据</w:t>
      </w:r>
      <w:bookmarkEnd w:id="212"/>
    </w:p>
    <w:p w14:paraId="079787F5">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 财政部关于印发《基本建设项目建设成本管理规定》的通知（财建〔2016〕504 号）；</w:t>
      </w:r>
    </w:p>
    <w:p w14:paraId="39D8A63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2.《基本建设财务规则》（2016 年 4 月 26  日财政部令第 81 号）；</w:t>
      </w:r>
    </w:p>
    <w:p w14:paraId="2F6D2AC7">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3.《关于进一步放开建设项目专业服务价格的通知》（发改价格〔2015〕299 号）；</w:t>
      </w:r>
    </w:p>
    <w:p w14:paraId="4763501C">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4.《建设工程造价咨询规范》（GB/T 51095—2015）；</w:t>
      </w:r>
    </w:p>
    <w:p w14:paraId="22DC11F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5.《建设项目投资估算编审规程》（CECA∕GC 1—2015）；</w:t>
      </w:r>
    </w:p>
    <w:p w14:paraId="24275F8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6.《新疆维吾尔自治区建筑、安装、市政工程费用定额》（2020年）；</w:t>
      </w:r>
    </w:p>
    <w:p w14:paraId="030E47E4">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7.《重点区域生态保护和修复项目投资估算指南（试行）》（国家林业和草原局 2021 年）；</w:t>
      </w:r>
    </w:p>
    <w:p w14:paraId="13FFC43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8.《防护林造林工程投资估算指标》（林规发〔2016〕58 号）；</w:t>
      </w:r>
    </w:p>
    <w:p w14:paraId="53D8C72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9.其他国家、自治区有关规划、规程、规定、投资指标等。</w:t>
      </w:r>
      <w:bookmarkStart w:id="213" w:name="_Toc438"/>
    </w:p>
    <w:p w14:paraId="748033DE">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40" w:firstLineChars="200"/>
        <w:jc w:val="left"/>
        <w:rPr>
          <w:rFonts w:hint="default"/>
          <w:lang w:val="en-US" w:eastAsia="zh-CN"/>
        </w:rPr>
      </w:pPr>
      <w:r>
        <w:rPr>
          <w:rFonts w:hint="default" w:ascii="Times New Roman" w:hAnsi="Times New Roman" w:eastAsia="方正公文黑体" w:cs="Times New Roman"/>
          <w:b w:val="0"/>
          <w:bCs w:val="0"/>
          <w:kern w:val="2"/>
          <w:sz w:val="32"/>
          <w:szCs w:val="32"/>
          <w:shd w:val="clear" w:color="auto" w:fill="auto"/>
          <w:lang w:val="en-US" w:eastAsia="zh-CN" w:bidi="ar-SA"/>
        </w:rPr>
        <w:t>二、投资估算说明</w:t>
      </w:r>
      <w:bookmarkEnd w:id="213"/>
    </w:p>
    <w:p w14:paraId="36397E12">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本规划工程投资各项内容的单价指标参考《重点区域生态保护和修复项目投资估算指南（试行）》中的综合指标进行投资估算的编制。投资估算不包含土地流转、拆迁安置补偿等项目费用，以及水、电、路、管护站房等基础设施建设费用。</w:t>
      </w:r>
    </w:p>
    <w:p w14:paraId="07CF221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 xml:space="preserve">具体实施以实施方案和当地实际经济指标价格计算。具体内容详见表 </w:t>
      </w:r>
      <w:r>
        <w:rPr>
          <w:rFonts w:hint="eastAsia" w:ascii="Times New Roman" w:hAnsi="Times New Roman" w:eastAsia="方正仿宋_GBK" w:cs="Times New Roman"/>
          <w:snapToGrid w:val="0"/>
          <w:spacing w:val="6"/>
          <w:kern w:val="0"/>
          <w:sz w:val="32"/>
          <w:szCs w:val="32"/>
          <w:shd w:val="clear" w:color="auto" w:fill="auto"/>
          <w:lang w:val="en-US" w:eastAsia="zh-CN" w:bidi="ar-SA"/>
        </w:rPr>
        <w:t>7-</w:t>
      </w:r>
      <w:r>
        <w:rPr>
          <w:rFonts w:hint="default" w:ascii="Times New Roman" w:hAnsi="Times New Roman" w:eastAsia="方正仿宋_GBK" w:cs="Times New Roman"/>
          <w:snapToGrid w:val="0"/>
          <w:spacing w:val="6"/>
          <w:kern w:val="0"/>
          <w:sz w:val="32"/>
          <w:szCs w:val="32"/>
          <w:shd w:val="clear" w:color="auto" w:fill="auto"/>
          <w:lang w:val="en-US" w:eastAsia="zh-CN" w:bidi="ar-SA"/>
        </w:rPr>
        <w:t>1。</w:t>
      </w:r>
    </w:p>
    <w:p w14:paraId="24B95882">
      <w:pPr>
        <w:keepNext w:val="0"/>
        <w:keepLines w:val="0"/>
        <w:pageBreakBefore w:val="0"/>
        <w:widowControl/>
        <w:suppressLineNumbers w:val="0"/>
        <w:kinsoku/>
        <w:wordWrap/>
        <w:overflowPunct/>
        <w:topLinePunct w:val="0"/>
        <w:autoSpaceDE/>
        <w:autoSpaceDN/>
        <w:bidi w:val="0"/>
        <w:adjustRightInd/>
        <w:snapToGrid/>
        <w:spacing w:after="157" w:afterLines="50" w:line="596" w:lineRule="exact"/>
        <w:jc w:val="center"/>
        <w:textAlignment w:val="center"/>
        <w:rPr>
          <w:rFonts w:ascii="Times New Roman" w:hAnsi="Times New Roman" w:eastAsia="Times New Roman" w:cs="Times New Roman"/>
          <w:sz w:val="20"/>
          <w:szCs w:val="20"/>
        </w:rPr>
      </w:pPr>
      <w:r>
        <w:rPr>
          <w:rFonts w:hint="default" w:ascii="Times New Roman" w:hAnsi="Times New Roman" w:eastAsia="仿宋_GB2312" w:cs="Times New Roman"/>
          <w:color w:val="000000"/>
          <w:kern w:val="0"/>
          <w:sz w:val="28"/>
          <w:szCs w:val="28"/>
          <w:shd w:val="clear" w:color="auto" w:fill="auto"/>
          <w:lang w:val="en-US" w:eastAsia="zh-CN" w:bidi="ar"/>
        </w:rPr>
        <w:t xml:space="preserve">表 </w:t>
      </w:r>
      <w:r>
        <w:rPr>
          <w:rFonts w:hint="eastAsia" w:ascii="Times New Roman" w:hAnsi="Times New Roman" w:cs="Times New Roman"/>
          <w:color w:val="000000"/>
          <w:kern w:val="0"/>
          <w:sz w:val="28"/>
          <w:szCs w:val="28"/>
          <w:shd w:val="clear" w:color="auto" w:fill="auto"/>
          <w:lang w:val="en-US" w:eastAsia="zh-CN" w:bidi="ar"/>
        </w:rPr>
        <w:t>7-</w:t>
      </w:r>
      <w:r>
        <w:rPr>
          <w:rFonts w:hint="default" w:ascii="Times New Roman" w:hAnsi="Times New Roman" w:eastAsia="仿宋_GB2312" w:cs="Times New Roman"/>
          <w:color w:val="000000"/>
          <w:kern w:val="0"/>
          <w:sz w:val="28"/>
          <w:szCs w:val="28"/>
          <w:shd w:val="clear" w:color="auto" w:fill="auto"/>
          <w:lang w:val="en-US" w:eastAsia="zh-CN" w:bidi="ar"/>
        </w:rPr>
        <w:t>1主要经济技术指标表</w:t>
      </w:r>
    </w:p>
    <w:p w14:paraId="04167297">
      <w:pPr>
        <w:spacing w:line="40" w:lineRule="exact"/>
      </w:pPr>
    </w:p>
    <w:tbl>
      <w:tblPr>
        <w:tblStyle w:val="36"/>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
        <w:gridCol w:w="1188"/>
        <w:gridCol w:w="5096"/>
        <w:gridCol w:w="887"/>
        <w:gridCol w:w="881"/>
      </w:tblGrid>
      <w:tr w14:paraId="1D6B8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474" w:type="dxa"/>
            <w:noWrap w:val="0"/>
            <w:textDirection w:val="tbRlV"/>
            <w:vAlign w:val="top"/>
          </w:tcPr>
          <w:p w14:paraId="717CDCF5">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序 号</w:t>
            </w:r>
          </w:p>
        </w:tc>
        <w:tc>
          <w:tcPr>
            <w:tcW w:w="1188" w:type="dxa"/>
            <w:noWrap w:val="0"/>
            <w:vAlign w:val="top"/>
          </w:tcPr>
          <w:p w14:paraId="5EC347A9">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项目</w:t>
            </w:r>
          </w:p>
        </w:tc>
        <w:tc>
          <w:tcPr>
            <w:tcW w:w="5096" w:type="dxa"/>
            <w:noWrap w:val="0"/>
            <w:vAlign w:val="top"/>
          </w:tcPr>
          <w:p w14:paraId="0E361A29">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建设内容</w:t>
            </w:r>
          </w:p>
        </w:tc>
        <w:tc>
          <w:tcPr>
            <w:tcW w:w="887" w:type="dxa"/>
            <w:noWrap w:val="0"/>
            <w:vAlign w:val="top"/>
          </w:tcPr>
          <w:p w14:paraId="7EE7D7D3">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单位</w:t>
            </w:r>
          </w:p>
        </w:tc>
        <w:tc>
          <w:tcPr>
            <w:tcW w:w="881" w:type="dxa"/>
            <w:noWrap w:val="0"/>
            <w:vAlign w:val="top"/>
          </w:tcPr>
          <w:p w14:paraId="359C4F4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技术经</w:t>
            </w:r>
          </w:p>
          <w:p w14:paraId="2E0DAE9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济指标</w:t>
            </w:r>
          </w:p>
        </w:tc>
      </w:tr>
      <w:tr w14:paraId="02F7D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474" w:type="dxa"/>
            <w:noWrap w:val="0"/>
            <w:vAlign w:val="top"/>
          </w:tcPr>
          <w:p w14:paraId="3A9B3C3D">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1</w:t>
            </w:r>
          </w:p>
        </w:tc>
        <w:tc>
          <w:tcPr>
            <w:tcW w:w="1188" w:type="dxa"/>
            <w:noWrap w:val="0"/>
            <w:vAlign w:val="top"/>
          </w:tcPr>
          <w:p w14:paraId="7DE7F4A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工程固沙</w:t>
            </w:r>
          </w:p>
        </w:tc>
        <w:tc>
          <w:tcPr>
            <w:tcW w:w="5096" w:type="dxa"/>
            <w:noWrap w:val="0"/>
            <w:vAlign w:val="top"/>
          </w:tcPr>
          <w:p w14:paraId="1F92DCB9">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沙障等材料费、沙障设置等作业费</w:t>
            </w:r>
          </w:p>
        </w:tc>
        <w:tc>
          <w:tcPr>
            <w:tcW w:w="887" w:type="dxa"/>
            <w:noWrap w:val="0"/>
            <w:vAlign w:val="top"/>
          </w:tcPr>
          <w:p w14:paraId="6628D1B3">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7CA6E874">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19500</w:t>
            </w:r>
          </w:p>
        </w:tc>
      </w:tr>
      <w:tr w14:paraId="23A42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74" w:type="dxa"/>
            <w:noWrap w:val="0"/>
            <w:vAlign w:val="top"/>
          </w:tcPr>
          <w:p w14:paraId="2DA7F008">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71A3EAC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2</w:t>
            </w:r>
          </w:p>
        </w:tc>
        <w:tc>
          <w:tcPr>
            <w:tcW w:w="1188" w:type="dxa"/>
            <w:noWrap w:val="0"/>
            <w:vAlign w:val="top"/>
          </w:tcPr>
          <w:p w14:paraId="0D23B49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封山（沙）育林</w:t>
            </w:r>
          </w:p>
        </w:tc>
        <w:tc>
          <w:tcPr>
            <w:tcW w:w="5096" w:type="dxa"/>
            <w:noWrap w:val="0"/>
            <w:vAlign w:val="top"/>
          </w:tcPr>
          <w:p w14:paraId="28EEF1F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封禁设施及安装作业、补植（补播）等育林措施、管护和</w:t>
            </w:r>
          </w:p>
          <w:p w14:paraId="2979ADA8">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施工现场管理费</w:t>
            </w:r>
          </w:p>
        </w:tc>
        <w:tc>
          <w:tcPr>
            <w:tcW w:w="887" w:type="dxa"/>
            <w:noWrap w:val="0"/>
            <w:vAlign w:val="top"/>
          </w:tcPr>
          <w:p w14:paraId="6AE6FAF7">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40259B6D">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1CAF19E2">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2595</w:t>
            </w:r>
          </w:p>
        </w:tc>
      </w:tr>
      <w:tr w14:paraId="0B2A3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474" w:type="dxa"/>
            <w:noWrap w:val="0"/>
            <w:vAlign w:val="top"/>
          </w:tcPr>
          <w:p w14:paraId="206B3D98">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53B10457">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3</w:t>
            </w:r>
          </w:p>
        </w:tc>
        <w:tc>
          <w:tcPr>
            <w:tcW w:w="1188" w:type="dxa"/>
            <w:noWrap w:val="0"/>
            <w:vAlign w:val="top"/>
          </w:tcPr>
          <w:p w14:paraId="2EE8DBAF">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退化林修复</w:t>
            </w:r>
          </w:p>
        </w:tc>
        <w:tc>
          <w:tcPr>
            <w:tcW w:w="5096" w:type="dxa"/>
            <w:noWrap w:val="0"/>
            <w:vAlign w:val="top"/>
          </w:tcPr>
          <w:p w14:paraId="6D53102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种苗等材料费、整地、施肥、更替、择伐、补植等作业费、</w:t>
            </w:r>
          </w:p>
          <w:p w14:paraId="5E9C1C6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未成林管护费等</w:t>
            </w:r>
          </w:p>
        </w:tc>
        <w:tc>
          <w:tcPr>
            <w:tcW w:w="887" w:type="dxa"/>
            <w:noWrap w:val="0"/>
            <w:vAlign w:val="top"/>
          </w:tcPr>
          <w:p w14:paraId="37F83A9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46C7F634">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3CF00EBE">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24000</w:t>
            </w:r>
          </w:p>
        </w:tc>
      </w:tr>
      <w:tr w14:paraId="754D1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74" w:type="dxa"/>
            <w:noWrap w:val="0"/>
            <w:vAlign w:val="top"/>
          </w:tcPr>
          <w:p w14:paraId="1CF0C858">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4</w:t>
            </w:r>
          </w:p>
        </w:tc>
        <w:tc>
          <w:tcPr>
            <w:tcW w:w="1188" w:type="dxa"/>
            <w:noWrap w:val="0"/>
            <w:vAlign w:val="top"/>
          </w:tcPr>
          <w:p w14:paraId="799359AF">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种草改良</w:t>
            </w:r>
          </w:p>
        </w:tc>
        <w:tc>
          <w:tcPr>
            <w:tcW w:w="5096" w:type="dxa"/>
            <w:noWrap w:val="0"/>
            <w:vAlign w:val="top"/>
          </w:tcPr>
          <w:p w14:paraId="51F0C62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tc>
        <w:tc>
          <w:tcPr>
            <w:tcW w:w="887" w:type="dxa"/>
            <w:noWrap w:val="0"/>
            <w:vAlign w:val="top"/>
          </w:tcPr>
          <w:p w14:paraId="51F34CB0">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tc>
        <w:tc>
          <w:tcPr>
            <w:tcW w:w="881" w:type="dxa"/>
            <w:noWrap w:val="0"/>
            <w:vAlign w:val="top"/>
          </w:tcPr>
          <w:p w14:paraId="43E6E13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tc>
      </w:tr>
      <w:tr w14:paraId="52ACD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74" w:type="dxa"/>
            <w:noWrap w:val="0"/>
            <w:vAlign w:val="top"/>
          </w:tcPr>
          <w:p w14:paraId="28612DD5">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70025E31">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4.1</w:t>
            </w:r>
          </w:p>
        </w:tc>
        <w:tc>
          <w:tcPr>
            <w:tcW w:w="1188" w:type="dxa"/>
            <w:noWrap w:val="0"/>
            <w:vAlign w:val="top"/>
          </w:tcPr>
          <w:p w14:paraId="01C06BFB">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人工种草</w:t>
            </w:r>
          </w:p>
        </w:tc>
        <w:tc>
          <w:tcPr>
            <w:tcW w:w="5096" w:type="dxa"/>
            <w:noWrap w:val="0"/>
            <w:vAlign w:val="top"/>
          </w:tcPr>
          <w:p w14:paraId="31614CCD">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种子、肥料等材料费、围栏安装、地面处理、施肥、播种</w:t>
            </w:r>
          </w:p>
          <w:p w14:paraId="6B66359F">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（补播）等作业费、种草后管护费</w:t>
            </w:r>
          </w:p>
        </w:tc>
        <w:tc>
          <w:tcPr>
            <w:tcW w:w="887" w:type="dxa"/>
            <w:noWrap w:val="0"/>
            <w:vAlign w:val="top"/>
          </w:tcPr>
          <w:p w14:paraId="3511403E">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7D02F5E2">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69058491">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9000</w:t>
            </w:r>
          </w:p>
        </w:tc>
      </w:tr>
      <w:tr w14:paraId="201C5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474" w:type="dxa"/>
            <w:noWrap w:val="0"/>
            <w:vAlign w:val="top"/>
          </w:tcPr>
          <w:p w14:paraId="405D38B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26BA13B9">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4.2</w:t>
            </w:r>
          </w:p>
        </w:tc>
        <w:tc>
          <w:tcPr>
            <w:tcW w:w="1188" w:type="dxa"/>
            <w:noWrap w:val="0"/>
            <w:vAlign w:val="top"/>
          </w:tcPr>
          <w:p w14:paraId="72AB8FF0">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草原改良</w:t>
            </w:r>
          </w:p>
        </w:tc>
        <w:tc>
          <w:tcPr>
            <w:tcW w:w="5096" w:type="dxa"/>
            <w:noWrap w:val="0"/>
            <w:vAlign w:val="top"/>
          </w:tcPr>
          <w:p w14:paraId="7A25306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药剂、肥料、地面处理作业（松耙）、施肥、清除毒害草</w:t>
            </w:r>
          </w:p>
          <w:p w14:paraId="7DE041F4">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等费用</w:t>
            </w:r>
          </w:p>
        </w:tc>
        <w:tc>
          <w:tcPr>
            <w:tcW w:w="887" w:type="dxa"/>
            <w:noWrap w:val="0"/>
            <w:vAlign w:val="top"/>
          </w:tcPr>
          <w:p w14:paraId="5EDAC56B">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54E930B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5BE30CA7">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2100</w:t>
            </w:r>
          </w:p>
        </w:tc>
      </w:tr>
      <w:tr w14:paraId="0DA44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74" w:type="dxa"/>
            <w:noWrap w:val="0"/>
            <w:vAlign w:val="top"/>
          </w:tcPr>
          <w:p w14:paraId="14B61E8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4.3</w:t>
            </w:r>
          </w:p>
        </w:tc>
        <w:tc>
          <w:tcPr>
            <w:tcW w:w="1188" w:type="dxa"/>
            <w:noWrap w:val="0"/>
            <w:vAlign w:val="top"/>
          </w:tcPr>
          <w:p w14:paraId="1CB3A9F1">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围栏封育</w:t>
            </w:r>
          </w:p>
        </w:tc>
        <w:tc>
          <w:tcPr>
            <w:tcW w:w="5096" w:type="dxa"/>
            <w:noWrap w:val="0"/>
            <w:vAlign w:val="top"/>
          </w:tcPr>
          <w:p w14:paraId="06AFF2A4">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围栏、立柱等材料费、安装作业费</w:t>
            </w:r>
          </w:p>
        </w:tc>
        <w:tc>
          <w:tcPr>
            <w:tcW w:w="887" w:type="dxa"/>
            <w:noWrap w:val="0"/>
            <w:vAlign w:val="top"/>
          </w:tcPr>
          <w:p w14:paraId="080487D2">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16FC8864">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375</w:t>
            </w:r>
          </w:p>
        </w:tc>
      </w:tr>
      <w:tr w14:paraId="0A42B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74" w:type="dxa"/>
            <w:noWrap w:val="0"/>
            <w:vAlign w:val="top"/>
          </w:tcPr>
          <w:p w14:paraId="59E22343">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47D368E0">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5</w:t>
            </w:r>
          </w:p>
        </w:tc>
        <w:tc>
          <w:tcPr>
            <w:tcW w:w="1188" w:type="dxa"/>
            <w:noWrap w:val="0"/>
            <w:vAlign w:val="top"/>
          </w:tcPr>
          <w:p w14:paraId="27ABF828">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水土保持</w:t>
            </w:r>
          </w:p>
          <w:p w14:paraId="4B996ED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重点工程</w:t>
            </w:r>
          </w:p>
        </w:tc>
        <w:tc>
          <w:tcPr>
            <w:tcW w:w="5096" w:type="dxa"/>
            <w:noWrap w:val="0"/>
            <w:vAlign w:val="top"/>
          </w:tcPr>
          <w:p w14:paraId="7D755D6C">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干渠、节制分水闸、灌溉系统、林草措施、封育治理措施</w:t>
            </w:r>
          </w:p>
          <w:p w14:paraId="7F16C5F3">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等工程费用</w:t>
            </w:r>
          </w:p>
        </w:tc>
        <w:tc>
          <w:tcPr>
            <w:tcW w:w="887" w:type="dxa"/>
            <w:noWrap w:val="0"/>
            <w:vAlign w:val="top"/>
          </w:tcPr>
          <w:p w14:paraId="08BE047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元/公顷</w:t>
            </w:r>
          </w:p>
        </w:tc>
        <w:tc>
          <w:tcPr>
            <w:tcW w:w="881" w:type="dxa"/>
            <w:noWrap w:val="0"/>
            <w:vAlign w:val="top"/>
          </w:tcPr>
          <w:p w14:paraId="40345C6A">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p>
          <w:p w14:paraId="3CCA7E2B">
            <w:pPr>
              <w:keepNext w:val="0"/>
              <w:keepLines w:val="0"/>
              <w:pageBreakBefore w:val="0"/>
              <w:widowControl/>
              <w:kinsoku/>
              <w:wordWrap/>
              <w:overflowPunct/>
              <w:topLinePunct w:val="0"/>
              <w:autoSpaceDE/>
              <w:autoSpaceDN/>
              <w:bidi w:val="0"/>
              <w:adjustRightInd/>
              <w:snapToGrid/>
              <w:spacing w:line="240" w:lineRule="auto"/>
              <w:ind w:left="111"/>
              <w:textAlignment w:val="auto"/>
              <w:rPr>
                <w:rFonts w:ascii="宋体" w:hAnsi="宋体" w:eastAsia="宋体" w:cs="宋体"/>
                <w:spacing w:val="-5"/>
                <w:sz w:val="20"/>
                <w:szCs w:val="20"/>
              </w:rPr>
            </w:pPr>
            <w:r>
              <w:rPr>
                <w:rFonts w:ascii="宋体" w:hAnsi="宋体" w:eastAsia="宋体" w:cs="宋体"/>
                <w:spacing w:val="-5"/>
                <w:sz w:val="20"/>
                <w:szCs w:val="20"/>
              </w:rPr>
              <w:t>4500</w:t>
            </w:r>
          </w:p>
        </w:tc>
      </w:tr>
    </w:tbl>
    <w:p w14:paraId="3DE5C508">
      <w:pPr>
        <w:pStyle w:val="3"/>
        <w:keepNext/>
        <w:keepLines/>
        <w:pageBreakBefore w:val="0"/>
        <w:widowControl/>
        <w:kinsoku/>
        <w:wordWrap/>
        <w:overflowPunct/>
        <w:topLinePunct w:val="0"/>
        <w:autoSpaceDE/>
        <w:autoSpaceDN/>
        <w:bidi w:val="0"/>
        <w:adjustRightInd/>
        <w:snapToGrid/>
        <w:spacing w:before="0" w:beforeLines="50" w:after="0" w:line="596" w:lineRule="exact"/>
        <w:ind w:firstLine="320" w:firstLineChars="100"/>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214" w:name="_Toc30736"/>
      <w:r>
        <w:rPr>
          <w:rFonts w:hint="eastAsia" w:ascii="Times New Roman" w:hAnsi="Times New Roman" w:eastAsia="方正公文黑体" w:cs="Times New Roman"/>
          <w:b w:val="0"/>
          <w:bCs w:val="0"/>
          <w:kern w:val="2"/>
          <w:sz w:val="32"/>
          <w:szCs w:val="32"/>
          <w:shd w:val="clear" w:color="auto" w:fill="auto"/>
          <w:lang w:val="en-US" w:eastAsia="zh-CN" w:bidi="ar-SA"/>
        </w:rPr>
        <w:t>三</w:t>
      </w:r>
      <w:r>
        <w:rPr>
          <w:rFonts w:hint="default" w:ascii="Times New Roman" w:hAnsi="Times New Roman" w:eastAsia="方正公文黑体" w:cs="Times New Roman"/>
          <w:b w:val="0"/>
          <w:bCs w:val="0"/>
          <w:kern w:val="2"/>
          <w:sz w:val="32"/>
          <w:szCs w:val="32"/>
          <w:shd w:val="clear" w:color="auto" w:fill="auto"/>
          <w:lang w:val="en-US" w:eastAsia="zh-CN" w:bidi="ar-SA"/>
        </w:rPr>
        <w:t>、投资估算</w:t>
      </w:r>
      <w:bookmarkEnd w:id="214"/>
    </w:p>
    <w:p w14:paraId="06209D6B">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1.建设单位管理费：根据《基本建设项目建设成本管理规定》</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财建字﹝2016﹞504 号</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bookmarkStart w:id="251" w:name="_GoBack"/>
      <w:bookmarkEnd w:id="251"/>
      <w:r>
        <w:rPr>
          <w:rFonts w:hint="default" w:ascii="Times New Roman" w:hAnsi="Times New Roman" w:eastAsia="方正仿宋_GBK" w:cs="Times New Roman"/>
          <w:snapToGrid w:val="0"/>
          <w:spacing w:val="6"/>
          <w:kern w:val="0"/>
          <w:sz w:val="32"/>
          <w:szCs w:val="32"/>
          <w:shd w:val="clear" w:color="auto" w:fill="auto"/>
          <w:lang w:val="en-US" w:eastAsia="zh-CN" w:bidi="ar-SA"/>
        </w:rPr>
        <w:t>规定费率范围，工程总概算 1000 万元以下，取定费率为 2.00%；工程总概算 1001—5000 万元的，其中 1000 万元取定费率为2.00% ，剩余的取定费率为 1.50%。</w:t>
      </w:r>
    </w:p>
    <w:p w14:paraId="60F33A52">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2.依据《关于进一步放开建设项目专业服务价格的通知》（发改价格〔2015〕299 号），勘察设计费、项目建设工程监理费、项目建设工程招投标费实行地区市场调节价。结合实际情况，本项目勘察设</w:t>
      </w:r>
    </w:p>
    <w:p w14:paraId="3F45AF01">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计费按工程费用的 3.00%计取；项目建设工程监理费按工程费用的1.00%计取、项目建设工程招投标费按工程费用的 0.50%计取。</w:t>
      </w:r>
    </w:p>
    <w:p w14:paraId="313E6970">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3.基本预备费：基本预备费率按工程费用与工程其它费用之和的5.00%计取。</w:t>
      </w:r>
    </w:p>
    <w:p w14:paraId="66DA3C3E">
      <w:pPr>
        <w:pStyle w:val="3"/>
        <w:keepNext/>
        <w:keepLines/>
        <w:pageBreakBefore w:val="0"/>
        <w:widowControl/>
        <w:kinsoku/>
        <w:wordWrap/>
        <w:overflowPunct/>
        <w:topLinePunct w:val="0"/>
        <w:autoSpaceDE/>
        <w:autoSpaceDN/>
        <w:bidi w:val="0"/>
        <w:adjustRightInd/>
        <w:snapToGrid/>
        <w:spacing w:before="0" w:after="0" w:line="596" w:lineRule="exact"/>
        <w:ind w:firstLine="320" w:firstLineChars="100"/>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215" w:name="bookmark71"/>
      <w:bookmarkEnd w:id="215"/>
      <w:bookmarkStart w:id="216" w:name="bookmark70"/>
      <w:bookmarkEnd w:id="216"/>
      <w:bookmarkStart w:id="217" w:name="_Toc31870"/>
      <w:r>
        <w:rPr>
          <w:rFonts w:hint="eastAsia" w:ascii="Times New Roman" w:hAnsi="Times New Roman" w:eastAsia="方正公文黑体" w:cs="Times New Roman"/>
          <w:b w:val="0"/>
          <w:bCs w:val="0"/>
          <w:kern w:val="2"/>
          <w:sz w:val="32"/>
          <w:szCs w:val="32"/>
          <w:shd w:val="clear" w:color="auto" w:fill="auto"/>
          <w:lang w:val="en-US" w:eastAsia="zh-CN" w:bidi="ar-SA"/>
        </w:rPr>
        <w:t>四、</w:t>
      </w:r>
      <w:r>
        <w:rPr>
          <w:rFonts w:hint="default" w:ascii="Times New Roman" w:hAnsi="Times New Roman" w:eastAsia="方正公文黑体" w:cs="Times New Roman"/>
          <w:b w:val="0"/>
          <w:bCs w:val="0"/>
          <w:kern w:val="2"/>
          <w:sz w:val="32"/>
          <w:szCs w:val="32"/>
          <w:shd w:val="clear" w:color="auto" w:fill="auto"/>
          <w:lang w:val="en-US" w:eastAsia="zh-CN" w:bidi="ar-SA"/>
        </w:rPr>
        <w:t>投资规模及资金来源</w:t>
      </w:r>
      <w:bookmarkEnd w:id="217"/>
    </w:p>
    <w:p w14:paraId="020EC073">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项目总投资 8456.86 万元，其中工程费用 7710.72 万元，其他费用 343.43  万元（勘察设计费 77.11 万元、招投标费38.55 万元、建设单位管理费 150.66 万元、工程监理费 77.11 万元），预备费 402.71 万元，详见</w:t>
      </w:r>
      <w:r>
        <w:rPr>
          <w:rFonts w:hint="eastAsia" w:ascii="Times New Roman" w:hAnsi="Times New Roman" w:eastAsia="方正仿宋_GBK" w:cs="Times New Roman"/>
          <w:snapToGrid w:val="0"/>
          <w:spacing w:val="6"/>
          <w:kern w:val="0"/>
          <w:sz w:val="32"/>
          <w:szCs w:val="32"/>
          <w:shd w:val="clear" w:color="auto" w:fill="auto"/>
          <w:lang w:val="en-US" w:eastAsia="zh-CN" w:bidi="ar-SA"/>
        </w:rPr>
        <w:t>附</w:t>
      </w:r>
      <w:r>
        <w:rPr>
          <w:rFonts w:hint="default" w:ascii="Times New Roman" w:hAnsi="Times New Roman" w:eastAsia="方正仿宋_GBK" w:cs="Times New Roman"/>
          <w:snapToGrid w:val="0"/>
          <w:spacing w:val="6"/>
          <w:kern w:val="0"/>
          <w:sz w:val="32"/>
          <w:szCs w:val="32"/>
          <w:shd w:val="clear" w:color="auto" w:fill="auto"/>
          <w:lang w:val="en-US" w:eastAsia="zh-CN" w:bidi="ar-SA"/>
        </w:rPr>
        <w:t xml:space="preserve">表 </w:t>
      </w:r>
      <w:r>
        <w:rPr>
          <w:rFonts w:hint="eastAsia" w:ascii="Times New Roman" w:hAnsi="Times New Roman" w:eastAsia="方正仿宋_GBK" w:cs="Times New Roman"/>
          <w:snapToGrid w:val="0"/>
          <w:spacing w:val="6"/>
          <w:kern w:val="0"/>
          <w:sz w:val="32"/>
          <w:szCs w:val="32"/>
          <w:shd w:val="clear" w:color="auto" w:fill="auto"/>
          <w:lang w:val="en-US" w:eastAsia="zh-CN" w:bidi="ar-SA"/>
        </w:rPr>
        <w:t>3</w:t>
      </w:r>
      <w:r>
        <w:rPr>
          <w:rFonts w:hint="default" w:ascii="Times New Roman" w:hAnsi="Times New Roman" w:eastAsia="方正仿宋_GBK" w:cs="Times New Roman"/>
          <w:snapToGrid w:val="0"/>
          <w:spacing w:val="6"/>
          <w:kern w:val="0"/>
          <w:sz w:val="32"/>
          <w:szCs w:val="32"/>
          <w:shd w:val="clear" w:color="auto" w:fill="auto"/>
          <w:lang w:val="en-US" w:eastAsia="zh-CN" w:bidi="ar-SA"/>
        </w:rPr>
        <w:t>。</w:t>
      </w:r>
    </w:p>
    <w:p w14:paraId="4F63EE18">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本防沙治沙规划项目投资资金采取国家、地方财政投入、企业投入及与受益群众投工投劳相结合的方式筹集。</w:t>
      </w:r>
    </w:p>
    <w:p w14:paraId="6E6E4FEA">
      <w:pPr>
        <w:rPr>
          <w:rFonts w:hint="default" w:ascii="宋体" w:hAnsi="宋体" w:eastAsia="宋体" w:cs="宋体"/>
          <w:spacing w:val="-1"/>
          <w:sz w:val="28"/>
          <w:szCs w:val="28"/>
          <w:lang w:val="en-US" w:eastAsia="zh-CN"/>
        </w:rPr>
      </w:pPr>
      <w:r>
        <w:rPr>
          <w:rFonts w:ascii="宋体" w:hAnsi="宋体" w:eastAsia="宋体" w:cs="宋体"/>
          <w:spacing w:val="-1"/>
          <w:sz w:val="28"/>
          <w:szCs w:val="28"/>
        </w:rPr>
        <w:br w:type="page"/>
      </w:r>
    </w:p>
    <w:p w14:paraId="79A1D2E0">
      <w:pPr>
        <w:pStyle w:val="2"/>
        <w:keepNext/>
        <w:keepLines/>
        <w:pageBreakBefore w:val="0"/>
        <w:widowControl/>
        <w:kinsoku/>
        <w:wordWrap/>
        <w:overflowPunct/>
        <w:topLinePunct w:val="0"/>
        <w:autoSpaceDE/>
        <w:autoSpaceDN/>
        <w:bidi w:val="0"/>
        <w:adjustRightInd/>
        <w:snapToGrid/>
        <w:spacing w:before="460" w:line="720" w:lineRule="auto"/>
        <w:jc w:val="center"/>
        <w:textAlignment w:val="auto"/>
        <w:rPr>
          <w:rFonts w:hint="default" w:ascii="Times New Roman" w:hAnsi="Times New Roman" w:eastAsia="方正公文小标宋" w:cs="Times New Roman"/>
          <w:b w:val="0"/>
          <w:bCs w:val="0"/>
          <w:shd w:val="clear" w:color="auto" w:fill="auto"/>
          <w:lang w:val="en-US" w:eastAsia="zh-CN"/>
        </w:rPr>
      </w:pPr>
      <w:bookmarkStart w:id="218" w:name="_Toc11760"/>
      <w:r>
        <w:rPr>
          <w:rFonts w:hint="default" w:ascii="Times New Roman" w:hAnsi="Times New Roman" w:eastAsia="方正公文小标宋" w:cs="Times New Roman"/>
          <w:b w:val="0"/>
          <w:bCs w:val="0"/>
          <w:shd w:val="clear" w:color="auto" w:fill="auto"/>
          <w:lang w:val="en-US" w:eastAsia="zh-CN"/>
        </w:rPr>
        <w:t>第</w:t>
      </w:r>
      <w:r>
        <w:rPr>
          <w:rFonts w:hint="eastAsia" w:ascii="Times New Roman" w:hAnsi="Times New Roman" w:eastAsia="方正公文小标宋" w:cs="Times New Roman"/>
          <w:b w:val="0"/>
          <w:bCs w:val="0"/>
          <w:shd w:val="clear" w:color="auto" w:fill="auto"/>
          <w:lang w:val="en-US" w:eastAsia="zh-CN"/>
        </w:rPr>
        <w:t>八</w:t>
      </w:r>
      <w:r>
        <w:rPr>
          <w:rFonts w:hint="default" w:ascii="Times New Roman" w:hAnsi="Times New Roman" w:eastAsia="方正公文小标宋" w:cs="Times New Roman"/>
          <w:b w:val="0"/>
          <w:bCs w:val="0"/>
          <w:shd w:val="clear" w:color="auto" w:fill="auto"/>
          <w:lang w:val="en-US" w:eastAsia="zh-CN"/>
        </w:rPr>
        <w:t>章 保障措施</w:t>
      </w:r>
      <w:bookmarkEnd w:id="189"/>
      <w:bookmarkEnd w:id="210"/>
      <w:bookmarkEnd w:id="218"/>
    </w:p>
    <w:p w14:paraId="0DD855AF">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建立健全防沙治沙规划实施保障机制，加强组织管理，严格依法治沙，落实资金保障，坚持科学治沙，鼓励全民参与，稳步推进防沙治沙高质量发展。</w:t>
      </w:r>
    </w:p>
    <w:p w14:paraId="3B8DB020">
      <w:pPr>
        <w:keepNext/>
        <w:keepLines/>
        <w:pageBreakBefore w:val="0"/>
        <w:widowControl w:val="0"/>
        <w:kinsoku/>
        <w:wordWrap/>
        <w:overflowPunct/>
        <w:topLinePunct w:val="0"/>
        <w:autoSpaceDE/>
        <w:autoSpaceDN/>
        <w:bidi w:val="0"/>
        <w:adjustRightInd/>
        <w:snapToGrid/>
        <w:spacing w:before="0" w:after="0" w:line="596" w:lineRule="exact"/>
        <w:ind w:firstLine="320" w:firstLineChars="10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219" w:name="_Toc15826"/>
      <w:bookmarkStart w:id="220" w:name="_Toc21571"/>
      <w:bookmarkStart w:id="221" w:name="_Toc21347"/>
      <w:r>
        <w:rPr>
          <w:rFonts w:hint="default" w:ascii="Times New Roman" w:hAnsi="Times New Roman" w:eastAsia="方正公文黑体" w:cs="Times New Roman"/>
          <w:b w:val="0"/>
          <w:bCs w:val="0"/>
          <w:kern w:val="2"/>
          <w:sz w:val="32"/>
          <w:szCs w:val="32"/>
          <w:shd w:val="clear" w:color="auto" w:fill="auto"/>
          <w:lang w:val="en-US" w:eastAsia="zh-CN" w:bidi="ar-SA"/>
        </w:rPr>
        <w:t>一、强化组织保障</w:t>
      </w:r>
      <w:bookmarkEnd w:id="219"/>
      <w:bookmarkEnd w:id="220"/>
      <w:bookmarkEnd w:id="221"/>
      <w:r>
        <w:rPr>
          <w:rFonts w:hint="default" w:ascii="Times New Roman" w:hAnsi="Times New Roman" w:eastAsia="方正公文黑体" w:cs="Times New Roman"/>
          <w:b w:val="0"/>
          <w:bCs w:val="0"/>
          <w:kern w:val="2"/>
          <w:sz w:val="32"/>
          <w:szCs w:val="32"/>
          <w:shd w:val="clear" w:color="auto" w:fill="auto"/>
          <w:lang w:val="en-US" w:eastAsia="zh-CN" w:bidi="ar-SA"/>
        </w:rPr>
        <w:t xml:space="preserve"> </w:t>
      </w:r>
    </w:p>
    <w:p w14:paraId="1F8D0D7C">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仿宋_GB2312" w:cs="Times New Roman"/>
          <w:shd w:val="clear" w:color="auto" w:fill="auto"/>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全面加强党对防沙治沙工作的领导，防沙治沙工作实行政府负责制，以林长制为抓手，成立县委书记、县长任总指挥长、县委分管领导任常务指挥长、县分管领导任副指挥长，各乡镇主要领导及相关部门主要负责同志为成员的阻击战指挥部，县人民政府对防沙治沙负总责，林草行政主管部门负责组织、协调、指导全县防沙治沙工作，县发改、财政、自然资源、生态环境、水利、农业农村等行政主管部门，按照职能分工，各负其责，密切配合，统筹推进阻击战工作。</w:t>
      </w:r>
    </w:p>
    <w:p w14:paraId="5F6A1376">
      <w:pPr>
        <w:pStyle w:val="3"/>
        <w:keepNext/>
        <w:keepLines/>
        <w:pageBreakBefore w:val="0"/>
        <w:widowControl/>
        <w:kinsoku/>
        <w:wordWrap/>
        <w:overflowPunct/>
        <w:topLinePunct w:val="0"/>
        <w:autoSpaceDE/>
        <w:autoSpaceDN/>
        <w:bidi w:val="0"/>
        <w:adjustRightInd/>
        <w:snapToGrid/>
        <w:spacing w:before="0" w:after="0" w:line="596" w:lineRule="exact"/>
        <w:ind w:firstLine="320" w:firstLineChars="100"/>
        <w:textAlignment w:val="auto"/>
        <w:rPr>
          <w:rFonts w:hint="default" w:ascii="Times New Roman" w:hAnsi="Times New Roman" w:eastAsia="方正公文黑体" w:cs="Times New Roman"/>
          <w:b w:val="0"/>
          <w:bCs w:val="0"/>
          <w:kern w:val="2"/>
          <w:sz w:val="32"/>
          <w:szCs w:val="32"/>
          <w:shd w:val="clear" w:color="auto" w:fill="auto"/>
          <w:lang w:val="en-US" w:eastAsia="zh-CN" w:bidi="ar-SA"/>
        </w:rPr>
      </w:pPr>
      <w:bookmarkStart w:id="222" w:name="_Toc16437"/>
      <w:bookmarkStart w:id="223" w:name="_Toc8527"/>
      <w:bookmarkStart w:id="224" w:name="_Toc4602"/>
      <w:r>
        <w:rPr>
          <w:rFonts w:hint="default" w:ascii="Times New Roman" w:hAnsi="Times New Roman" w:eastAsia="方正公文黑体" w:cs="Times New Roman"/>
          <w:b w:val="0"/>
          <w:bCs w:val="0"/>
          <w:kern w:val="2"/>
          <w:sz w:val="32"/>
          <w:szCs w:val="32"/>
          <w:shd w:val="clear" w:color="auto" w:fill="auto"/>
          <w:lang w:val="en-US" w:eastAsia="zh-CN" w:bidi="ar-SA"/>
        </w:rPr>
        <w:t>二、强化制度建设</w:t>
      </w:r>
      <w:bookmarkEnd w:id="222"/>
      <w:bookmarkEnd w:id="223"/>
      <w:bookmarkEnd w:id="224"/>
    </w:p>
    <w:p w14:paraId="61AA7676">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仿宋_GB2312" w:cs="Times New Roman"/>
          <w:shd w:val="clear" w:color="auto" w:fill="auto"/>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严格贯彻落实有关法律法规，贯彻落实国家总体规划任务。加大执法和监管力度，做到依法治理，依法管护，不断巩固和扩大防沙治沙工作成果。完善防沙治沙地方法规制度、技术规程，结合林长制建立完善荒漠生态效益补偿制度和防沙治沙奖励补助政策。严格实施国土空间用途管控、生态保护红线、沙化土地封禁保护修复、林草保护、沙区开发建设环境影响评价等制度，严格落实建设项目水资源论证和取水许可制度，加强水资源管理，保障生态用水。依法严厉打击破坏沙区植被和野生动植物资源、造成土地沙化及水土流失、非法征占用沙化土地等违法行为。实施工程质量责任制，保障工程建设质量和效益。加强法治教育和生态教育。</w:t>
      </w:r>
    </w:p>
    <w:p w14:paraId="324C253D">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225" w:name="_Toc24226"/>
      <w:bookmarkStart w:id="226" w:name="_Toc10510"/>
      <w:bookmarkStart w:id="227" w:name="_Toc1766"/>
      <w:r>
        <w:rPr>
          <w:rFonts w:hint="default" w:ascii="Times New Roman" w:hAnsi="Times New Roman" w:eastAsia="方正公文黑体" w:cs="Times New Roman"/>
          <w:b w:val="0"/>
          <w:bCs w:val="0"/>
          <w:kern w:val="2"/>
          <w:sz w:val="32"/>
          <w:szCs w:val="32"/>
          <w:shd w:val="clear" w:color="auto" w:fill="auto"/>
          <w:lang w:val="en-US" w:eastAsia="zh-CN" w:bidi="ar-SA"/>
        </w:rPr>
        <w:t>三、强化资金保障</w:t>
      </w:r>
      <w:bookmarkEnd w:id="225"/>
      <w:bookmarkEnd w:id="226"/>
      <w:bookmarkEnd w:id="227"/>
    </w:p>
    <w:p w14:paraId="38F4BBAA">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仿宋_GB2312" w:cs="Times New Roman"/>
          <w:color w:val="000000"/>
          <w:kern w:val="0"/>
          <w:sz w:val="31"/>
          <w:szCs w:val="31"/>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积极跑办筹措中央预算资金、自治区财政资金等资金用于防沙治沙项目，国家“三北”六期规划中期修编时将符合条件的防沙治沙项目应纳尽纳。</w:t>
      </w:r>
    </w:p>
    <w:p w14:paraId="32B9DF24">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228" w:name="_Toc9722"/>
      <w:bookmarkStart w:id="229" w:name="_Toc23933"/>
      <w:bookmarkStart w:id="230" w:name="_Toc2614"/>
      <w:r>
        <w:rPr>
          <w:rFonts w:hint="default" w:ascii="Times New Roman" w:hAnsi="Times New Roman" w:eastAsia="方正公文黑体" w:cs="Times New Roman"/>
          <w:b w:val="0"/>
          <w:bCs w:val="0"/>
          <w:kern w:val="2"/>
          <w:sz w:val="32"/>
          <w:szCs w:val="32"/>
          <w:shd w:val="clear" w:color="auto" w:fill="auto"/>
          <w:lang w:val="en-US" w:eastAsia="zh-CN" w:bidi="ar-SA"/>
        </w:rPr>
        <w:t>四、强化资源要素保障</w:t>
      </w:r>
      <w:bookmarkEnd w:id="228"/>
      <w:bookmarkEnd w:id="229"/>
      <w:bookmarkEnd w:id="230"/>
    </w:p>
    <w:p w14:paraId="1571F5D4">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仿宋_GB2312" w:cs="Times New Roman"/>
          <w:color w:val="000000"/>
          <w:kern w:val="0"/>
          <w:sz w:val="31"/>
          <w:szCs w:val="31"/>
          <w:shd w:val="clear" w:color="auto" w:fill="auto"/>
          <w:lang w:val="en-US" w:eastAsia="zh-CN" w:bidi="ar"/>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坚持系统谋划，严格实施国土空间用途管控，留足必要的生态空间，自然资源部门优先确保塔克拉玛干沙漠边缘阻击战防沙治沙生态用地，鼓励当地农牧民在离村庄较近的沙区，优先从事防沙治沙。水利部门统筹合理调配全县水资源，</w:t>
      </w:r>
      <w:r>
        <w:rPr>
          <w:rFonts w:hint="eastAsia" w:ascii="Times New Roman" w:hAnsi="Times New Roman" w:eastAsia="方正仿宋_GBK" w:cs="Times New Roman"/>
          <w:snapToGrid w:val="0"/>
          <w:spacing w:val="6"/>
          <w:kern w:val="0"/>
          <w:sz w:val="32"/>
          <w:szCs w:val="32"/>
          <w:shd w:val="clear" w:color="auto" w:fill="auto"/>
          <w:lang w:val="en-US" w:eastAsia="zh-CN" w:bidi="ar-SA"/>
        </w:rPr>
        <w:t>在</w:t>
      </w:r>
      <w:r>
        <w:rPr>
          <w:rFonts w:hint="default" w:ascii="Times New Roman" w:hAnsi="Times New Roman" w:eastAsia="方正仿宋_GBK" w:cs="Times New Roman"/>
          <w:snapToGrid w:val="0"/>
          <w:spacing w:val="6"/>
          <w:kern w:val="0"/>
          <w:sz w:val="32"/>
          <w:szCs w:val="32"/>
          <w:shd w:val="clear" w:color="auto" w:fill="auto"/>
          <w:lang w:val="en-US" w:eastAsia="zh-CN" w:bidi="ar-SA"/>
        </w:rPr>
        <w:t>优先保障国民经济用水的前提下配置防沙治沙用水，在资金保障情况下推进蓄水池、干渠、管网等设施建设，解决水资源时空分布极为不均</w:t>
      </w:r>
      <w:r>
        <w:rPr>
          <w:rFonts w:hint="eastAsia" w:ascii="Times New Roman" w:hAnsi="Times New Roman" w:eastAsia="方正仿宋_GBK" w:cs="Times New Roman"/>
          <w:snapToGrid w:val="0"/>
          <w:spacing w:val="6"/>
          <w:kern w:val="0"/>
          <w:sz w:val="32"/>
          <w:szCs w:val="32"/>
          <w:shd w:val="clear" w:color="auto" w:fill="auto"/>
          <w:lang w:val="en-US" w:eastAsia="zh-CN" w:bidi="ar-SA"/>
        </w:rPr>
        <w:t>、</w:t>
      </w:r>
      <w:r>
        <w:rPr>
          <w:rFonts w:hint="default" w:ascii="Times New Roman" w:hAnsi="Times New Roman" w:eastAsia="方正仿宋_GBK" w:cs="Times New Roman"/>
          <w:snapToGrid w:val="0"/>
          <w:spacing w:val="6"/>
          <w:kern w:val="0"/>
          <w:sz w:val="32"/>
          <w:szCs w:val="32"/>
          <w:shd w:val="clear" w:color="auto" w:fill="auto"/>
          <w:lang w:val="en-US" w:eastAsia="zh-CN" w:bidi="ar-SA"/>
        </w:rPr>
        <w:t>工程性缺水的问题，在落实《关于支</w:t>
      </w:r>
      <w:bookmarkStart w:id="231" w:name="_Toc10757"/>
      <w:r>
        <w:rPr>
          <w:rFonts w:hint="default" w:ascii="Times New Roman" w:hAnsi="Times New Roman" w:eastAsia="方正仿宋_GBK" w:cs="Times New Roman"/>
          <w:snapToGrid w:val="0"/>
          <w:spacing w:val="6"/>
          <w:kern w:val="0"/>
          <w:sz w:val="32"/>
          <w:szCs w:val="32"/>
          <w:shd w:val="clear" w:color="auto" w:fill="auto"/>
          <w:lang w:val="en-US" w:eastAsia="zh-CN" w:bidi="ar-SA"/>
        </w:rPr>
        <w:t>持塔克拉玛干沙漠边缘阻击战的九条措施》情况下保障生态</w:t>
      </w:r>
      <w:bookmarkEnd w:id="231"/>
      <w:r>
        <w:rPr>
          <w:rFonts w:hint="default" w:ascii="Times New Roman" w:hAnsi="Times New Roman" w:eastAsia="方正仿宋_GBK" w:cs="Times New Roman"/>
          <w:snapToGrid w:val="0"/>
          <w:spacing w:val="6"/>
          <w:kern w:val="0"/>
          <w:sz w:val="32"/>
          <w:szCs w:val="32"/>
          <w:shd w:val="clear" w:color="auto" w:fill="auto"/>
          <w:lang w:val="en-US" w:eastAsia="zh-CN" w:bidi="ar-SA"/>
        </w:rPr>
        <w:t>用水。</w:t>
      </w:r>
    </w:p>
    <w:p w14:paraId="44F71EEC">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232" w:name="_Toc23849"/>
      <w:bookmarkStart w:id="233" w:name="_Toc7523"/>
      <w:bookmarkStart w:id="234" w:name="_Toc30893"/>
      <w:r>
        <w:rPr>
          <w:rFonts w:hint="default" w:ascii="Times New Roman" w:hAnsi="Times New Roman" w:eastAsia="方正公文黑体" w:cs="Times New Roman"/>
          <w:b w:val="0"/>
          <w:bCs w:val="0"/>
          <w:kern w:val="2"/>
          <w:sz w:val="32"/>
          <w:szCs w:val="32"/>
          <w:shd w:val="clear" w:color="auto" w:fill="auto"/>
          <w:lang w:val="en-US" w:eastAsia="zh-CN" w:bidi="ar-SA"/>
        </w:rPr>
        <w:t>五、强化科技支撑</w:t>
      </w:r>
      <w:bookmarkEnd w:id="232"/>
      <w:bookmarkEnd w:id="233"/>
      <w:bookmarkEnd w:id="234"/>
    </w:p>
    <w:p w14:paraId="6F91D447">
      <w:pPr>
        <w:keepNext w:val="0"/>
        <w:keepLines w:val="0"/>
        <w:pageBreakBefore w:val="0"/>
        <w:widowControl/>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仿宋_GB2312" w:cs="Times New Roman"/>
          <w:shd w:val="clear" w:color="auto" w:fill="auto"/>
        </w:rPr>
      </w:pPr>
      <w:r>
        <w:rPr>
          <w:rFonts w:hint="default" w:ascii="Times New Roman" w:hAnsi="Times New Roman" w:eastAsia="方正仿宋_GBK" w:cs="Times New Roman"/>
          <w:snapToGrid w:val="0"/>
          <w:spacing w:val="6"/>
          <w:kern w:val="0"/>
          <w:sz w:val="32"/>
          <w:szCs w:val="32"/>
          <w:shd w:val="clear" w:color="auto" w:fill="auto"/>
          <w:lang w:val="en-US" w:eastAsia="zh-CN" w:bidi="ar-SA"/>
        </w:rPr>
        <w:t>加强基础科学和应用技术研究，针对工程建设中存在的关键性技术难题组织科研攻关，研究分析沙区植被与沙区灾害相关性，为因害设防、科学开展沙化防治工作提供决策依据。加强对治沙管理人员、基层技术人员和沙区农民的技术培训，完善技术推广和服务体系。完善沙化调查监测体系，提高监测时效，监测数据适时共享，及时发布沙化调查监测成果，不断推进科学治沙。</w:t>
      </w:r>
    </w:p>
    <w:p w14:paraId="7C7C383E">
      <w:pPr>
        <w:keepNext/>
        <w:keepLines/>
        <w:pageBreakBefore w:val="0"/>
        <w:widowControl w:val="0"/>
        <w:kinsoku/>
        <w:wordWrap/>
        <w:overflowPunct/>
        <w:topLinePunct w:val="0"/>
        <w:autoSpaceDE/>
        <w:autoSpaceDN/>
        <w:bidi w:val="0"/>
        <w:adjustRightInd/>
        <w:snapToGrid/>
        <w:spacing w:before="0" w:after="0" w:line="596" w:lineRule="exact"/>
        <w:ind w:left="0" w:leftChars="0" w:firstLine="480" w:firstLineChars="150"/>
        <w:jc w:val="both"/>
        <w:textAlignment w:val="auto"/>
        <w:outlineLvl w:val="1"/>
        <w:rPr>
          <w:rFonts w:hint="default" w:ascii="Times New Roman" w:hAnsi="Times New Roman" w:eastAsia="方正公文黑体" w:cs="Times New Roman"/>
          <w:b w:val="0"/>
          <w:bCs w:val="0"/>
          <w:kern w:val="2"/>
          <w:sz w:val="32"/>
          <w:szCs w:val="32"/>
          <w:shd w:val="clear" w:color="auto" w:fill="auto"/>
          <w:lang w:val="en-US" w:eastAsia="zh-CN" w:bidi="ar-SA"/>
        </w:rPr>
      </w:pPr>
      <w:bookmarkStart w:id="235" w:name="_Toc23445"/>
      <w:bookmarkStart w:id="236" w:name="_Toc2430"/>
      <w:bookmarkStart w:id="237" w:name="_Toc21089"/>
      <w:r>
        <w:rPr>
          <w:rFonts w:hint="default" w:ascii="Times New Roman" w:hAnsi="Times New Roman" w:eastAsia="方正公文黑体" w:cs="Times New Roman"/>
          <w:b w:val="0"/>
          <w:bCs w:val="0"/>
          <w:kern w:val="2"/>
          <w:sz w:val="32"/>
          <w:szCs w:val="32"/>
          <w:shd w:val="clear" w:color="auto" w:fill="auto"/>
          <w:lang w:val="en-US" w:eastAsia="zh-CN" w:bidi="ar-SA"/>
        </w:rPr>
        <w:t>六、加强宣传教育</w:t>
      </w:r>
      <w:bookmarkEnd w:id="235"/>
      <w:bookmarkEnd w:id="236"/>
      <w:bookmarkEnd w:id="237"/>
    </w:p>
    <w:p w14:paraId="11AFE59D">
      <w:pPr>
        <w:keepNext w:val="0"/>
        <w:keepLines w:val="0"/>
        <w:pageBreakBefore w:val="0"/>
        <w:widowControl/>
        <w:numPr>
          <w:ilvl w:val="0"/>
          <w:numId w:val="0"/>
        </w:numPr>
        <w:suppressLineNumbers w:val="0"/>
        <w:kinsoku/>
        <w:wordWrap/>
        <w:overflowPunct/>
        <w:topLinePunct w:val="0"/>
        <w:autoSpaceDE/>
        <w:autoSpaceDN/>
        <w:bidi w:val="0"/>
        <w:adjustRightInd/>
        <w:snapToGrid/>
        <w:spacing w:line="596" w:lineRule="exact"/>
        <w:ind w:firstLine="664" w:firstLineChars="200"/>
        <w:jc w:val="left"/>
        <w:textAlignment w:val="auto"/>
        <w:rPr>
          <w:rFonts w:hint="default" w:ascii="Times New Roman" w:hAnsi="Times New Roman" w:eastAsia="方正仿宋_GBK" w:cs="Times New Roman"/>
          <w:snapToGrid w:val="0"/>
          <w:spacing w:val="6"/>
          <w:kern w:val="0"/>
          <w:sz w:val="32"/>
          <w:szCs w:val="32"/>
          <w:shd w:val="clear" w:color="auto" w:fill="auto"/>
          <w:lang w:val="en-US" w:eastAsia="zh-CN" w:bidi="ar-SA"/>
        </w:rPr>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方正仿宋_GBK" w:cs="Times New Roman"/>
          <w:snapToGrid w:val="0"/>
          <w:spacing w:val="6"/>
          <w:kern w:val="0"/>
          <w:sz w:val="32"/>
          <w:szCs w:val="32"/>
          <w:shd w:val="clear" w:color="auto" w:fill="auto"/>
          <w:lang w:val="en-US" w:eastAsia="zh-CN" w:bidi="ar-SA"/>
        </w:rPr>
        <w:t>充分利用传统媒体和新媒体，大力开展防沙治沙宣传教育，鼓励基层群众自治组织、社会组织、志愿者开展防沙治沙宣传活动，引导全民参与，增强全民意识。实行防沙治沙表彰奖励制度，对在防沙治沙事业中取得显著成绩的单位和个人给予表彰奖励，通过树立和宣传防沙治沙先进人物典型，发挥榜样的激励、带动作用。加强生态文明教育基地建设，以国家沙漠公园等为载体，提供丰富多样的生态文化创意产品与服务，进一步发展沙漠文化、绿洲文化。</w:t>
      </w:r>
    </w:p>
    <w:p w14:paraId="60A8543E">
      <w:pPr>
        <w:pStyle w:val="3"/>
        <w:outlineLvl w:val="0"/>
        <w:rPr>
          <w:rFonts w:hint="default" w:ascii="Times New Roman" w:hAnsi="Times New Roman" w:eastAsia="仿宋_GB2312" w:cs="Times New Roman"/>
          <w:b w:val="0"/>
          <w:color w:val="000000"/>
          <w:kern w:val="0"/>
          <w:sz w:val="31"/>
          <w:szCs w:val="31"/>
          <w:shd w:val="clear" w:color="auto" w:fill="auto"/>
          <w:lang w:val="en-US" w:eastAsia="zh-CN" w:bidi="ar"/>
        </w:rPr>
      </w:pPr>
      <w:bookmarkStart w:id="238" w:name="_Toc19429"/>
      <w:bookmarkStart w:id="239" w:name="_Toc1353"/>
      <w:bookmarkStart w:id="240" w:name="_Toc8543"/>
      <w:r>
        <w:rPr>
          <w:rFonts w:hint="default" w:ascii="Times New Roman" w:hAnsi="Times New Roman" w:eastAsia="仿宋_GB2312" w:cs="Times New Roman"/>
          <w:b w:val="0"/>
          <w:color w:val="000000"/>
          <w:kern w:val="0"/>
          <w:sz w:val="31"/>
          <w:szCs w:val="31"/>
          <w:shd w:val="clear" w:color="auto" w:fill="auto"/>
          <w:lang w:val="en-US" w:eastAsia="zh-CN" w:bidi="ar"/>
        </w:rPr>
        <w:t>附表1</w:t>
      </w:r>
      <w:bookmarkEnd w:id="238"/>
      <w:bookmarkEnd w:id="239"/>
      <w:bookmarkEnd w:id="240"/>
    </w:p>
    <w:p w14:paraId="1E3E730A">
      <w:pPr>
        <w:jc w:val="center"/>
        <w:outlineLvl w:val="0"/>
        <w:rPr>
          <w:rFonts w:hint="default" w:ascii="Times New Roman" w:hAnsi="Times New Roman" w:eastAsia="仿宋_GB2312" w:cs="Times New Roman"/>
          <w:b/>
          <w:kern w:val="0"/>
          <w:sz w:val="32"/>
          <w:szCs w:val="32"/>
          <w:highlight w:val="none"/>
          <w:shd w:val="clear" w:color="auto" w:fill="auto"/>
          <w:lang w:val="en-US" w:eastAsia="zh-CN" w:bidi="ar"/>
        </w:rPr>
      </w:pPr>
      <w:bookmarkStart w:id="241" w:name="_Toc26191"/>
      <w:bookmarkStart w:id="242" w:name="_Toc8516"/>
      <w:r>
        <w:rPr>
          <w:rFonts w:hint="default" w:ascii="Times New Roman" w:hAnsi="Times New Roman" w:cs="Times New Roman"/>
          <w:b/>
          <w:kern w:val="0"/>
          <w:sz w:val="32"/>
          <w:szCs w:val="32"/>
          <w:highlight w:val="none"/>
          <w:shd w:val="clear" w:color="auto" w:fill="auto"/>
          <w:lang w:val="en-US" w:eastAsia="zh-CN" w:bidi="ar"/>
        </w:rPr>
        <w:t>伊吾县</w:t>
      </w:r>
      <w:r>
        <w:rPr>
          <w:rFonts w:hint="default" w:ascii="Times New Roman" w:hAnsi="Times New Roman" w:eastAsia="仿宋_GB2312" w:cs="Times New Roman"/>
          <w:b/>
          <w:kern w:val="0"/>
          <w:sz w:val="32"/>
          <w:szCs w:val="32"/>
          <w:highlight w:val="none"/>
          <w:shd w:val="clear" w:color="auto" w:fill="auto"/>
          <w:lang w:val="en-US" w:eastAsia="zh-CN" w:bidi="ar"/>
        </w:rPr>
        <w:t>防沙治沙建设内容与规模表</w:t>
      </w:r>
      <w:bookmarkEnd w:id="241"/>
      <w:bookmarkEnd w:id="242"/>
    </w:p>
    <w:p w14:paraId="0607BF0B">
      <w:pPr>
        <w:jc w:val="right"/>
        <w:outlineLvl w:val="0"/>
        <w:rPr>
          <w:rFonts w:hint="default" w:ascii="Times New Roman" w:hAnsi="Times New Roman" w:eastAsia="宋体" w:cs="Times New Roman"/>
          <w:spacing w:val="-6"/>
          <w:kern w:val="2"/>
          <w:sz w:val="21"/>
          <w:szCs w:val="24"/>
          <w:lang w:val="en-US" w:eastAsia="zh-CN" w:bidi="ar-SA"/>
        </w:rPr>
      </w:pPr>
      <w:bookmarkStart w:id="243" w:name="_Toc2102"/>
      <w:r>
        <w:rPr>
          <w:rFonts w:hint="eastAsia" w:ascii="Times New Roman" w:hAnsi="Times New Roman" w:eastAsia="宋体" w:cs="Times New Roman"/>
          <w:spacing w:val="-6"/>
          <w:kern w:val="2"/>
          <w:sz w:val="21"/>
          <w:szCs w:val="24"/>
          <w:lang w:val="en-US" w:eastAsia="zh-CN" w:bidi="ar-SA"/>
        </w:rPr>
        <w:t>单位：公顷</w:t>
      </w:r>
      <w:bookmarkEnd w:id="243"/>
    </w:p>
    <w:tbl>
      <w:tblPr>
        <w:tblStyle w:val="14"/>
        <w:tblW w:w="83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1"/>
        <w:gridCol w:w="909"/>
        <w:gridCol w:w="1131"/>
        <w:gridCol w:w="1500"/>
        <w:gridCol w:w="1260"/>
        <w:gridCol w:w="1860"/>
      </w:tblGrid>
      <w:tr w14:paraId="515F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01"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1A5193">
            <w:pPr>
              <w:rPr>
                <w:rFonts w:hint="eastAsia" w:ascii="宋体" w:hAnsi="宋体" w:eastAsia="宋体" w:cs="宋体"/>
                <w:i w:val="0"/>
                <w:iCs w:val="0"/>
                <w:color w:val="000000"/>
                <w:sz w:val="22"/>
                <w:szCs w:val="22"/>
                <w:u w:val="none"/>
              </w:rPr>
            </w:pPr>
          </w:p>
        </w:tc>
        <w:tc>
          <w:tcPr>
            <w:tcW w:w="909" w:type="dxa"/>
            <w:vMerge w:val="restart"/>
            <w:tcBorders>
              <w:top w:val="single" w:color="000000" w:sz="8" w:space="0"/>
              <w:left w:val="nil"/>
              <w:bottom w:val="single" w:color="000000" w:sz="8" w:space="0"/>
              <w:right w:val="single" w:color="000000" w:sz="8" w:space="0"/>
            </w:tcBorders>
            <w:shd w:val="clear" w:color="auto" w:fill="auto"/>
            <w:vAlign w:val="center"/>
          </w:tcPr>
          <w:p w14:paraId="17007D95">
            <w:pPr>
              <w:keepNext w:val="0"/>
              <w:keepLines w:val="0"/>
              <w:widowControl/>
              <w:suppressLineNumbers w:val="0"/>
              <w:jc w:val="center"/>
              <w:textAlignment w:val="center"/>
              <w:rPr>
                <w:rFonts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总计</w:t>
            </w:r>
          </w:p>
        </w:tc>
        <w:tc>
          <w:tcPr>
            <w:tcW w:w="3891" w:type="dxa"/>
            <w:gridSpan w:val="3"/>
            <w:vMerge w:val="restart"/>
            <w:tcBorders>
              <w:top w:val="single" w:color="000000" w:sz="8" w:space="0"/>
              <w:left w:val="nil"/>
              <w:bottom w:val="single" w:color="000000" w:sz="8" w:space="0"/>
              <w:right w:val="single" w:color="000000" w:sz="8" w:space="0"/>
            </w:tcBorders>
            <w:shd w:val="clear" w:color="auto" w:fill="auto"/>
            <w:vAlign w:val="center"/>
          </w:tcPr>
          <w:p w14:paraId="2A9B37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国土绿化提升工程</w:t>
            </w:r>
          </w:p>
        </w:tc>
        <w:tc>
          <w:tcPr>
            <w:tcW w:w="1860" w:type="dxa"/>
            <w:vMerge w:val="restart"/>
            <w:tcBorders>
              <w:top w:val="single" w:color="000000" w:sz="8" w:space="0"/>
              <w:left w:val="nil"/>
              <w:bottom w:val="single" w:color="000000" w:sz="8" w:space="0"/>
              <w:right w:val="single" w:color="000000" w:sz="8" w:space="0"/>
            </w:tcBorders>
            <w:shd w:val="clear" w:color="auto" w:fill="auto"/>
            <w:vAlign w:val="center"/>
          </w:tcPr>
          <w:p w14:paraId="64AB5D8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退化草原治理工程</w:t>
            </w:r>
          </w:p>
        </w:tc>
      </w:tr>
      <w:tr w14:paraId="064E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CAC469">
            <w:pPr>
              <w:rPr>
                <w:rFonts w:hint="eastAsia" w:ascii="宋体" w:hAnsi="宋体" w:eastAsia="宋体" w:cs="宋体"/>
                <w:i w:val="0"/>
                <w:iCs w:val="0"/>
                <w:color w:val="000000"/>
                <w:sz w:val="22"/>
                <w:szCs w:val="22"/>
                <w:u w:val="none"/>
              </w:rPr>
            </w:pPr>
          </w:p>
        </w:tc>
        <w:tc>
          <w:tcPr>
            <w:tcW w:w="909" w:type="dxa"/>
            <w:vMerge w:val="continue"/>
            <w:tcBorders>
              <w:top w:val="single" w:color="000000" w:sz="8" w:space="0"/>
              <w:left w:val="nil"/>
              <w:bottom w:val="single" w:color="000000" w:sz="8" w:space="0"/>
              <w:right w:val="single" w:color="000000" w:sz="8" w:space="0"/>
            </w:tcBorders>
            <w:shd w:val="clear" w:color="auto" w:fill="auto"/>
            <w:vAlign w:val="center"/>
          </w:tcPr>
          <w:p w14:paraId="36C97BC7">
            <w:pPr>
              <w:jc w:val="center"/>
              <w:rPr>
                <w:rFonts w:hint="eastAsia" w:ascii="方正黑体_GBK" w:hAnsi="方正黑体_GBK" w:eastAsia="方正黑体_GBK" w:cs="方正黑体_GBK"/>
                <w:i w:val="0"/>
                <w:iCs w:val="0"/>
                <w:color w:val="000000"/>
                <w:sz w:val="20"/>
                <w:szCs w:val="20"/>
                <w:u w:val="none"/>
              </w:rPr>
            </w:pPr>
          </w:p>
        </w:tc>
        <w:tc>
          <w:tcPr>
            <w:tcW w:w="3891" w:type="dxa"/>
            <w:gridSpan w:val="3"/>
            <w:vMerge w:val="continue"/>
            <w:tcBorders>
              <w:top w:val="single" w:color="000000" w:sz="8" w:space="0"/>
              <w:left w:val="nil"/>
              <w:bottom w:val="single" w:color="000000" w:sz="8" w:space="0"/>
              <w:right w:val="single" w:color="000000" w:sz="8" w:space="0"/>
            </w:tcBorders>
            <w:shd w:val="clear" w:color="auto" w:fill="auto"/>
            <w:vAlign w:val="center"/>
          </w:tcPr>
          <w:p w14:paraId="40CB88E8">
            <w:pPr>
              <w:jc w:val="center"/>
              <w:rPr>
                <w:rFonts w:hint="eastAsia" w:ascii="方正黑体_GBK" w:hAnsi="方正黑体_GBK" w:eastAsia="方正黑体_GBK" w:cs="方正黑体_GBK"/>
                <w:i w:val="0"/>
                <w:iCs w:val="0"/>
                <w:color w:val="000000"/>
                <w:sz w:val="20"/>
                <w:szCs w:val="20"/>
                <w:u w:val="none"/>
              </w:rPr>
            </w:pPr>
          </w:p>
        </w:tc>
        <w:tc>
          <w:tcPr>
            <w:tcW w:w="1860" w:type="dxa"/>
            <w:vMerge w:val="continue"/>
            <w:tcBorders>
              <w:top w:val="single" w:color="000000" w:sz="8" w:space="0"/>
              <w:left w:val="nil"/>
              <w:bottom w:val="single" w:color="000000" w:sz="8" w:space="0"/>
              <w:right w:val="single" w:color="000000" w:sz="8" w:space="0"/>
            </w:tcBorders>
            <w:shd w:val="clear" w:color="auto" w:fill="auto"/>
            <w:vAlign w:val="center"/>
          </w:tcPr>
          <w:p w14:paraId="6E57B22C">
            <w:pPr>
              <w:jc w:val="center"/>
              <w:rPr>
                <w:rFonts w:hint="eastAsia" w:ascii="方正黑体_GBK" w:hAnsi="方正黑体_GBK" w:eastAsia="方正黑体_GBK" w:cs="方正黑体_GBK"/>
                <w:i w:val="0"/>
                <w:iCs w:val="0"/>
                <w:color w:val="000000"/>
                <w:sz w:val="20"/>
                <w:szCs w:val="20"/>
                <w:u w:val="none"/>
              </w:rPr>
            </w:pPr>
          </w:p>
        </w:tc>
      </w:tr>
      <w:tr w14:paraId="5240F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640B07">
            <w:pPr>
              <w:rPr>
                <w:rFonts w:hint="eastAsia" w:ascii="宋体" w:hAnsi="宋体" w:eastAsia="宋体" w:cs="宋体"/>
                <w:i w:val="0"/>
                <w:iCs w:val="0"/>
                <w:color w:val="000000"/>
                <w:sz w:val="22"/>
                <w:szCs w:val="22"/>
                <w:u w:val="none"/>
              </w:rPr>
            </w:pPr>
          </w:p>
        </w:tc>
        <w:tc>
          <w:tcPr>
            <w:tcW w:w="909" w:type="dxa"/>
            <w:vMerge w:val="continue"/>
            <w:tcBorders>
              <w:top w:val="single" w:color="000000" w:sz="8" w:space="0"/>
              <w:left w:val="nil"/>
              <w:bottom w:val="single" w:color="000000" w:sz="8" w:space="0"/>
              <w:right w:val="single" w:color="000000" w:sz="8" w:space="0"/>
            </w:tcBorders>
            <w:shd w:val="clear" w:color="auto" w:fill="auto"/>
            <w:vAlign w:val="center"/>
          </w:tcPr>
          <w:p w14:paraId="71206A16">
            <w:pPr>
              <w:jc w:val="center"/>
              <w:rPr>
                <w:rFonts w:hint="eastAsia" w:ascii="方正黑体_GBK" w:hAnsi="方正黑体_GBK" w:eastAsia="方正黑体_GBK" w:cs="方正黑体_GBK"/>
                <w:i w:val="0"/>
                <w:iCs w:val="0"/>
                <w:color w:val="000000"/>
                <w:sz w:val="20"/>
                <w:szCs w:val="20"/>
                <w:u w:val="none"/>
              </w:rPr>
            </w:pPr>
          </w:p>
        </w:tc>
        <w:tc>
          <w:tcPr>
            <w:tcW w:w="1131" w:type="dxa"/>
            <w:vMerge w:val="restart"/>
            <w:tcBorders>
              <w:top w:val="single" w:color="000000" w:sz="8" w:space="0"/>
              <w:left w:val="single" w:color="000000" w:sz="8" w:space="0"/>
              <w:bottom w:val="single" w:color="000000" w:sz="8" w:space="0"/>
              <w:right w:val="nil"/>
            </w:tcBorders>
            <w:shd w:val="clear" w:color="auto" w:fill="auto"/>
            <w:vAlign w:val="center"/>
          </w:tcPr>
          <w:p w14:paraId="06D1B71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小计</w:t>
            </w:r>
          </w:p>
        </w:tc>
        <w:tc>
          <w:tcPr>
            <w:tcW w:w="150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30B160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封山（沙）育林</w:t>
            </w:r>
          </w:p>
        </w:tc>
        <w:tc>
          <w:tcPr>
            <w:tcW w:w="12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997A84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退化林修复</w:t>
            </w:r>
          </w:p>
        </w:tc>
        <w:tc>
          <w:tcPr>
            <w:tcW w:w="1860" w:type="dxa"/>
            <w:vMerge w:val="restart"/>
            <w:tcBorders>
              <w:top w:val="nil"/>
              <w:left w:val="nil"/>
              <w:bottom w:val="single" w:color="000000" w:sz="8" w:space="0"/>
              <w:right w:val="single" w:color="000000" w:sz="8" w:space="0"/>
            </w:tcBorders>
            <w:shd w:val="clear" w:color="auto" w:fill="auto"/>
            <w:vAlign w:val="center"/>
          </w:tcPr>
          <w:p w14:paraId="69BA152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草原改良</w:t>
            </w:r>
          </w:p>
        </w:tc>
      </w:tr>
      <w:tr w14:paraId="12277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0012D5">
            <w:pPr>
              <w:rPr>
                <w:rFonts w:hint="eastAsia" w:ascii="宋体" w:hAnsi="宋体" w:eastAsia="宋体" w:cs="宋体"/>
                <w:i w:val="0"/>
                <w:iCs w:val="0"/>
                <w:color w:val="000000"/>
                <w:sz w:val="22"/>
                <w:szCs w:val="22"/>
                <w:u w:val="none"/>
              </w:rPr>
            </w:pPr>
          </w:p>
        </w:tc>
        <w:tc>
          <w:tcPr>
            <w:tcW w:w="909" w:type="dxa"/>
            <w:vMerge w:val="continue"/>
            <w:tcBorders>
              <w:top w:val="single" w:color="000000" w:sz="8" w:space="0"/>
              <w:left w:val="nil"/>
              <w:bottom w:val="single" w:color="000000" w:sz="8" w:space="0"/>
              <w:right w:val="single" w:color="000000" w:sz="8" w:space="0"/>
            </w:tcBorders>
            <w:shd w:val="clear" w:color="auto" w:fill="auto"/>
            <w:vAlign w:val="center"/>
          </w:tcPr>
          <w:p w14:paraId="492F2A23">
            <w:pPr>
              <w:jc w:val="center"/>
              <w:rPr>
                <w:rFonts w:hint="eastAsia" w:ascii="方正黑体_GBK" w:hAnsi="方正黑体_GBK" w:eastAsia="方正黑体_GBK" w:cs="方正黑体_GBK"/>
                <w:i w:val="0"/>
                <w:iCs w:val="0"/>
                <w:color w:val="000000"/>
                <w:sz w:val="20"/>
                <w:szCs w:val="20"/>
                <w:u w:val="none"/>
              </w:rPr>
            </w:pPr>
          </w:p>
        </w:tc>
        <w:tc>
          <w:tcPr>
            <w:tcW w:w="1131" w:type="dxa"/>
            <w:vMerge w:val="continue"/>
            <w:tcBorders>
              <w:top w:val="single" w:color="000000" w:sz="8" w:space="0"/>
              <w:left w:val="single" w:color="000000" w:sz="8" w:space="0"/>
              <w:bottom w:val="single" w:color="000000" w:sz="8" w:space="0"/>
              <w:right w:val="nil"/>
            </w:tcBorders>
            <w:shd w:val="clear" w:color="auto" w:fill="auto"/>
            <w:vAlign w:val="center"/>
          </w:tcPr>
          <w:p w14:paraId="31626292">
            <w:pPr>
              <w:jc w:val="center"/>
              <w:rPr>
                <w:rFonts w:hint="eastAsia" w:ascii="方正黑体_GBK" w:hAnsi="方正黑体_GBK" w:eastAsia="方正黑体_GBK" w:cs="方正黑体_GBK"/>
                <w:i w:val="0"/>
                <w:iCs w:val="0"/>
                <w:color w:val="000000"/>
                <w:sz w:val="20"/>
                <w:szCs w:val="20"/>
                <w:u w:val="none"/>
              </w:rPr>
            </w:pPr>
          </w:p>
        </w:tc>
        <w:tc>
          <w:tcPr>
            <w:tcW w:w="150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B70FAE">
            <w:pPr>
              <w:jc w:val="center"/>
              <w:rPr>
                <w:rFonts w:hint="eastAsia" w:ascii="方正黑体_GBK" w:hAnsi="方正黑体_GBK" w:eastAsia="方正黑体_GBK" w:cs="方正黑体_GBK"/>
                <w:i w:val="0"/>
                <w:iCs w:val="0"/>
                <w:color w:val="000000"/>
                <w:sz w:val="20"/>
                <w:szCs w:val="20"/>
                <w:u w:val="none"/>
              </w:rPr>
            </w:pPr>
          </w:p>
        </w:tc>
        <w:tc>
          <w:tcPr>
            <w:tcW w:w="12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B1B53A">
            <w:pPr>
              <w:jc w:val="center"/>
              <w:rPr>
                <w:rFonts w:hint="eastAsia" w:ascii="方正黑体_GBK" w:hAnsi="方正黑体_GBK" w:eastAsia="方正黑体_GBK" w:cs="方正黑体_GBK"/>
                <w:i w:val="0"/>
                <w:iCs w:val="0"/>
                <w:color w:val="000000"/>
                <w:sz w:val="20"/>
                <w:szCs w:val="20"/>
                <w:u w:val="none"/>
              </w:rPr>
            </w:pPr>
          </w:p>
        </w:tc>
        <w:tc>
          <w:tcPr>
            <w:tcW w:w="1860" w:type="dxa"/>
            <w:vMerge w:val="continue"/>
            <w:tcBorders>
              <w:top w:val="nil"/>
              <w:left w:val="nil"/>
              <w:bottom w:val="single" w:color="000000" w:sz="8" w:space="0"/>
              <w:right w:val="single" w:color="000000" w:sz="8" w:space="0"/>
            </w:tcBorders>
            <w:shd w:val="clear" w:color="auto" w:fill="auto"/>
            <w:vAlign w:val="center"/>
          </w:tcPr>
          <w:p w14:paraId="0401722C">
            <w:pPr>
              <w:jc w:val="center"/>
              <w:rPr>
                <w:rFonts w:hint="eastAsia" w:ascii="方正黑体_GBK" w:hAnsi="方正黑体_GBK" w:eastAsia="方正黑体_GBK" w:cs="方正黑体_GBK"/>
                <w:i w:val="0"/>
                <w:iCs w:val="0"/>
                <w:color w:val="000000"/>
                <w:sz w:val="20"/>
                <w:szCs w:val="20"/>
                <w:u w:val="none"/>
              </w:rPr>
            </w:pPr>
          </w:p>
        </w:tc>
      </w:tr>
      <w:tr w14:paraId="21E7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01" w:type="dxa"/>
            <w:tcBorders>
              <w:top w:val="nil"/>
              <w:left w:val="single" w:color="000000" w:sz="8" w:space="0"/>
              <w:bottom w:val="single" w:color="000000" w:sz="8" w:space="0"/>
              <w:right w:val="single" w:color="000000" w:sz="8" w:space="0"/>
            </w:tcBorders>
            <w:shd w:val="clear" w:color="auto" w:fill="auto"/>
            <w:vAlign w:val="center"/>
          </w:tcPr>
          <w:p w14:paraId="402DAB9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0"/>
                <w:szCs w:val="20"/>
                <w:u w:val="none"/>
              </w:rPr>
            </w:pPr>
            <w:r>
              <w:rPr>
                <w:rFonts w:hint="eastAsia" w:ascii="方正黑体_GBK" w:hAnsi="方正黑体_GBK" w:eastAsia="方正黑体_GBK" w:cs="方正黑体_GBK"/>
                <w:i w:val="0"/>
                <w:iCs w:val="0"/>
                <w:color w:val="000000"/>
                <w:kern w:val="0"/>
                <w:sz w:val="20"/>
                <w:szCs w:val="20"/>
                <w:u w:val="none"/>
                <w:lang w:val="en-US" w:eastAsia="zh-CN" w:bidi="ar"/>
              </w:rPr>
              <w:t>总计</w:t>
            </w:r>
          </w:p>
        </w:tc>
        <w:tc>
          <w:tcPr>
            <w:tcW w:w="909" w:type="dxa"/>
            <w:tcBorders>
              <w:top w:val="nil"/>
              <w:left w:val="nil"/>
              <w:bottom w:val="nil"/>
              <w:right w:val="single" w:color="000000" w:sz="8" w:space="0"/>
            </w:tcBorders>
            <w:shd w:val="clear" w:color="auto" w:fill="auto"/>
            <w:vAlign w:val="center"/>
          </w:tcPr>
          <w:p w14:paraId="5A5A2D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25624.7</w:t>
            </w:r>
            <w:r>
              <w:rPr>
                <w:rFonts w:hint="eastAsia" w:ascii="Times New Roman" w:hAnsi="Times New Roman" w:eastAsia="宋体" w:cs="Times New Roman"/>
                <w:i w:val="0"/>
                <w:iCs w:val="0"/>
                <w:color w:val="000000"/>
                <w:kern w:val="0"/>
                <w:sz w:val="18"/>
                <w:szCs w:val="18"/>
                <w:u w:val="none"/>
                <w:shd w:val="clear" w:color="auto" w:fill="auto"/>
                <w:lang w:val="en-US" w:eastAsia="zh-CN" w:bidi="ar"/>
              </w:rPr>
              <w:t>8</w:t>
            </w:r>
          </w:p>
        </w:tc>
        <w:tc>
          <w:tcPr>
            <w:tcW w:w="1131" w:type="dxa"/>
            <w:tcBorders>
              <w:top w:val="single" w:color="000000" w:sz="8" w:space="0"/>
              <w:left w:val="single" w:color="000000" w:sz="8" w:space="0"/>
              <w:bottom w:val="single" w:color="000000" w:sz="8" w:space="0"/>
              <w:right w:val="nil"/>
            </w:tcBorders>
            <w:shd w:val="clear" w:color="auto" w:fill="auto"/>
            <w:vAlign w:val="center"/>
          </w:tcPr>
          <w:p w14:paraId="5C2FA37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shd w:val="clear" w:color="auto" w:fill="auto"/>
                <w:lang w:val="en-US" w:eastAsia="zh-CN" w:bidi="ar"/>
              </w:rPr>
            </w:pPr>
            <w:r>
              <w:rPr>
                <w:rFonts w:hint="eastAsia" w:ascii="Times New Roman" w:hAnsi="Times New Roman" w:eastAsia="宋体" w:cs="Times New Roman"/>
                <w:i w:val="0"/>
                <w:iCs w:val="0"/>
                <w:color w:val="000000"/>
                <w:kern w:val="0"/>
                <w:sz w:val="18"/>
                <w:szCs w:val="18"/>
                <w:u w:val="none"/>
                <w:shd w:val="clear" w:color="auto" w:fill="auto"/>
                <w:lang w:val="en-US" w:eastAsia="zh-CN" w:bidi="ar"/>
              </w:rPr>
              <w:t>24958.1</w:t>
            </w:r>
          </w:p>
        </w:tc>
        <w:tc>
          <w:tcPr>
            <w:tcW w:w="15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9FC3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24446.96</w:t>
            </w:r>
          </w:p>
        </w:tc>
        <w:tc>
          <w:tcPr>
            <w:tcW w:w="1260" w:type="dxa"/>
            <w:tcBorders>
              <w:top w:val="nil"/>
              <w:left w:val="nil"/>
              <w:bottom w:val="single" w:color="000000" w:sz="8" w:space="0"/>
              <w:right w:val="single" w:color="000000" w:sz="8" w:space="0"/>
            </w:tcBorders>
            <w:shd w:val="clear" w:color="auto" w:fill="auto"/>
            <w:noWrap/>
            <w:vAlign w:val="center"/>
          </w:tcPr>
          <w:p w14:paraId="707626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511.14</w:t>
            </w:r>
          </w:p>
        </w:tc>
        <w:tc>
          <w:tcPr>
            <w:tcW w:w="1860" w:type="dxa"/>
            <w:tcBorders>
              <w:top w:val="nil"/>
              <w:left w:val="nil"/>
              <w:bottom w:val="single" w:color="000000" w:sz="8" w:space="0"/>
              <w:right w:val="single" w:color="000000" w:sz="8" w:space="0"/>
            </w:tcBorders>
            <w:shd w:val="clear" w:color="auto" w:fill="auto"/>
            <w:noWrap/>
            <w:vAlign w:val="center"/>
          </w:tcPr>
          <w:p w14:paraId="4226D6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666.67</w:t>
            </w:r>
          </w:p>
        </w:tc>
      </w:tr>
      <w:tr w14:paraId="3D5C2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701" w:type="dxa"/>
            <w:tcBorders>
              <w:top w:val="nil"/>
              <w:left w:val="single" w:color="000000" w:sz="8" w:space="0"/>
              <w:bottom w:val="single" w:color="000000" w:sz="8" w:space="0"/>
              <w:right w:val="single" w:color="000000" w:sz="8" w:space="0"/>
            </w:tcBorders>
            <w:shd w:val="clear" w:color="auto" w:fill="auto"/>
            <w:vAlign w:val="center"/>
          </w:tcPr>
          <w:p w14:paraId="6BDCA1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2021—2025</w:t>
            </w:r>
            <w:r>
              <w:rPr>
                <w:rFonts w:hint="eastAsia" w:ascii="方正黑体_GBK" w:hAnsi="方正黑体_GBK" w:eastAsia="方正黑体_GBK" w:cs="方正黑体_GBK"/>
                <w:i w:val="0"/>
                <w:iCs w:val="0"/>
                <w:color w:val="000000"/>
                <w:kern w:val="0"/>
                <w:sz w:val="20"/>
                <w:szCs w:val="20"/>
                <w:u w:val="none"/>
                <w:lang w:val="en-US" w:eastAsia="zh-CN" w:bidi="ar"/>
              </w:rPr>
              <w:t>年规划治理的沙化土地面积（公顷）</w:t>
            </w:r>
          </w:p>
        </w:tc>
        <w:tc>
          <w:tcPr>
            <w:tcW w:w="909" w:type="dxa"/>
            <w:tcBorders>
              <w:top w:val="single" w:color="000000" w:sz="8" w:space="0"/>
              <w:left w:val="nil"/>
              <w:bottom w:val="single" w:color="000000" w:sz="8" w:space="0"/>
              <w:right w:val="single" w:color="000000" w:sz="8" w:space="0"/>
            </w:tcBorders>
            <w:shd w:val="clear" w:color="auto" w:fill="auto"/>
            <w:noWrap/>
            <w:vAlign w:val="center"/>
          </w:tcPr>
          <w:p w14:paraId="21769E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23578.01</w:t>
            </w:r>
          </w:p>
        </w:tc>
        <w:tc>
          <w:tcPr>
            <w:tcW w:w="1131" w:type="dxa"/>
            <w:tcBorders>
              <w:top w:val="single" w:color="000000" w:sz="8" w:space="0"/>
              <w:left w:val="single" w:color="000000" w:sz="8" w:space="0"/>
              <w:bottom w:val="single" w:color="000000" w:sz="8" w:space="0"/>
              <w:right w:val="nil"/>
            </w:tcBorders>
            <w:shd w:val="clear" w:color="auto" w:fill="auto"/>
            <w:vAlign w:val="center"/>
          </w:tcPr>
          <w:p w14:paraId="484CA24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shd w:val="clear" w:color="auto" w:fill="auto"/>
                <w:lang w:val="en-US" w:eastAsia="zh-CN" w:bidi="ar"/>
              </w:rPr>
            </w:pPr>
            <w:r>
              <w:rPr>
                <w:rFonts w:hint="eastAsia" w:ascii="Times New Roman" w:hAnsi="Times New Roman" w:eastAsia="宋体" w:cs="Times New Roman"/>
                <w:i w:val="0"/>
                <w:iCs w:val="0"/>
                <w:color w:val="000000"/>
                <w:kern w:val="0"/>
                <w:sz w:val="18"/>
                <w:szCs w:val="18"/>
                <w:u w:val="none"/>
                <w:shd w:val="clear" w:color="auto" w:fill="auto"/>
                <w:lang w:val="en-US" w:eastAsia="zh-CN" w:bidi="ar"/>
              </w:rPr>
              <w:t>22911.34</w:t>
            </w:r>
          </w:p>
        </w:tc>
        <w:tc>
          <w:tcPr>
            <w:tcW w:w="15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5D7D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22517.82</w:t>
            </w:r>
          </w:p>
        </w:tc>
        <w:tc>
          <w:tcPr>
            <w:tcW w:w="1260" w:type="dxa"/>
            <w:tcBorders>
              <w:top w:val="nil"/>
              <w:left w:val="nil"/>
              <w:bottom w:val="single" w:color="000000" w:sz="8" w:space="0"/>
              <w:right w:val="single" w:color="000000" w:sz="8" w:space="0"/>
            </w:tcBorders>
            <w:shd w:val="clear" w:color="auto" w:fill="auto"/>
            <w:noWrap/>
            <w:vAlign w:val="center"/>
          </w:tcPr>
          <w:p w14:paraId="153819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393.52</w:t>
            </w:r>
          </w:p>
        </w:tc>
        <w:tc>
          <w:tcPr>
            <w:tcW w:w="1860" w:type="dxa"/>
            <w:tcBorders>
              <w:top w:val="nil"/>
              <w:left w:val="nil"/>
              <w:bottom w:val="single" w:color="000000" w:sz="8" w:space="0"/>
              <w:right w:val="single" w:color="000000" w:sz="8" w:space="0"/>
            </w:tcBorders>
            <w:shd w:val="clear" w:color="auto" w:fill="auto"/>
            <w:noWrap/>
            <w:vAlign w:val="center"/>
          </w:tcPr>
          <w:p w14:paraId="62D96C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666.67</w:t>
            </w:r>
          </w:p>
        </w:tc>
      </w:tr>
      <w:tr w14:paraId="2CA1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701" w:type="dxa"/>
            <w:tcBorders>
              <w:top w:val="nil"/>
              <w:left w:val="single" w:color="000000" w:sz="8" w:space="0"/>
              <w:bottom w:val="single" w:color="000000" w:sz="8" w:space="0"/>
              <w:right w:val="single" w:color="000000" w:sz="8" w:space="0"/>
            </w:tcBorders>
            <w:shd w:val="clear" w:color="auto" w:fill="auto"/>
            <w:vAlign w:val="center"/>
          </w:tcPr>
          <w:p w14:paraId="66F3D3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2026—2030</w:t>
            </w:r>
            <w:r>
              <w:rPr>
                <w:rFonts w:hint="eastAsia" w:ascii="方正黑体_GBK" w:hAnsi="方正黑体_GBK" w:eastAsia="方正黑体_GBK" w:cs="方正黑体_GBK"/>
                <w:i w:val="0"/>
                <w:iCs w:val="0"/>
                <w:color w:val="000000"/>
                <w:kern w:val="0"/>
                <w:sz w:val="20"/>
                <w:szCs w:val="20"/>
                <w:u w:val="none"/>
                <w:lang w:val="en-US" w:eastAsia="zh-CN" w:bidi="ar"/>
              </w:rPr>
              <w:t>年规划治理沙化土地面积（公顷）</w:t>
            </w:r>
          </w:p>
        </w:tc>
        <w:tc>
          <w:tcPr>
            <w:tcW w:w="909" w:type="dxa"/>
            <w:tcBorders>
              <w:top w:val="nil"/>
              <w:left w:val="nil"/>
              <w:bottom w:val="single" w:color="000000" w:sz="8" w:space="0"/>
              <w:right w:val="single" w:color="000000" w:sz="8" w:space="0"/>
            </w:tcBorders>
            <w:shd w:val="clear" w:color="auto" w:fill="auto"/>
            <w:noWrap/>
            <w:vAlign w:val="center"/>
          </w:tcPr>
          <w:p w14:paraId="0D5938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2046.77</w:t>
            </w:r>
          </w:p>
        </w:tc>
        <w:tc>
          <w:tcPr>
            <w:tcW w:w="1131" w:type="dxa"/>
            <w:tcBorders>
              <w:top w:val="single" w:color="000000" w:sz="8" w:space="0"/>
              <w:left w:val="single" w:color="000000" w:sz="8" w:space="0"/>
              <w:bottom w:val="single" w:color="000000" w:sz="8" w:space="0"/>
              <w:right w:val="nil"/>
            </w:tcBorders>
            <w:shd w:val="clear" w:color="auto" w:fill="auto"/>
            <w:vAlign w:val="center"/>
          </w:tcPr>
          <w:p w14:paraId="39A86B6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shd w:val="clear" w:color="auto" w:fill="auto"/>
                <w:lang w:val="en-US" w:eastAsia="zh-CN" w:bidi="ar"/>
              </w:rPr>
            </w:pPr>
            <w:r>
              <w:rPr>
                <w:rFonts w:hint="eastAsia" w:ascii="Times New Roman" w:hAnsi="Times New Roman" w:eastAsia="宋体" w:cs="Times New Roman"/>
                <w:i w:val="0"/>
                <w:iCs w:val="0"/>
                <w:color w:val="000000"/>
                <w:kern w:val="0"/>
                <w:sz w:val="18"/>
                <w:szCs w:val="18"/>
                <w:u w:val="none"/>
                <w:shd w:val="clear" w:color="auto" w:fill="auto"/>
                <w:lang w:val="en-US" w:eastAsia="zh-CN" w:bidi="ar"/>
              </w:rPr>
              <w:t>2046.77</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56C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1929.15</w:t>
            </w:r>
          </w:p>
        </w:tc>
        <w:tc>
          <w:tcPr>
            <w:tcW w:w="1260" w:type="dxa"/>
            <w:tcBorders>
              <w:top w:val="nil"/>
              <w:left w:val="nil"/>
              <w:bottom w:val="single" w:color="000000" w:sz="8" w:space="0"/>
              <w:right w:val="single" w:color="000000" w:sz="8" w:space="0"/>
            </w:tcBorders>
            <w:shd w:val="clear" w:color="auto" w:fill="auto"/>
            <w:vAlign w:val="center"/>
          </w:tcPr>
          <w:p w14:paraId="205780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117.62</w:t>
            </w:r>
          </w:p>
        </w:tc>
        <w:tc>
          <w:tcPr>
            <w:tcW w:w="1860" w:type="dxa"/>
            <w:tcBorders>
              <w:top w:val="nil"/>
              <w:left w:val="nil"/>
              <w:bottom w:val="single" w:color="000000" w:sz="8" w:space="0"/>
              <w:right w:val="single" w:color="000000" w:sz="8" w:space="0"/>
            </w:tcBorders>
            <w:shd w:val="clear" w:color="auto" w:fill="auto"/>
            <w:vAlign w:val="center"/>
          </w:tcPr>
          <w:p w14:paraId="253DD8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0</w:t>
            </w:r>
          </w:p>
        </w:tc>
      </w:tr>
    </w:tbl>
    <w:p w14:paraId="18E7A708">
      <w:pPr>
        <w:rPr>
          <w:rFonts w:hint="default" w:ascii="Times New Roman" w:hAnsi="Times New Roman" w:cs="Times New Roman"/>
          <w:shd w:val="clear" w:color="auto" w:fill="auto"/>
          <w:lang w:val="en-US" w:eastAsia="zh-CN"/>
        </w:rPr>
        <w:sectPr>
          <w:pgSz w:w="11906" w:h="16838"/>
          <w:pgMar w:top="1440" w:right="1800" w:bottom="1440" w:left="1800" w:header="851" w:footer="992" w:gutter="0"/>
          <w:pgNumType w:fmt="decimal"/>
          <w:cols w:space="425" w:num="1"/>
          <w:docGrid w:type="lines" w:linePitch="312" w:charSpace="0"/>
        </w:sectPr>
      </w:pPr>
    </w:p>
    <w:p w14:paraId="13E9495A">
      <w:pPr>
        <w:pStyle w:val="3"/>
        <w:outlineLvl w:val="0"/>
        <w:rPr>
          <w:rFonts w:hint="default" w:ascii="Times New Roman" w:hAnsi="Times New Roman" w:eastAsia="仿宋_GB2312" w:cs="Times New Roman"/>
          <w:b w:val="0"/>
          <w:color w:val="000000"/>
          <w:kern w:val="0"/>
          <w:sz w:val="31"/>
          <w:szCs w:val="31"/>
          <w:shd w:val="clear" w:color="auto" w:fill="auto"/>
          <w:lang w:val="en-US" w:eastAsia="zh-CN" w:bidi="ar"/>
        </w:rPr>
      </w:pPr>
      <w:bookmarkStart w:id="244" w:name="_Toc19722"/>
      <w:bookmarkStart w:id="245" w:name="_Toc30373"/>
      <w:bookmarkStart w:id="246" w:name="_Toc14713"/>
      <w:r>
        <w:rPr>
          <w:rFonts w:hint="default" w:ascii="Times New Roman" w:hAnsi="Times New Roman" w:eastAsia="仿宋_GB2312" w:cs="Times New Roman"/>
          <w:b w:val="0"/>
          <w:color w:val="000000"/>
          <w:kern w:val="0"/>
          <w:sz w:val="31"/>
          <w:szCs w:val="31"/>
          <w:shd w:val="clear" w:color="auto" w:fill="auto"/>
          <w:lang w:val="en-US" w:eastAsia="zh-CN" w:bidi="ar"/>
        </w:rPr>
        <w:t>附表2</w:t>
      </w:r>
      <w:bookmarkEnd w:id="244"/>
      <w:bookmarkEnd w:id="245"/>
      <w:bookmarkEnd w:id="246"/>
    </w:p>
    <w:p w14:paraId="1793B338">
      <w:pPr>
        <w:jc w:val="center"/>
        <w:outlineLvl w:val="0"/>
        <w:rPr>
          <w:rFonts w:hint="default" w:ascii="Times New Roman" w:hAnsi="Times New Roman" w:eastAsia="仿宋_GB2312" w:cs="Times New Roman"/>
          <w:b/>
          <w:kern w:val="0"/>
          <w:sz w:val="32"/>
          <w:szCs w:val="32"/>
          <w:shd w:val="clear" w:color="auto" w:fill="auto"/>
          <w:lang w:val="en-US" w:eastAsia="zh-CN" w:bidi="ar"/>
        </w:rPr>
      </w:pPr>
      <w:bookmarkStart w:id="247" w:name="_Toc18657"/>
      <w:bookmarkStart w:id="248" w:name="_Toc14135"/>
      <w:bookmarkStart w:id="249" w:name="_Toc18633"/>
      <w:r>
        <w:rPr>
          <w:rFonts w:hint="default" w:ascii="Times New Roman" w:hAnsi="Times New Roman" w:cs="Times New Roman"/>
          <w:b/>
          <w:kern w:val="0"/>
          <w:sz w:val="32"/>
          <w:szCs w:val="32"/>
          <w:shd w:val="clear" w:color="auto" w:fill="auto"/>
          <w:lang w:val="en-US" w:eastAsia="zh-CN" w:bidi="ar"/>
        </w:rPr>
        <w:t>伊吾县</w:t>
      </w:r>
      <w:r>
        <w:rPr>
          <w:rFonts w:hint="default" w:ascii="Times New Roman" w:hAnsi="Times New Roman" w:eastAsia="仿宋_GB2312" w:cs="Times New Roman"/>
          <w:b/>
          <w:kern w:val="0"/>
          <w:sz w:val="32"/>
          <w:szCs w:val="32"/>
          <w:shd w:val="clear" w:color="auto" w:fill="auto"/>
          <w:lang w:val="en-US" w:eastAsia="zh-CN" w:bidi="ar"/>
        </w:rPr>
        <w:t>防沙治沙建设内容分解表</w:t>
      </w:r>
      <w:bookmarkEnd w:id="247"/>
      <w:bookmarkEnd w:id="248"/>
      <w:bookmarkEnd w:id="249"/>
    </w:p>
    <w:tbl>
      <w:tblPr>
        <w:tblStyle w:val="14"/>
        <w:tblW w:w="8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21"/>
        <w:gridCol w:w="675"/>
        <w:gridCol w:w="1095"/>
        <w:gridCol w:w="1500"/>
        <w:gridCol w:w="1500"/>
        <w:gridCol w:w="1927"/>
      </w:tblGrid>
      <w:tr w14:paraId="5736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21" w:type="dxa"/>
            <w:vMerge w:val="restart"/>
            <w:tcBorders>
              <w:top w:val="single" w:color="auto" w:sz="4" w:space="0"/>
              <w:left w:val="single" w:color="auto" w:sz="4" w:space="0"/>
              <w:bottom w:val="single" w:color="auto" w:sz="4" w:space="0"/>
              <w:right w:val="single" w:color="000000" w:sz="8" w:space="0"/>
            </w:tcBorders>
            <w:shd w:val="clear" w:color="auto" w:fill="auto"/>
            <w:noWrap/>
            <w:vAlign w:val="center"/>
          </w:tcPr>
          <w:p w14:paraId="46517337">
            <w:pPr>
              <w:jc w:val="center"/>
              <w:rPr>
                <w:rFonts w:hint="default" w:ascii="Times New Roman" w:hAnsi="Times New Roman" w:eastAsia="宋体" w:cs="Times New Roman"/>
                <w:i w:val="0"/>
                <w:iCs w:val="0"/>
                <w:color w:val="000000"/>
                <w:sz w:val="20"/>
                <w:szCs w:val="20"/>
                <w:u w:val="none"/>
                <w:shd w:val="clear" w:color="auto" w:fill="auto"/>
              </w:rPr>
            </w:pPr>
          </w:p>
        </w:tc>
        <w:tc>
          <w:tcPr>
            <w:tcW w:w="675" w:type="dxa"/>
            <w:vMerge w:val="restart"/>
            <w:tcBorders>
              <w:top w:val="single" w:color="auto" w:sz="4" w:space="0"/>
              <w:left w:val="nil"/>
              <w:bottom w:val="single" w:color="auto" w:sz="4" w:space="0"/>
              <w:right w:val="single" w:color="auto" w:sz="4" w:space="0"/>
            </w:tcBorders>
            <w:shd w:val="clear" w:color="auto" w:fill="auto"/>
            <w:noWrap/>
            <w:vAlign w:val="center"/>
          </w:tcPr>
          <w:p w14:paraId="728BB3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单位</w:t>
            </w:r>
          </w:p>
        </w:tc>
        <w:tc>
          <w:tcPr>
            <w:tcW w:w="1095" w:type="dxa"/>
            <w:tcBorders>
              <w:top w:val="single" w:color="000000" w:sz="8" w:space="0"/>
              <w:left w:val="single" w:color="auto" w:sz="4" w:space="0"/>
              <w:bottom w:val="nil"/>
              <w:right w:val="single" w:color="000000" w:sz="8" w:space="0"/>
            </w:tcBorders>
            <w:shd w:val="clear" w:color="auto" w:fill="auto"/>
            <w:noWrap/>
            <w:vAlign w:val="center"/>
          </w:tcPr>
          <w:p w14:paraId="52AD70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建设规模</w:t>
            </w:r>
          </w:p>
        </w:tc>
        <w:tc>
          <w:tcPr>
            <w:tcW w:w="3000" w:type="dxa"/>
            <w:gridSpan w:val="2"/>
            <w:tcBorders>
              <w:top w:val="single" w:color="000000" w:sz="8" w:space="0"/>
              <w:left w:val="nil"/>
              <w:bottom w:val="single" w:color="000000" w:sz="8" w:space="0"/>
              <w:right w:val="single" w:color="000000" w:sz="8" w:space="0"/>
            </w:tcBorders>
            <w:shd w:val="clear" w:color="auto" w:fill="auto"/>
            <w:noWrap/>
            <w:vAlign w:val="bottom"/>
          </w:tcPr>
          <w:p w14:paraId="53F408CF">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建设进度</w:t>
            </w:r>
          </w:p>
        </w:tc>
        <w:tc>
          <w:tcPr>
            <w:tcW w:w="1927" w:type="dxa"/>
            <w:vMerge w:val="restart"/>
            <w:tcBorders>
              <w:top w:val="single" w:color="000000" w:sz="8" w:space="0"/>
              <w:left w:val="nil"/>
              <w:bottom w:val="single" w:color="000000" w:sz="8" w:space="0"/>
              <w:right w:val="single" w:color="000000" w:sz="8" w:space="0"/>
            </w:tcBorders>
            <w:shd w:val="clear" w:color="auto" w:fill="auto"/>
            <w:vAlign w:val="center"/>
          </w:tcPr>
          <w:p w14:paraId="5AC02C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实施地点</w:t>
            </w:r>
            <w:r>
              <w:rPr>
                <w:rFonts w:hint="default" w:ascii="Times New Roman" w:hAnsi="Times New Roman" w:eastAsia="宋体" w:cs="Times New Roman"/>
                <w:i w:val="0"/>
                <w:iCs w:val="0"/>
                <w:color w:val="000000"/>
                <w:kern w:val="0"/>
                <w:sz w:val="20"/>
                <w:szCs w:val="20"/>
                <w:u w:val="none"/>
                <w:shd w:val="clear" w:color="auto" w:fill="auto"/>
                <w:lang w:val="en-US" w:eastAsia="zh-CN" w:bidi="ar"/>
              </w:rPr>
              <w:t>(</w:t>
            </w: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乡镇</w:t>
            </w:r>
            <w:r>
              <w:rPr>
                <w:rFonts w:hint="default" w:ascii="Times New Roman" w:hAnsi="Times New Roman" w:eastAsia="宋体" w:cs="Times New Roman"/>
                <w:i w:val="0"/>
                <w:iCs w:val="0"/>
                <w:color w:val="000000"/>
                <w:kern w:val="0"/>
                <w:sz w:val="20"/>
                <w:szCs w:val="20"/>
                <w:u w:val="none"/>
                <w:shd w:val="clear" w:color="auto" w:fill="auto"/>
                <w:lang w:val="en-US" w:eastAsia="zh-CN" w:bidi="ar"/>
              </w:rPr>
              <w:t>)</w:t>
            </w:r>
          </w:p>
        </w:tc>
      </w:tr>
      <w:tr w14:paraId="0FEAF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vMerge w:val="continue"/>
            <w:tcBorders>
              <w:top w:val="single" w:color="auto" w:sz="4" w:space="0"/>
              <w:left w:val="single" w:color="auto" w:sz="4" w:space="0"/>
              <w:bottom w:val="single" w:color="auto" w:sz="4" w:space="0"/>
              <w:right w:val="single" w:color="000000" w:sz="8" w:space="0"/>
            </w:tcBorders>
            <w:shd w:val="clear" w:color="auto" w:fill="auto"/>
            <w:noWrap/>
            <w:vAlign w:val="center"/>
          </w:tcPr>
          <w:p w14:paraId="6AC7E6D5">
            <w:pPr>
              <w:jc w:val="center"/>
              <w:rPr>
                <w:rFonts w:hint="default" w:ascii="Times New Roman" w:hAnsi="Times New Roman" w:eastAsia="宋体" w:cs="Times New Roman"/>
                <w:i w:val="0"/>
                <w:iCs w:val="0"/>
                <w:color w:val="000000"/>
                <w:sz w:val="20"/>
                <w:szCs w:val="20"/>
                <w:u w:val="none"/>
                <w:shd w:val="clear" w:color="auto" w:fill="auto"/>
              </w:rPr>
            </w:pPr>
          </w:p>
        </w:tc>
        <w:tc>
          <w:tcPr>
            <w:tcW w:w="675" w:type="dxa"/>
            <w:vMerge w:val="continue"/>
            <w:tcBorders>
              <w:top w:val="single" w:color="auto" w:sz="4" w:space="0"/>
              <w:left w:val="nil"/>
              <w:bottom w:val="single" w:color="auto" w:sz="4" w:space="0"/>
              <w:right w:val="single" w:color="auto" w:sz="4" w:space="0"/>
            </w:tcBorders>
            <w:shd w:val="clear" w:color="auto" w:fill="auto"/>
            <w:noWrap/>
            <w:vAlign w:val="center"/>
          </w:tcPr>
          <w:p w14:paraId="0C49A04F">
            <w:pPr>
              <w:jc w:val="center"/>
              <w:rPr>
                <w:rFonts w:hint="default" w:ascii="Times New Roman" w:hAnsi="Times New Roman" w:eastAsia="宋体" w:cs="Times New Roman"/>
                <w:i w:val="0"/>
                <w:iCs w:val="0"/>
                <w:color w:val="000000"/>
                <w:sz w:val="20"/>
                <w:szCs w:val="20"/>
                <w:u w:val="none"/>
                <w:shd w:val="clear" w:color="auto" w:fill="auto"/>
              </w:rPr>
            </w:pPr>
          </w:p>
        </w:tc>
        <w:tc>
          <w:tcPr>
            <w:tcW w:w="1095" w:type="dxa"/>
            <w:tcBorders>
              <w:top w:val="nil"/>
              <w:left w:val="single" w:color="auto" w:sz="4" w:space="0"/>
              <w:bottom w:val="single" w:color="auto" w:sz="4" w:space="0"/>
              <w:right w:val="single" w:color="000000" w:sz="8" w:space="0"/>
            </w:tcBorders>
            <w:shd w:val="clear" w:color="auto" w:fill="auto"/>
            <w:noWrap/>
            <w:vAlign w:val="center"/>
          </w:tcPr>
          <w:p w14:paraId="0E80F2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宋体" w:cs="Times New Roman"/>
                <w:i w:val="0"/>
                <w:iCs w:val="0"/>
                <w:color w:val="000000"/>
                <w:kern w:val="0"/>
                <w:sz w:val="20"/>
                <w:szCs w:val="20"/>
                <w:u w:val="none"/>
                <w:shd w:val="clear" w:color="auto" w:fill="auto"/>
                <w:lang w:val="en-US" w:eastAsia="zh-CN" w:bidi="ar"/>
              </w:rPr>
              <w:t>(</w:t>
            </w: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总计</w:t>
            </w:r>
            <w:r>
              <w:rPr>
                <w:rFonts w:hint="default" w:ascii="Times New Roman" w:hAnsi="Times New Roman" w:eastAsia="宋体" w:cs="Times New Roman"/>
                <w:i w:val="0"/>
                <w:iCs w:val="0"/>
                <w:color w:val="000000"/>
                <w:kern w:val="0"/>
                <w:sz w:val="20"/>
                <w:szCs w:val="20"/>
                <w:u w:val="none"/>
                <w:shd w:val="clear" w:color="auto" w:fill="auto"/>
                <w:lang w:val="en-US" w:eastAsia="zh-CN" w:bidi="ar"/>
              </w:rPr>
              <w:t>)</w:t>
            </w:r>
          </w:p>
        </w:tc>
        <w:tc>
          <w:tcPr>
            <w:tcW w:w="1500" w:type="dxa"/>
            <w:tcBorders>
              <w:top w:val="nil"/>
              <w:left w:val="nil"/>
              <w:bottom w:val="single" w:color="000000" w:sz="8" w:space="0"/>
              <w:right w:val="single" w:color="000000" w:sz="8" w:space="0"/>
            </w:tcBorders>
            <w:shd w:val="clear" w:color="auto" w:fill="auto"/>
            <w:noWrap/>
            <w:vAlign w:val="center"/>
          </w:tcPr>
          <w:p w14:paraId="2925C7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宋体" w:cs="Times New Roman"/>
                <w:i w:val="0"/>
                <w:iCs w:val="0"/>
                <w:color w:val="000000"/>
                <w:kern w:val="0"/>
                <w:sz w:val="20"/>
                <w:szCs w:val="20"/>
                <w:u w:val="none"/>
                <w:shd w:val="clear" w:color="auto" w:fill="auto"/>
                <w:lang w:val="en-US" w:eastAsia="zh-CN" w:bidi="ar"/>
              </w:rPr>
              <w:t>2021—2025</w:t>
            </w: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年</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CC5C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shd w:val="clear" w:color="auto" w:fill="auto"/>
              </w:rPr>
            </w:pPr>
            <w:r>
              <w:rPr>
                <w:rFonts w:hint="default" w:ascii="Times New Roman" w:hAnsi="Times New Roman" w:eastAsia="宋体" w:cs="Times New Roman"/>
                <w:i w:val="0"/>
                <w:iCs w:val="0"/>
                <w:color w:val="000000"/>
                <w:kern w:val="0"/>
                <w:sz w:val="20"/>
                <w:szCs w:val="20"/>
                <w:u w:val="none"/>
                <w:shd w:val="clear" w:color="auto" w:fill="auto"/>
                <w:lang w:val="en-US" w:eastAsia="zh-CN" w:bidi="ar"/>
              </w:rPr>
              <w:t>2026—2030</w:t>
            </w: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年</w:t>
            </w:r>
          </w:p>
        </w:tc>
        <w:tc>
          <w:tcPr>
            <w:tcW w:w="1927" w:type="dxa"/>
            <w:vMerge w:val="continue"/>
            <w:tcBorders>
              <w:top w:val="single" w:color="000000" w:sz="8" w:space="0"/>
              <w:left w:val="nil"/>
              <w:bottom w:val="single" w:color="000000" w:sz="8" w:space="0"/>
              <w:right w:val="single" w:color="000000" w:sz="8" w:space="0"/>
            </w:tcBorders>
            <w:shd w:val="clear" w:color="auto" w:fill="auto"/>
            <w:vAlign w:val="center"/>
          </w:tcPr>
          <w:p w14:paraId="6F20BF23">
            <w:pPr>
              <w:jc w:val="center"/>
              <w:rPr>
                <w:rFonts w:hint="default" w:ascii="Times New Roman" w:hAnsi="Times New Roman" w:eastAsia="宋体" w:cs="Times New Roman"/>
                <w:i w:val="0"/>
                <w:iCs w:val="0"/>
                <w:color w:val="000000"/>
                <w:sz w:val="20"/>
                <w:szCs w:val="20"/>
                <w:u w:val="none"/>
                <w:shd w:val="clear" w:color="auto" w:fill="auto"/>
              </w:rPr>
            </w:pPr>
          </w:p>
        </w:tc>
      </w:tr>
      <w:tr w14:paraId="43621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475109C7">
            <w:pPr>
              <w:keepNext w:val="0"/>
              <w:keepLines w:val="0"/>
              <w:widowControl/>
              <w:suppressLineNumbers w:val="0"/>
              <w:jc w:val="center"/>
              <w:textAlignment w:val="cente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封山（沙）育林</w:t>
            </w:r>
          </w:p>
        </w:tc>
        <w:tc>
          <w:tcPr>
            <w:tcW w:w="675" w:type="dxa"/>
            <w:tcBorders>
              <w:top w:val="nil"/>
              <w:left w:val="nil"/>
              <w:bottom w:val="single" w:color="000000" w:sz="8" w:space="0"/>
              <w:right w:val="single" w:color="000000" w:sz="8" w:space="0"/>
            </w:tcBorders>
            <w:shd w:val="clear" w:color="auto" w:fill="auto"/>
            <w:vAlign w:val="center"/>
          </w:tcPr>
          <w:p w14:paraId="540FC2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公顷</w:t>
            </w:r>
          </w:p>
        </w:tc>
        <w:tc>
          <w:tcPr>
            <w:tcW w:w="1095" w:type="dxa"/>
            <w:tcBorders>
              <w:top w:val="nil"/>
              <w:left w:val="nil"/>
              <w:bottom w:val="single" w:color="000000" w:sz="8" w:space="0"/>
              <w:right w:val="single" w:color="000000" w:sz="8" w:space="0"/>
            </w:tcBorders>
            <w:shd w:val="clear" w:color="auto" w:fill="auto"/>
            <w:vAlign w:val="center"/>
          </w:tcPr>
          <w:p w14:paraId="599772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 xml:space="preserve">24446.96 </w:t>
            </w:r>
          </w:p>
        </w:tc>
        <w:tc>
          <w:tcPr>
            <w:tcW w:w="1500" w:type="dxa"/>
            <w:tcBorders>
              <w:top w:val="nil"/>
              <w:left w:val="nil"/>
              <w:bottom w:val="single" w:color="000000" w:sz="8" w:space="0"/>
              <w:right w:val="single" w:color="000000" w:sz="8" w:space="0"/>
            </w:tcBorders>
            <w:shd w:val="clear" w:color="auto" w:fill="auto"/>
            <w:vAlign w:val="center"/>
          </w:tcPr>
          <w:p w14:paraId="321DE0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 xml:space="preserve">22517.82 </w:t>
            </w:r>
          </w:p>
        </w:tc>
        <w:tc>
          <w:tcPr>
            <w:tcW w:w="1500" w:type="dxa"/>
            <w:tcBorders>
              <w:top w:val="nil"/>
              <w:left w:val="nil"/>
              <w:bottom w:val="single" w:color="000000" w:sz="8" w:space="0"/>
              <w:right w:val="single" w:color="000000" w:sz="8" w:space="0"/>
            </w:tcBorders>
            <w:shd w:val="clear" w:color="auto" w:fill="auto"/>
            <w:vAlign w:val="center"/>
          </w:tcPr>
          <w:p w14:paraId="167D31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 xml:space="preserve">1929.15 </w:t>
            </w:r>
          </w:p>
        </w:tc>
        <w:tc>
          <w:tcPr>
            <w:tcW w:w="1927" w:type="dxa"/>
            <w:tcBorders>
              <w:top w:val="nil"/>
              <w:left w:val="nil"/>
              <w:bottom w:val="single" w:color="000000" w:sz="8" w:space="0"/>
              <w:right w:val="single" w:color="000000" w:sz="8" w:space="0"/>
            </w:tcBorders>
            <w:shd w:val="clear" w:color="auto" w:fill="auto"/>
            <w:noWrap/>
            <w:vAlign w:val="center"/>
          </w:tcPr>
          <w:p w14:paraId="0E35265D">
            <w:pPr>
              <w:keepNext w:val="0"/>
              <w:keepLines w:val="0"/>
              <w:widowControl/>
              <w:suppressLineNumbers w:val="0"/>
              <w:jc w:val="center"/>
              <w:textAlignment w:val="cente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葫芦乡、下马崖乡、苇子峡乡</w:t>
            </w:r>
          </w:p>
        </w:tc>
      </w:tr>
      <w:tr w14:paraId="2FE6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05100964">
            <w:pPr>
              <w:keepNext w:val="0"/>
              <w:keepLines w:val="0"/>
              <w:widowControl/>
              <w:suppressLineNumbers w:val="0"/>
              <w:jc w:val="center"/>
              <w:textAlignment w:val="cente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退化林修复</w:t>
            </w:r>
          </w:p>
        </w:tc>
        <w:tc>
          <w:tcPr>
            <w:tcW w:w="675" w:type="dxa"/>
            <w:tcBorders>
              <w:top w:val="nil"/>
              <w:left w:val="nil"/>
              <w:bottom w:val="single" w:color="000000" w:sz="8" w:space="0"/>
              <w:right w:val="single" w:color="000000" w:sz="8" w:space="0"/>
            </w:tcBorders>
            <w:shd w:val="clear" w:color="auto" w:fill="auto"/>
            <w:vAlign w:val="center"/>
          </w:tcPr>
          <w:p w14:paraId="532D22E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公顷</w:t>
            </w:r>
          </w:p>
        </w:tc>
        <w:tc>
          <w:tcPr>
            <w:tcW w:w="1095" w:type="dxa"/>
            <w:tcBorders>
              <w:top w:val="nil"/>
              <w:left w:val="nil"/>
              <w:bottom w:val="single" w:color="000000" w:sz="8" w:space="0"/>
              <w:right w:val="single" w:color="000000" w:sz="8" w:space="0"/>
            </w:tcBorders>
            <w:shd w:val="clear" w:color="auto" w:fill="auto"/>
            <w:vAlign w:val="center"/>
          </w:tcPr>
          <w:p w14:paraId="7E3F9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 xml:space="preserve">511.14 </w:t>
            </w:r>
          </w:p>
        </w:tc>
        <w:tc>
          <w:tcPr>
            <w:tcW w:w="1500" w:type="dxa"/>
            <w:tcBorders>
              <w:top w:val="nil"/>
              <w:left w:val="nil"/>
              <w:bottom w:val="single" w:color="000000" w:sz="8" w:space="0"/>
              <w:right w:val="single" w:color="000000" w:sz="8" w:space="0"/>
            </w:tcBorders>
            <w:shd w:val="clear" w:color="auto" w:fill="auto"/>
            <w:vAlign w:val="center"/>
          </w:tcPr>
          <w:p w14:paraId="33C00C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 xml:space="preserve">393.52 </w:t>
            </w:r>
          </w:p>
        </w:tc>
        <w:tc>
          <w:tcPr>
            <w:tcW w:w="1500" w:type="dxa"/>
            <w:tcBorders>
              <w:top w:val="nil"/>
              <w:left w:val="nil"/>
              <w:bottom w:val="single" w:color="000000" w:sz="8" w:space="0"/>
              <w:right w:val="single" w:color="000000" w:sz="8" w:space="0"/>
            </w:tcBorders>
            <w:shd w:val="clear" w:color="auto" w:fill="auto"/>
            <w:vAlign w:val="center"/>
          </w:tcPr>
          <w:p w14:paraId="7A9005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shd w:val="clear" w:color="auto" w:fill="auto"/>
                <w:lang w:val="en-US" w:eastAsia="zh-CN" w:bidi="ar"/>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 xml:space="preserve">117.62 </w:t>
            </w:r>
          </w:p>
        </w:tc>
        <w:tc>
          <w:tcPr>
            <w:tcW w:w="1927" w:type="dxa"/>
            <w:tcBorders>
              <w:top w:val="nil"/>
              <w:left w:val="nil"/>
              <w:bottom w:val="single" w:color="000000" w:sz="8" w:space="0"/>
              <w:right w:val="single" w:color="000000" w:sz="8" w:space="0"/>
            </w:tcBorders>
            <w:shd w:val="clear" w:color="auto" w:fill="auto"/>
            <w:vAlign w:val="center"/>
          </w:tcPr>
          <w:p w14:paraId="1BAC806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盐池镇、淖毛湖镇、</w:t>
            </w:r>
            <w:r>
              <w:rPr>
                <w:rFonts w:hint="eastAsia" w:ascii="Times New Roman" w:hAnsi="Times New Roman" w:eastAsia="方正仿宋_GBK" w:cs="Times New Roman"/>
                <w:i w:val="0"/>
                <w:iCs w:val="0"/>
                <w:color w:val="000000"/>
                <w:kern w:val="0"/>
                <w:sz w:val="20"/>
                <w:szCs w:val="20"/>
                <w:u w:val="none"/>
                <w:shd w:val="clear" w:color="auto" w:fill="auto"/>
                <w:lang w:val="en-US" w:eastAsia="zh-CN" w:bidi="ar"/>
              </w:rPr>
              <w:t>国道335</w:t>
            </w: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盐池段</w:t>
            </w:r>
          </w:p>
        </w:tc>
      </w:tr>
      <w:tr w14:paraId="7036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690BCD09">
            <w:pPr>
              <w:keepNext w:val="0"/>
              <w:keepLines w:val="0"/>
              <w:widowControl/>
              <w:suppressLineNumbers w:val="0"/>
              <w:jc w:val="center"/>
              <w:textAlignment w:val="center"/>
              <w:rPr>
                <w:rFonts w:hint="default" w:ascii="Times New Roman" w:hAnsi="Times New Roman" w:eastAsia="方正黑体_GBK" w:cs="Times New Roman"/>
                <w:i w:val="0"/>
                <w:iCs w:val="0"/>
                <w:color w:val="auto"/>
                <w:kern w:val="0"/>
                <w:sz w:val="20"/>
                <w:szCs w:val="20"/>
                <w:highlight w:val="none"/>
                <w:u w:val="none"/>
                <w:shd w:val="clear" w:color="auto" w:fill="auto"/>
                <w:lang w:val="en-US" w:eastAsia="zh-CN" w:bidi="ar"/>
              </w:rPr>
            </w:pPr>
            <w:r>
              <w:rPr>
                <w:rFonts w:hint="default" w:ascii="Times New Roman" w:hAnsi="Times New Roman" w:eastAsia="方正黑体_GBK" w:cs="Times New Roman"/>
                <w:i w:val="0"/>
                <w:iCs w:val="0"/>
                <w:color w:val="auto"/>
                <w:kern w:val="0"/>
                <w:sz w:val="20"/>
                <w:szCs w:val="20"/>
                <w:highlight w:val="none"/>
                <w:u w:val="none"/>
                <w:shd w:val="clear" w:color="auto" w:fill="auto"/>
                <w:lang w:val="en-US" w:eastAsia="zh-CN" w:bidi="ar"/>
              </w:rPr>
              <w:t>草原改良</w:t>
            </w:r>
          </w:p>
        </w:tc>
        <w:tc>
          <w:tcPr>
            <w:tcW w:w="675" w:type="dxa"/>
            <w:tcBorders>
              <w:top w:val="nil"/>
              <w:left w:val="nil"/>
              <w:bottom w:val="single" w:color="000000" w:sz="8" w:space="0"/>
              <w:right w:val="single" w:color="000000" w:sz="8" w:space="0"/>
            </w:tcBorders>
            <w:shd w:val="clear" w:color="auto" w:fill="auto"/>
            <w:vAlign w:val="center"/>
          </w:tcPr>
          <w:p w14:paraId="13A63A1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0"/>
                <w:szCs w:val="20"/>
                <w:highlight w:val="none"/>
                <w:u w:val="none"/>
                <w:shd w:val="clear" w:color="auto" w:fill="auto"/>
                <w:lang w:val="en-US" w:eastAsia="zh-CN" w:bidi="ar"/>
              </w:rPr>
            </w:pPr>
            <w:r>
              <w:rPr>
                <w:rFonts w:hint="default" w:ascii="Times New Roman" w:hAnsi="Times New Roman" w:eastAsia="方正仿宋_GBK" w:cs="Times New Roman"/>
                <w:i w:val="0"/>
                <w:iCs w:val="0"/>
                <w:color w:val="auto"/>
                <w:kern w:val="0"/>
                <w:sz w:val="20"/>
                <w:szCs w:val="20"/>
                <w:highlight w:val="none"/>
                <w:u w:val="none"/>
                <w:shd w:val="clear" w:color="auto" w:fill="auto"/>
                <w:lang w:val="en-US" w:eastAsia="zh-CN" w:bidi="ar"/>
              </w:rPr>
              <w:t>公顷</w:t>
            </w:r>
          </w:p>
        </w:tc>
        <w:tc>
          <w:tcPr>
            <w:tcW w:w="1095" w:type="dxa"/>
            <w:tcBorders>
              <w:top w:val="nil"/>
              <w:left w:val="nil"/>
              <w:bottom w:val="single" w:color="000000" w:sz="8" w:space="0"/>
              <w:right w:val="single" w:color="000000" w:sz="8" w:space="0"/>
            </w:tcBorders>
            <w:shd w:val="clear" w:color="auto" w:fill="auto"/>
            <w:vAlign w:val="center"/>
          </w:tcPr>
          <w:p w14:paraId="1C3B84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shd w:val="clear" w:color="auto" w:fill="auto"/>
                <w:lang w:val="en-US" w:eastAsia="zh-CN" w:bidi="ar"/>
              </w:rPr>
            </w:pPr>
            <w:r>
              <w:rPr>
                <w:rFonts w:hint="eastAsia" w:ascii="Times New Roman" w:hAnsi="Times New Roman" w:eastAsia="宋体" w:cs="Times New Roman"/>
                <w:i w:val="0"/>
                <w:iCs w:val="0"/>
                <w:color w:val="auto"/>
                <w:kern w:val="0"/>
                <w:sz w:val="18"/>
                <w:szCs w:val="18"/>
                <w:highlight w:val="none"/>
                <w:u w:val="none"/>
                <w:shd w:val="clear" w:color="auto" w:fill="auto"/>
                <w:lang w:val="en-US" w:eastAsia="zh-CN" w:bidi="ar"/>
              </w:rPr>
              <w:t>6</w:t>
            </w:r>
            <w:r>
              <w:rPr>
                <w:rFonts w:hint="default" w:ascii="Times New Roman" w:hAnsi="Times New Roman" w:eastAsia="宋体" w:cs="Times New Roman"/>
                <w:i w:val="0"/>
                <w:iCs w:val="0"/>
                <w:color w:val="auto"/>
                <w:kern w:val="0"/>
                <w:sz w:val="18"/>
                <w:szCs w:val="18"/>
                <w:highlight w:val="none"/>
                <w:u w:val="none"/>
                <w:shd w:val="clear" w:color="auto" w:fill="auto"/>
                <w:lang w:val="en-US" w:eastAsia="zh-CN" w:bidi="ar"/>
              </w:rPr>
              <w:t xml:space="preserve">66.67 </w:t>
            </w:r>
          </w:p>
        </w:tc>
        <w:tc>
          <w:tcPr>
            <w:tcW w:w="1500" w:type="dxa"/>
            <w:tcBorders>
              <w:top w:val="nil"/>
              <w:left w:val="nil"/>
              <w:bottom w:val="single" w:color="000000" w:sz="8" w:space="0"/>
              <w:right w:val="single" w:color="000000" w:sz="8" w:space="0"/>
            </w:tcBorders>
            <w:shd w:val="clear" w:color="auto" w:fill="auto"/>
            <w:vAlign w:val="center"/>
          </w:tcPr>
          <w:p w14:paraId="5626F2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shd w:val="clear" w:color="auto" w:fill="auto"/>
                <w:lang w:val="en-US" w:eastAsia="zh-CN" w:bidi="ar"/>
              </w:rPr>
            </w:pPr>
            <w:r>
              <w:rPr>
                <w:rFonts w:hint="eastAsia" w:ascii="Times New Roman" w:hAnsi="Times New Roman" w:eastAsia="宋体" w:cs="Times New Roman"/>
                <w:i w:val="0"/>
                <w:iCs w:val="0"/>
                <w:color w:val="auto"/>
                <w:kern w:val="0"/>
                <w:sz w:val="18"/>
                <w:szCs w:val="18"/>
                <w:highlight w:val="none"/>
                <w:u w:val="none"/>
                <w:shd w:val="clear" w:color="auto" w:fill="auto"/>
                <w:lang w:val="en-US" w:eastAsia="zh-CN" w:bidi="ar"/>
              </w:rPr>
              <w:t>6</w:t>
            </w:r>
            <w:r>
              <w:rPr>
                <w:rFonts w:hint="default" w:ascii="Times New Roman" w:hAnsi="Times New Roman" w:eastAsia="宋体" w:cs="Times New Roman"/>
                <w:i w:val="0"/>
                <w:iCs w:val="0"/>
                <w:color w:val="auto"/>
                <w:kern w:val="0"/>
                <w:sz w:val="18"/>
                <w:szCs w:val="18"/>
                <w:highlight w:val="none"/>
                <w:u w:val="none"/>
                <w:shd w:val="clear" w:color="auto" w:fill="auto"/>
                <w:lang w:val="en-US" w:eastAsia="zh-CN" w:bidi="ar"/>
              </w:rPr>
              <w:t xml:space="preserve">66.67 </w:t>
            </w:r>
          </w:p>
        </w:tc>
        <w:tc>
          <w:tcPr>
            <w:tcW w:w="1500" w:type="dxa"/>
            <w:tcBorders>
              <w:top w:val="nil"/>
              <w:left w:val="nil"/>
              <w:bottom w:val="single" w:color="000000" w:sz="8" w:space="0"/>
              <w:right w:val="single" w:color="000000" w:sz="8" w:space="0"/>
            </w:tcBorders>
            <w:shd w:val="clear" w:color="auto" w:fill="auto"/>
            <w:vAlign w:val="center"/>
          </w:tcPr>
          <w:p w14:paraId="6B5435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shd w:val="clear" w:color="auto" w:fill="auto"/>
                <w:lang w:val="en-US" w:eastAsia="zh-CN" w:bidi="ar"/>
              </w:rPr>
            </w:pPr>
            <w:r>
              <w:rPr>
                <w:rFonts w:hint="default" w:ascii="Times New Roman" w:hAnsi="Times New Roman" w:eastAsia="宋体" w:cs="Times New Roman"/>
                <w:i w:val="0"/>
                <w:iCs w:val="0"/>
                <w:color w:val="auto"/>
                <w:kern w:val="0"/>
                <w:sz w:val="18"/>
                <w:szCs w:val="18"/>
                <w:highlight w:val="none"/>
                <w:u w:val="none"/>
                <w:shd w:val="clear" w:color="auto" w:fill="auto"/>
                <w:lang w:val="en-US" w:eastAsia="zh-CN" w:bidi="ar"/>
              </w:rPr>
              <w:t xml:space="preserve">0.00 </w:t>
            </w:r>
          </w:p>
        </w:tc>
        <w:tc>
          <w:tcPr>
            <w:tcW w:w="1927" w:type="dxa"/>
            <w:tcBorders>
              <w:top w:val="nil"/>
              <w:left w:val="nil"/>
              <w:bottom w:val="single" w:color="000000" w:sz="8" w:space="0"/>
              <w:right w:val="single" w:color="000000" w:sz="8" w:space="0"/>
            </w:tcBorders>
            <w:shd w:val="clear" w:color="auto" w:fill="auto"/>
            <w:vAlign w:val="center"/>
          </w:tcPr>
          <w:p w14:paraId="767EC05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前山乡、盐池镇、吐葫芦乡、下马崖乡</w:t>
            </w:r>
          </w:p>
        </w:tc>
      </w:tr>
      <w:tr w14:paraId="2A124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762DCF1A">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特色种植业</w:t>
            </w:r>
          </w:p>
        </w:tc>
        <w:tc>
          <w:tcPr>
            <w:tcW w:w="675" w:type="dxa"/>
            <w:tcBorders>
              <w:top w:val="nil"/>
              <w:left w:val="nil"/>
              <w:bottom w:val="single" w:color="000000" w:sz="8" w:space="0"/>
              <w:right w:val="single" w:color="000000" w:sz="8" w:space="0"/>
            </w:tcBorders>
            <w:shd w:val="clear" w:color="auto" w:fill="auto"/>
            <w:vAlign w:val="center"/>
          </w:tcPr>
          <w:p w14:paraId="6853829A">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公顷</w:t>
            </w:r>
          </w:p>
        </w:tc>
        <w:tc>
          <w:tcPr>
            <w:tcW w:w="1095" w:type="dxa"/>
            <w:tcBorders>
              <w:top w:val="nil"/>
              <w:left w:val="nil"/>
              <w:bottom w:val="single" w:color="000000" w:sz="8" w:space="0"/>
              <w:right w:val="single" w:color="000000" w:sz="8" w:space="0"/>
            </w:tcBorders>
            <w:shd w:val="clear" w:color="auto" w:fill="auto"/>
            <w:vAlign w:val="center"/>
          </w:tcPr>
          <w:p w14:paraId="362DBC93">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lang w:val="en-US" w:eastAsia="zh-CN"/>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266.67</w:t>
            </w:r>
          </w:p>
        </w:tc>
        <w:tc>
          <w:tcPr>
            <w:tcW w:w="1500" w:type="dxa"/>
            <w:tcBorders>
              <w:top w:val="nil"/>
              <w:left w:val="nil"/>
              <w:bottom w:val="single" w:color="000000" w:sz="8" w:space="0"/>
              <w:right w:val="single" w:color="000000" w:sz="8" w:space="0"/>
            </w:tcBorders>
            <w:shd w:val="clear" w:color="auto" w:fill="auto"/>
            <w:noWrap/>
            <w:vAlign w:val="center"/>
          </w:tcPr>
          <w:p w14:paraId="3CEDD819">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166.67</w:t>
            </w:r>
          </w:p>
        </w:tc>
        <w:tc>
          <w:tcPr>
            <w:tcW w:w="1500" w:type="dxa"/>
            <w:tcBorders>
              <w:top w:val="nil"/>
              <w:left w:val="nil"/>
              <w:bottom w:val="single" w:color="000000" w:sz="8" w:space="0"/>
              <w:right w:val="single" w:color="000000" w:sz="8" w:space="0"/>
            </w:tcBorders>
            <w:shd w:val="clear" w:color="auto" w:fill="auto"/>
            <w:noWrap/>
            <w:vAlign w:val="center"/>
          </w:tcPr>
          <w:p w14:paraId="3C961F3E">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lang w:val="en-US" w:eastAsia="zh-CN"/>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100</w:t>
            </w:r>
          </w:p>
        </w:tc>
        <w:tc>
          <w:tcPr>
            <w:tcW w:w="1927" w:type="dxa"/>
            <w:tcBorders>
              <w:top w:val="nil"/>
              <w:left w:val="nil"/>
              <w:bottom w:val="single" w:color="000000" w:sz="8" w:space="0"/>
              <w:right w:val="single" w:color="000000" w:sz="8" w:space="0"/>
            </w:tcBorders>
            <w:shd w:val="clear" w:color="auto" w:fill="auto"/>
            <w:noWrap/>
            <w:vAlign w:val="center"/>
          </w:tcPr>
          <w:p w14:paraId="470883D5">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苇子峡乡</w:t>
            </w:r>
          </w:p>
        </w:tc>
      </w:tr>
      <w:tr w14:paraId="5E72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0ADA4C25">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沙漠公园</w:t>
            </w:r>
          </w:p>
        </w:tc>
        <w:tc>
          <w:tcPr>
            <w:tcW w:w="675" w:type="dxa"/>
            <w:tcBorders>
              <w:top w:val="nil"/>
              <w:left w:val="nil"/>
              <w:bottom w:val="single" w:color="000000" w:sz="8" w:space="0"/>
              <w:right w:val="single" w:color="000000" w:sz="8" w:space="0"/>
            </w:tcBorders>
            <w:shd w:val="clear" w:color="auto" w:fill="auto"/>
            <w:vAlign w:val="center"/>
          </w:tcPr>
          <w:p w14:paraId="63F9D2B7">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个</w:t>
            </w:r>
          </w:p>
        </w:tc>
        <w:tc>
          <w:tcPr>
            <w:tcW w:w="1095" w:type="dxa"/>
            <w:tcBorders>
              <w:top w:val="nil"/>
              <w:left w:val="nil"/>
              <w:bottom w:val="single" w:color="000000" w:sz="8" w:space="0"/>
              <w:right w:val="single" w:color="000000" w:sz="8" w:space="0"/>
            </w:tcBorders>
            <w:shd w:val="clear" w:color="auto" w:fill="auto"/>
            <w:vAlign w:val="center"/>
          </w:tcPr>
          <w:p w14:paraId="277C01A6">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w:t>
            </w:r>
          </w:p>
        </w:tc>
        <w:tc>
          <w:tcPr>
            <w:tcW w:w="1500" w:type="dxa"/>
            <w:tcBorders>
              <w:top w:val="nil"/>
              <w:left w:val="nil"/>
              <w:bottom w:val="single" w:color="000000" w:sz="8" w:space="0"/>
              <w:right w:val="single" w:color="000000" w:sz="8" w:space="0"/>
            </w:tcBorders>
            <w:shd w:val="clear" w:color="auto" w:fill="auto"/>
            <w:noWrap/>
            <w:vAlign w:val="center"/>
          </w:tcPr>
          <w:p w14:paraId="6F0C7782">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w:t>
            </w:r>
          </w:p>
        </w:tc>
        <w:tc>
          <w:tcPr>
            <w:tcW w:w="1500" w:type="dxa"/>
            <w:tcBorders>
              <w:top w:val="nil"/>
              <w:left w:val="nil"/>
              <w:bottom w:val="single" w:color="000000" w:sz="8" w:space="0"/>
              <w:right w:val="single" w:color="000000" w:sz="8" w:space="0"/>
            </w:tcBorders>
            <w:shd w:val="clear" w:color="auto" w:fill="auto"/>
            <w:noWrap/>
            <w:vAlign w:val="center"/>
          </w:tcPr>
          <w:p w14:paraId="5A804DF3">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0</w:t>
            </w:r>
          </w:p>
        </w:tc>
        <w:tc>
          <w:tcPr>
            <w:tcW w:w="1927" w:type="dxa"/>
            <w:tcBorders>
              <w:top w:val="nil"/>
              <w:left w:val="nil"/>
              <w:bottom w:val="single" w:color="000000" w:sz="8" w:space="0"/>
              <w:right w:val="single" w:color="000000" w:sz="8" w:space="0"/>
            </w:tcBorders>
            <w:shd w:val="clear" w:color="auto" w:fill="auto"/>
            <w:noWrap/>
            <w:vAlign w:val="center"/>
          </w:tcPr>
          <w:p w14:paraId="1550E907">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淖毛湖镇</w:t>
            </w:r>
          </w:p>
        </w:tc>
      </w:tr>
      <w:tr w14:paraId="443A3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417B5DD8">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技术培训</w:t>
            </w:r>
          </w:p>
        </w:tc>
        <w:tc>
          <w:tcPr>
            <w:tcW w:w="675" w:type="dxa"/>
            <w:tcBorders>
              <w:top w:val="nil"/>
              <w:left w:val="nil"/>
              <w:bottom w:val="single" w:color="000000" w:sz="8" w:space="0"/>
              <w:right w:val="single" w:color="000000" w:sz="8" w:space="0"/>
            </w:tcBorders>
            <w:shd w:val="clear" w:color="auto" w:fill="auto"/>
            <w:vAlign w:val="center"/>
          </w:tcPr>
          <w:p w14:paraId="27CDD52C">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人</w:t>
            </w:r>
          </w:p>
        </w:tc>
        <w:tc>
          <w:tcPr>
            <w:tcW w:w="1095" w:type="dxa"/>
            <w:tcBorders>
              <w:top w:val="nil"/>
              <w:left w:val="nil"/>
              <w:bottom w:val="single" w:color="000000" w:sz="8" w:space="0"/>
              <w:right w:val="single" w:color="000000" w:sz="8" w:space="0"/>
            </w:tcBorders>
            <w:shd w:val="clear" w:color="auto" w:fill="auto"/>
            <w:vAlign w:val="center"/>
          </w:tcPr>
          <w:p w14:paraId="6A515008">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150</w:t>
            </w:r>
          </w:p>
        </w:tc>
        <w:tc>
          <w:tcPr>
            <w:tcW w:w="1500" w:type="dxa"/>
            <w:tcBorders>
              <w:top w:val="nil"/>
              <w:left w:val="nil"/>
              <w:bottom w:val="single" w:color="000000" w:sz="8" w:space="0"/>
              <w:right w:val="single" w:color="000000" w:sz="8" w:space="0"/>
            </w:tcBorders>
            <w:shd w:val="clear" w:color="auto" w:fill="auto"/>
            <w:noWrap/>
            <w:vAlign w:val="center"/>
          </w:tcPr>
          <w:p w14:paraId="1AC1B674">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100</w:t>
            </w:r>
          </w:p>
        </w:tc>
        <w:tc>
          <w:tcPr>
            <w:tcW w:w="1500" w:type="dxa"/>
            <w:tcBorders>
              <w:top w:val="nil"/>
              <w:left w:val="nil"/>
              <w:bottom w:val="single" w:color="000000" w:sz="8" w:space="0"/>
              <w:right w:val="single" w:color="000000" w:sz="8" w:space="0"/>
            </w:tcBorders>
            <w:shd w:val="clear" w:color="auto" w:fill="auto"/>
            <w:noWrap/>
            <w:vAlign w:val="center"/>
          </w:tcPr>
          <w:p w14:paraId="50B2F10E">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50</w:t>
            </w:r>
          </w:p>
        </w:tc>
        <w:tc>
          <w:tcPr>
            <w:tcW w:w="1927" w:type="dxa"/>
            <w:tcBorders>
              <w:top w:val="nil"/>
              <w:left w:val="nil"/>
              <w:bottom w:val="single" w:color="000000" w:sz="8" w:space="0"/>
              <w:right w:val="single" w:color="000000" w:sz="8" w:space="0"/>
            </w:tcBorders>
            <w:shd w:val="clear" w:color="auto" w:fill="auto"/>
            <w:noWrap/>
            <w:vAlign w:val="center"/>
          </w:tcPr>
          <w:p w14:paraId="3248B7E5">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p>
        </w:tc>
      </w:tr>
      <w:tr w14:paraId="0577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21" w:type="dxa"/>
            <w:tcBorders>
              <w:top w:val="nil"/>
              <w:left w:val="single" w:color="000000" w:sz="8" w:space="0"/>
              <w:bottom w:val="single" w:color="000000" w:sz="8" w:space="0"/>
              <w:right w:val="single" w:color="000000" w:sz="8" w:space="0"/>
            </w:tcBorders>
            <w:shd w:val="clear" w:color="auto" w:fill="auto"/>
            <w:vAlign w:val="center"/>
          </w:tcPr>
          <w:p w14:paraId="72E6A8DC">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黑体_GBK" w:cs="Times New Roman"/>
                <w:i w:val="0"/>
                <w:iCs w:val="0"/>
                <w:color w:val="000000"/>
                <w:kern w:val="0"/>
                <w:sz w:val="20"/>
                <w:szCs w:val="20"/>
                <w:u w:val="none"/>
                <w:shd w:val="clear" w:color="auto" w:fill="auto"/>
                <w:lang w:val="en-US" w:eastAsia="zh-CN" w:bidi="ar"/>
              </w:rPr>
              <w:t>科技服务</w:t>
            </w:r>
          </w:p>
        </w:tc>
        <w:tc>
          <w:tcPr>
            <w:tcW w:w="675" w:type="dxa"/>
            <w:tcBorders>
              <w:top w:val="nil"/>
              <w:left w:val="nil"/>
              <w:bottom w:val="single" w:color="000000" w:sz="8" w:space="0"/>
              <w:right w:val="single" w:color="000000" w:sz="8" w:space="0"/>
            </w:tcBorders>
            <w:shd w:val="clear" w:color="auto" w:fill="auto"/>
            <w:vAlign w:val="center"/>
          </w:tcPr>
          <w:p w14:paraId="64D00665">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r>
              <w:rPr>
                <w:rFonts w:hint="default" w:ascii="Times New Roman" w:hAnsi="Times New Roman" w:eastAsia="方正仿宋_GBK" w:cs="Times New Roman"/>
                <w:i w:val="0"/>
                <w:iCs w:val="0"/>
                <w:color w:val="000000"/>
                <w:kern w:val="0"/>
                <w:sz w:val="20"/>
                <w:szCs w:val="20"/>
                <w:u w:val="none"/>
                <w:shd w:val="clear" w:color="auto" w:fill="auto"/>
                <w:lang w:val="en-US" w:eastAsia="zh-CN" w:bidi="ar"/>
              </w:rPr>
              <w:t>次</w:t>
            </w:r>
          </w:p>
        </w:tc>
        <w:tc>
          <w:tcPr>
            <w:tcW w:w="1095" w:type="dxa"/>
            <w:tcBorders>
              <w:top w:val="nil"/>
              <w:left w:val="nil"/>
              <w:bottom w:val="single" w:color="000000" w:sz="8" w:space="0"/>
              <w:right w:val="single" w:color="000000" w:sz="8" w:space="0"/>
            </w:tcBorders>
            <w:shd w:val="clear" w:color="auto" w:fill="auto"/>
            <w:vAlign w:val="center"/>
          </w:tcPr>
          <w:p w14:paraId="551CEE0C">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2</w:t>
            </w:r>
          </w:p>
        </w:tc>
        <w:tc>
          <w:tcPr>
            <w:tcW w:w="1500" w:type="dxa"/>
            <w:tcBorders>
              <w:top w:val="nil"/>
              <w:left w:val="nil"/>
              <w:bottom w:val="single" w:color="000000" w:sz="8" w:space="0"/>
              <w:right w:val="single" w:color="000000" w:sz="8" w:space="0"/>
            </w:tcBorders>
            <w:shd w:val="clear" w:color="auto" w:fill="auto"/>
            <w:noWrap/>
            <w:vAlign w:val="center"/>
          </w:tcPr>
          <w:p w14:paraId="58D3D2C4">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w:t>
            </w:r>
          </w:p>
        </w:tc>
        <w:tc>
          <w:tcPr>
            <w:tcW w:w="1500" w:type="dxa"/>
            <w:tcBorders>
              <w:top w:val="nil"/>
              <w:left w:val="nil"/>
              <w:bottom w:val="single" w:color="000000" w:sz="8" w:space="0"/>
              <w:right w:val="single" w:color="000000" w:sz="8" w:space="0"/>
            </w:tcBorders>
            <w:shd w:val="clear" w:color="auto" w:fill="auto"/>
            <w:noWrap/>
            <w:vAlign w:val="center"/>
          </w:tcPr>
          <w:p w14:paraId="300374DE">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18"/>
                <w:szCs w:val="18"/>
                <w:u w:val="none"/>
                <w:shd w:val="clear" w:color="auto" w:fill="auto"/>
                <w14:textFill>
                  <w14:solidFill>
                    <w14:schemeClr w14:val="accent2"/>
                  </w14:solidFill>
                </w14:textFill>
              </w:rPr>
            </w:pPr>
            <w:r>
              <w:rPr>
                <w:rFonts w:hint="default" w:ascii="Times New Roman" w:hAnsi="Times New Roman" w:eastAsia="宋体" w:cs="Times New Roman"/>
                <w:i w:val="0"/>
                <w:iCs w:val="0"/>
                <w:color w:val="000000"/>
                <w:kern w:val="0"/>
                <w:sz w:val="18"/>
                <w:szCs w:val="18"/>
                <w:u w:val="none"/>
                <w:shd w:val="clear" w:color="auto" w:fill="auto"/>
                <w:lang w:val="en-US" w:eastAsia="zh-CN" w:bidi="ar"/>
              </w:rPr>
              <w:t>1</w:t>
            </w:r>
          </w:p>
        </w:tc>
        <w:tc>
          <w:tcPr>
            <w:tcW w:w="1927" w:type="dxa"/>
            <w:tcBorders>
              <w:top w:val="nil"/>
              <w:left w:val="nil"/>
              <w:bottom w:val="single" w:color="000000" w:sz="8" w:space="0"/>
              <w:right w:val="single" w:color="000000" w:sz="8" w:space="0"/>
            </w:tcBorders>
            <w:shd w:val="clear" w:color="auto" w:fill="auto"/>
            <w:noWrap/>
            <w:vAlign w:val="center"/>
          </w:tcPr>
          <w:p w14:paraId="7BBC597B">
            <w:pPr>
              <w:keepNext w:val="0"/>
              <w:keepLines w:val="0"/>
              <w:widowControl/>
              <w:suppressLineNumbers w:val="0"/>
              <w:jc w:val="center"/>
              <w:textAlignment w:val="center"/>
              <w:rPr>
                <w:rFonts w:hint="default" w:ascii="Times New Roman" w:hAnsi="Times New Roman" w:eastAsia="宋体" w:cs="Times New Roman"/>
                <w:i w:val="0"/>
                <w:iCs w:val="0"/>
                <w:color w:val="EE822F" w:themeColor="accent2"/>
                <w:sz w:val="20"/>
                <w:szCs w:val="20"/>
                <w:u w:val="none"/>
                <w:shd w:val="clear" w:color="auto" w:fill="auto"/>
                <w14:textFill>
                  <w14:solidFill>
                    <w14:schemeClr w14:val="accent2"/>
                  </w14:solidFill>
                </w14:textFill>
              </w:rPr>
            </w:pPr>
          </w:p>
        </w:tc>
      </w:tr>
    </w:tbl>
    <w:p w14:paraId="0EC4B623">
      <w:pPr>
        <w:rPr>
          <w:rFonts w:hint="default" w:ascii="Times New Roman" w:hAnsi="Times New Roman" w:cs="Times New Roman"/>
          <w:shd w:val="clear" w:color="auto" w:fill="auto"/>
          <w:lang w:val="en-US" w:eastAsia="zh-CN"/>
        </w:rPr>
        <w:sectPr>
          <w:pgSz w:w="11906" w:h="16838"/>
          <w:pgMar w:top="1440" w:right="1800" w:bottom="1440" w:left="1800" w:header="851" w:footer="992" w:gutter="0"/>
          <w:pgNumType w:fmt="decimal"/>
          <w:cols w:space="425" w:num="1"/>
          <w:docGrid w:type="lines" w:linePitch="312" w:charSpace="0"/>
        </w:sectPr>
      </w:pPr>
    </w:p>
    <w:p w14:paraId="40A5D203">
      <w:pPr>
        <w:pStyle w:val="3"/>
        <w:outlineLvl w:val="0"/>
        <w:rPr>
          <w:rFonts w:hint="eastAsia" w:ascii="Times New Roman" w:hAnsi="Times New Roman" w:eastAsia="仿宋_GB2312" w:cs="Times New Roman"/>
          <w:b w:val="0"/>
          <w:color w:val="000000"/>
          <w:kern w:val="0"/>
          <w:sz w:val="31"/>
          <w:szCs w:val="31"/>
          <w:shd w:val="clear" w:color="auto" w:fill="auto"/>
          <w:lang w:val="en-US" w:eastAsia="zh-CN" w:bidi="ar"/>
        </w:rPr>
      </w:pPr>
      <w:bookmarkStart w:id="250" w:name="_Toc22676"/>
      <w:r>
        <w:rPr>
          <w:rFonts w:hint="default" w:ascii="Times New Roman" w:hAnsi="Times New Roman" w:eastAsia="仿宋_GB2312" w:cs="Times New Roman"/>
          <w:b w:val="0"/>
          <w:color w:val="000000"/>
          <w:kern w:val="0"/>
          <w:sz w:val="31"/>
          <w:szCs w:val="31"/>
          <w:shd w:val="clear" w:color="auto" w:fill="auto"/>
          <w:lang w:val="en-US" w:eastAsia="zh-CN" w:bidi="ar"/>
        </w:rPr>
        <w:t>附表</w:t>
      </w:r>
      <w:r>
        <w:rPr>
          <w:rFonts w:hint="eastAsia" w:ascii="Times New Roman" w:hAnsi="Times New Roman" w:eastAsia="仿宋_GB2312" w:cs="Times New Roman"/>
          <w:b w:val="0"/>
          <w:color w:val="000000"/>
          <w:kern w:val="0"/>
          <w:sz w:val="31"/>
          <w:szCs w:val="31"/>
          <w:shd w:val="clear" w:color="auto" w:fill="auto"/>
          <w:lang w:val="en-US" w:eastAsia="zh-CN" w:bidi="ar"/>
        </w:rPr>
        <w:t>3</w:t>
      </w:r>
      <w:bookmarkEnd w:id="250"/>
    </w:p>
    <w:p w14:paraId="36157868">
      <w:pPr>
        <w:jc w:val="center"/>
        <w:outlineLvl w:val="0"/>
        <w:rPr>
          <w:rFonts w:hint="eastAsia" w:ascii="Times New Roman" w:hAnsi="Times New Roman" w:eastAsia="仿宋_GB2312" w:cs="Times New Roman"/>
          <w:b/>
          <w:kern w:val="0"/>
          <w:sz w:val="32"/>
          <w:szCs w:val="32"/>
          <w:shd w:val="clear" w:color="auto" w:fill="auto"/>
          <w:lang w:val="en-US" w:eastAsia="zh-CN" w:bidi="ar"/>
        </w:rPr>
      </w:pPr>
      <w:r>
        <w:rPr>
          <w:rFonts w:hint="eastAsia" w:ascii="Times New Roman" w:hAnsi="Times New Roman" w:cs="Times New Roman"/>
          <w:b/>
          <w:kern w:val="0"/>
          <w:sz w:val="32"/>
          <w:szCs w:val="32"/>
          <w:shd w:val="clear" w:color="auto" w:fill="auto"/>
          <w:lang w:val="en-US" w:eastAsia="zh-CN" w:bidi="ar"/>
        </w:rPr>
        <w:t>伊吾县防沙治沙实施方案</w:t>
      </w:r>
      <w:r>
        <w:rPr>
          <w:rFonts w:hint="eastAsia" w:ascii="Times New Roman" w:hAnsi="Times New Roman" w:eastAsia="仿宋_GB2312" w:cs="Times New Roman"/>
          <w:b/>
          <w:kern w:val="0"/>
          <w:sz w:val="32"/>
          <w:szCs w:val="32"/>
          <w:shd w:val="clear" w:color="auto" w:fill="auto"/>
          <w:lang w:val="en-US" w:eastAsia="zh-CN" w:bidi="ar"/>
        </w:rPr>
        <w:t>工程建设投资汇总表</w:t>
      </w:r>
    </w:p>
    <w:tbl>
      <w:tblPr>
        <w:tblStyle w:val="36"/>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2047"/>
        <w:gridCol w:w="1550"/>
        <w:gridCol w:w="1551"/>
        <w:gridCol w:w="1551"/>
        <w:gridCol w:w="1551"/>
        <w:gridCol w:w="1552"/>
        <w:gridCol w:w="1551"/>
        <w:gridCol w:w="1556"/>
      </w:tblGrid>
      <w:tr w14:paraId="1CFDD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9" w:hRule="atLeast"/>
        </w:trPr>
        <w:tc>
          <w:tcPr>
            <w:tcW w:w="925" w:type="dxa"/>
            <w:noWrap w:val="0"/>
            <w:vAlign w:val="top"/>
          </w:tcPr>
          <w:p w14:paraId="080992BC">
            <w:pPr>
              <w:keepNext w:val="0"/>
              <w:keepLines w:val="0"/>
              <w:pageBreakBefore w:val="0"/>
              <w:widowControl/>
              <w:kinsoku/>
              <w:wordWrap/>
              <w:overflowPunct/>
              <w:topLinePunct w:val="0"/>
              <w:autoSpaceDE/>
              <w:autoSpaceDN/>
              <w:bidi w:val="0"/>
              <w:adjustRightInd/>
              <w:snapToGrid/>
              <w:spacing w:before="293" w:line="240" w:lineRule="exact"/>
              <w:ind w:left="268"/>
              <w:jc w:val="center"/>
              <w:textAlignment w:val="auto"/>
              <w:rPr>
                <w:rFonts w:ascii="宋体" w:hAnsi="宋体" w:eastAsia="宋体" w:cs="宋体"/>
                <w:sz w:val="20"/>
                <w:szCs w:val="20"/>
              </w:rPr>
            </w:pPr>
            <w:r>
              <w:rPr>
                <w:rFonts w:ascii="宋体" w:hAnsi="宋体" w:eastAsia="宋体" w:cs="宋体"/>
                <w:sz w:val="20"/>
                <w:szCs w:val="20"/>
              </w:rPr>
              <w:t>序号</w:t>
            </w:r>
          </w:p>
        </w:tc>
        <w:tc>
          <w:tcPr>
            <w:tcW w:w="2047" w:type="dxa"/>
            <w:noWrap w:val="0"/>
            <w:vAlign w:val="top"/>
          </w:tcPr>
          <w:p w14:paraId="649918A7">
            <w:pPr>
              <w:keepNext w:val="0"/>
              <w:keepLines w:val="0"/>
              <w:pageBreakBefore w:val="0"/>
              <w:widowControl/>
              <w:kinsoku/>
              <w:wordWrap/>
              <w:overflowPunct/>
              <w:topLinePunct w:val="0"/>
              <w:autoSpaceDE/>
              <w:autoSpaceDN/>
              <w:bidi w:val="0"/>
              <w:adjustRightInd/>
              <w:snapToGrid/>
              <w:spacing w:before="293" w:line="240" w:lineRule="exact"/>
              <w:ind w:left="831"/>
              <w:jc w:val="left"/>
              <w:textAlignment w:val="auto"/>
              <w:rPr>
                <w:rFonts w:ascii="宋体" w:hAnsi="宋体" w:eastAsia="宋体" w:cs="宋体"/>
                <w:sz w:val="20"/>
                <w:szCs w:val="20"/>
              </w:rPr>
            </w:pPr>
            <w:r>
              <w:rPr>
                <w:rFonts w:ascii="宋体" w:hAnsi="宋体" w:eastAsia="宋体" w:cs="宋体"/>
                <w:spacing w:val="-2"/>
                <w:sz w:val="20"/>
                <w:szCs w:val="20"/>
              </w:rPr>
              <w:t>项目</w:t>
            </w:r>
          </w:p>
        </w:tc>
        <w:tc>
          <w:tcPr>
            <w:tcW w:w="1550" w:type="dxa"/>
            <w:noWrap w:val="0"/>
            <w:vAlign w:val="top"/>
          </w:tcPr>
          <w:p w14:paraId="221E1CAA">
            <w:pPr>
              <w:pStyle w:val="37"/>
              <w:keepNext w:val="0"/>
              <w:keepLines w:val="0"/>
              <w:pageBreakBefore w:val="0"/>
              <w:widowControl/>
              <w:kinsoku/>
              <w:wordWrap/>
              <w:overflowPunct/>
              <w:topLinePunct w:val="0"/>
              <w:autoSpaceDE/>
              <w:autoSpaceDN/>
              <w:bidi w:val="0"/>
              <w:adjustRightInd/>
              <w:snapToGrid/>
              <w:spacing w:before="112" w:line="240" w:lineRule="exact"/>
              <w:ind w:left="156"/>
              <w:jc w:val="center"/>
              <w:textAlignment w:val="auto"/>
              <w:rPr>
                <w:rFonts w:ascii="宋体" w:hAnsi="宋体" w:eastAsia="宋体" w:cs="宋体"/>
              </w:rPr>
            </w:pPr>
            <w:r>
              <w:rPr>
                <w:spacing w:val="-1"/>
              </w:rPr>
              <w:t>2021</w:t>
            </w:r>
            <w:r>
              <w:rPr>
                <w:rFonts w:ascii="宋体" w:hAnsi="宋体" w:eastAsia="宋体" w:cs="宋体"/>
                <w:spacing w:val="-1"/>
              </w:rPr>
              <w:t>—</w:t>
            </w:r>
            <w:r>
              <w:rPr>
                <w:spacing w:val="-1"/>
              </w:rPr>
              <w:t xml:space="preserve">2030 </w:t>
            </w:r>
            <w:r>
              <w:rPr>
                <w:rFonts w:ascii="宋体" w:hAnsi="宋体" w:eastAsia="宋体" w:cs="宋体"/>
                <w:spacing w:val="-1"/>
              </w:rPr>
              <w:t>年</w:t>
            </w:r>
          </w:p>
          <w:p w14:paraId="2F1119AA">
            <w:pPr>
              <w:keepNext w:val="0"/>
              <w:keepLines w:val="0"/>
              <w:pageBreakBefore w:val="0"/>
              <w:widowControl/>
              <w:kinsoku/>
              <w:wordWrap/>
              <w:overflowPunct/>
              <w:topLinePunct w:val="0"/>
              <w:autoSpaceDE/>
              <w:autoSpaceDN/>
              <w:bidi w:val="0"/>
              <w:adjustRightInd/>
              <w:snapToGrid/>
              <w:spacing w:before="113" w:line="240" w:lineRule="exact"/>
              <w:ind w:left="183"/>
              <w:jc w:val="center"/>
              <w:textAlignment w:val="auto"/>
              <w:rPr>
                <w:rFonts w:ascii="宋体" w:hAnsi="宋体" w:eastAsia="宋体" w:cs="宋体"/>
                <w:sz w:val="20"/>
                <w:szCs w:val="20"/>
              </w:rPr>
            </w:pPr>
            <w:r>
              <w:rPr>
                <w:rFonts w:ascii="宋体" w:hAnsi="宋体" w:eastAsia="宋体" w:cs="宋体"/>
                <w:spacing w:val="-2"/>
                <w:sz w:val="20"/>
                <w:szCs w:val="20"/>
              </w:rPr>
              <w:t>任务（公顷）</w:t>
            </w:r>
          </w:p>
        </w:tc>
        <w:tc>
          <w:tcPr>
            <w:tcW w:w="1551" w:type="dxa"/>
            <w:noWrap w:val="0"/>
            <w:vAlign w:val="top"/>
          </w:tcPr>
          <w:p w14:paraId="34B0DEE3">
            <w:pPr>
              <w:pStyle w:val="37"/>
              <w:keepNext w:val="0"/>
              <w:keepLines w:val="0"/>
              <w:pageBreakBefore w:val="0"/>
              <w:widowControl/>
              <w:kinsoku/>
              <w:wordWrap/>
              <w:overflowPunct/>
              <w:topLinePunct w:val="0"/>
              <w:autoSpaceDE/>
              <w:autoSpaceDN/>
              <w:bidi w:val="0"/>
              <w:adjustRightInd/>
              <w:snapToGrid/>
              <w:spacing w:before="112" w:line="240" w:lineRule="exact"/>
              <w:ind w:left="157"/>
              <w:jc w:val="center"/>
              <w:textAlignment w:val="auto"/>
              <w:rPr>
                <w:rFonts w:ascii="宋体" w:hAnsi="宋体" w:eastAsia="宋体" w:cs="宋体"/>
              </w:rPr>
            </w:pPr>
            <w:r>
              <w:rPr>
                <w:spacing w:val="-1"/>
              </w:rPr>
              <w:t>2021</w:t>
            </w:r>
            <w:r>
              <w:rPr>
                <w:rFonts w:ascii="宋体" w:hAnsi="宋体" w:eastAsia="宋体" w:cs="宋体"/>
                <w:spacing w:val="-1"/>
              </w:rPr>
              <w:t>—</w:t>
            </w:r>
            <w:r>
              <w:rPr>
                <w:spacing w:val="-1"/>
              </w:rPr>
              <w:t xml:space="preserve">2025 </w:t>
            </w:r>
            <w:r>
              <w:rPr>
                <w:rFonts w:ascii="宋体" w:hAnsi="宋体" w:eastAsia="宋体" w:cs="宋体"/>
                <w:spacing w:val="-1"/>
              </w:rPr>
              <w:t>年</w:t>
            </w:r>
          </w:p>
          <w:p w14:paraId="6787E50D">
            <w:pPr>
              <w:keepNext w:val="0"/>
              <w:keepLines w:val="0"/>
              <w:pageBreakBefore w:val="0"/>
              <w:widowControl/>
              <w:kinsoku/>
              <w:wordWrap/>
              <w:overflowPunct/>
              <w:topLinePunct w:val="0"/>
              <w:autoSpaceDE/>
              <w:autoSpaceDN/>
              <w:bidi w:val="0"/>
              <w:adjustRightInd/>
              <w:snapToGrid/>
              <w:spacing w:before="113" w:line="240" w:lineRule="exact"/>
              <w:ind w:left="186"/>
              <w:jc w:val="center"/>
              <w:textAlignment w:val="auto"/>
              <w:rPr>
                <w:rFonts w:ascii="宋体" w:hAnsi="宋体" w:eastAsia="宋体" w:cs="宋体"/>
                <w:sz w:val="20"/>
                <w:szCs w:val="20"/>
              </w:rPr>
            </w:pPr>
            <w:r>
              <w:rPr>
                <w:rFonts w:ascii="宋体" w:hAnsi="宋体" w:eastAsia="宋体" w:cs="宋体"/>
                <w:spacing w:val="-2"/>
                <w:sz w:val="20"/>
                <w:szCs w:val="20"/>
              </w:rPr>
              <w:t>任务（公顷）</w:t>
            </w:r>
          </w:p>
        </w:tc>
        <w:tc>
          <w:tcPr>
            <w:tcW w:w="1551" w:type="dxa"/>
            <w:noWrap w:val="0"/>
            <w:vAlign w:val="top"/>
          </w:tcPr>
          <w:p w14:paraId="3BBDB115">
            <w:pPr>
              <w:pStyle w:val="37"/>
              <w:keepNext w:val="0"/>
              <w:keepLines w:val="0"/>
              <w:pageBreakBefore w:val="0"/>
              <w:widowControl/>
              <w:kinsoku/>
              <w:wordWrap/>
              <w:overflowPunct/>
              <w:topLinePunct w:val="0"/>
              <w:autoSpaceDE/>
              <w:autoSpaceDN/>
              <w:bidi w:val="0"/>
              <w:adjustRightInd/>
              <w:snapToGrid/>
              <w:spacing w:before="112" w:line="240" w:lineRule="exact"/>
              <w:ind w:left="159"/>
              <w:jc w:val="center"/>
              <w:textAlignment w:val="auto"/>
              <w:rPr>
                <w:rFonts w:ascii="宋体" w:hAnsi="宋体" w:eastAsia="宋体" w:cs="宋体"/>
              </w:rPr>
            </w:pPr>
            <w:r>
              <w:rPr>
                <w:spacing w:val="-1"/>
              </w:rPr>
              <w:t>2026</w:t>
            </w:r>
            <w:r>
              <w:rPr>
                <w:rFonts w:ascii="宋体" w:hAnsi="宋体" w:eastAsia="宋体" w:cs="宋体"/>
                <w:spacing w:val="-1"/>
              </w:rPr>
              <w:t>—</w:t>
            </w:r>
            <w:r>
              <w:rPr>
                <w:spacing w:val="-1"/>
              </w:rPr>
              <w:t xml:space="preserve">2030 </w:t>
            </w:r>
            <w:r>
              <w:rPr>
                <w:rFonts w:ascii="宋体" w:hAnsi="宋体" w:eastAsia="宋体" w:cs="宋体"/>
                <w:spacing w:val="-1"/>
              </w:rPr>
              <w:t>年</w:t>
            </w:r>
          </w:p>
          <w:p w14:paraId="018244CF">
            <w:pPr>
              <w:keepNext w:val="0"/>
              <w:keepLines w:val="0"/>
              <w:pageBreakBefore w:val="0"/>
              <w:widowControl/>
              <w:kinsoku/>
              <w:wordWrap/>
              <w:overflowPunct/>
              <w:topLinePunct w:val="0"/>
              <w:autoSpaceDE/>
              <w:autoSpaceDN/>
              <w:bidi w:val="0"/>
              <w:adjustRightInd/>
              <w:snapToGrid/>
              <w:spacing w:before="113" w:line="240" w:lineRule="exact"/>
              <w:ind w:left="186"/>
              <w:jc w:val="center"/>
              <w:textAlignment w:val="auto"/>
              <w:rPr>
                <w:rFonts w:ascii="宋体" w:hAnsi="宋体" w:eastAsia="宋体" w:cs="宋体"/>
                <w:sz w:val="20"/>
                <w:szCs w:val="20"/>
              </w:rPr>
            </w:pPr>
            <w:r>
              <w:rPr>
                <w:rFonts w:ascii="宋体" w:hAnsi="宋体" w:eastAsia="宋体" w:cs="宋体"/>
                <w:spacing w:val="-2"/>
                <w:sz w:val="20"/>
                <w:szCs w:val="20"/>
              </w:rPr>
              <w:t>任务（公顷）</w:t>
            </w:r>
          </w:p>
        </w:tc>
        <w:tc>
          <w:tcPr>
            <w:tcW w:w="1551" w:type="dxa"/>
            <w:noWrap w:val="0"/>
            <w:vAlign w:val="top"/>
          </w:tcPr>
          <w:p w14:paraId="31D6A047">
            <w:pPr>
              <w:pStyle w:val="37"/>
              <w:keepNext w:val="0"/>
              <w:keepLines w:val="0"/>
              <w:pageBreakBefore w:val="0"/>
              <w:widowControl/>
              <w:kinsoku/>
              <w:wordWrap/>
              <w:overflowPunct/>
              <w:topLinePunct w:val="0"/>
              <w:autoSpaceDE/>
              <w:autoSpaceDN/>
              <w:bidi w:val="0"/>
              <w:adjustRightInd/>
              <w:snapToGrid/>
              <w:spacing w:before="293" w:line="240" w:lineRule="exact"/>
              <w:jc w:val="center"/>
              <w:textAlignment w:val="auto"/>
              <w:rPr>
                <w:rFonts w:ascii="宋体" w:hAnsi="宋体" w:eastAsia="宋体" w:cs="宋体"/>
              </w:rPr>
            </w:pPr>
            <w:r>
              <w:rPr>
                <w:rFonts w:ascii="宋体" w:hAnsi="宋体" w:eastAsia="宋体" w:cs="宋体"/>
                <w:spacing w:val="-5"/>
              </w:rPr>
              <w:t>单价（元</w:t>
            </w:r>
            <w:r>
              <w:rPr>
                <w:spacing w:val="-5"/>
              </w:rPr>
              <w:t>/</w:t>
            </w:r>
            <w:r>
              <w:rPr>
                <w:rFonts w:ascii="宋体" w:hAnsi="宋体" w:eastAsia="宋体" w:cs="宋体"/>
                <w:spacing w:val="-5"/>
              </w:rPr>
              <w:t>公顷）</w:t>
            </w:r>
          </w:p>
        </w:tc>
        <w:tc>
          <w:tcPr>
            <w:tcW w:w="1552" w:type="dxa"/>
            <w:noWrap w:val="0"/>
            <w:vAlign w:val="top"/>
          </w:tcPr>
          <w:p w14:paraId="031273C4">
            <w:pPr>
              <w:pStyle w:val="37"/>
              <w:keepNext w:val="0"/>
              <w:keepLines w:val="0"/>
              <w:pageBreakBefore w:val="0"/>
              <w:widowControl/>
              <w:kinsoku/>
              <w:wordWrap/>
              <w:overflowPunct/>
              <w:topLinePunct w:val="0"/>
              <w:autoSpaceDE/>
              <w:autoSpaceDN/>
              <w:bidi w:val="0"/>
              <w:adjustRightInd/>
              <w:snapToGrid/>
              <w:spacing w:before="112" w:line="240" w:lineRule="exact"/>
              <w:ind w:left="160"/>
              <w:jc w:val="center"/>
              <w:textAlignment w:val="auto"/>
              <w:rPr>
                <w:rFonts w:ascii="宋体" w:hAnsi="宋体" w:eastAsia="宋体" w:cs="宋体"/>
              </w:rPr>
            </w:pPr>
            <w:r>
              <w:rPr>
                <w:spacing w:val="-1"/>
              </w:rPr>
              <w:t>2021</w:t>
            </w:r>
            <w:r>
              <w:rPr>
                <w:rFonts w:ascii="宋体" w:hAnsi="宋体" w:eastAsia="宋体" w:cs="宋体"/>
                <w:spacing w:val="-1"/>
              </w:rPr>
              <w:t>—</w:t>
            </w:r>
            <w:r>
              <w:rPr>
                <w:spacing w:val="-1"/>
              </w:rPr>
              <w:t xml:space="preserve">2030 </w:t>
            </w:r>
            <w:r>
              <w:rPr>
                <w:rFonts w:ascii="宋体" w:hAnsi="宋体" w:eastAsia="宋体" w:cs="宋体"/>
                <w:spacing w:val="-1"/>
              </w:rPr>
              <w:t>年</w:t>
            </w:r>
          </w:p>
          <w:p w14:paraId="18299648">
            <w:pPr>
              <w:keepNext w:val="0"/>
              <w:keepLines w:val="0"/>
              <w:pageBreakBefore w:val="0"/>
              <w:widowControl/>
              <w:kinsoku/>
              <w:wordWrap/>
              <w:overflowPunct/>
              <w:topLinePunct w:val="0"/>
              <w:autoSpaceDE/>
              <w:autoSpaceDN/>
              <w:bidi w:val="0"/>
              <w:adjustRightInd/>
              <w:snapToGrid/>
              <w:spacing w:before="113" w:line="240" w:lineRule="exact"/>
              <w:ind w:left="190"/>
              <w:jc w:val="center"/>
              <w:textAlignment w:val="auto"/>
              <w:rPr>
                <w:rFonts w:ascii="宋体" w:hAnsi="宋体" w:eastAsia="宋体" w:cs="宋体"/>
                <w:sz w:val="20"/>
                <w:szCs w:val="20"/>
              </w:rPr>
            </w:pPr>
            <w:r>
              <w:rPr>
                <w:rFonts w:ascii="宋体" w:hAnsi="宋体" w:eastAsia="宋体" w:cs="宋体"/>
                <w:spacing w:val="-2"/>
                <w:sz w:val="20"/>
                <w:szCs w:val="20"/>
              </w:rPr>
              <w:t>投资（万元）</w:t>
            </w:r>
          </w:p>
        </w:tc>
        <w:tc>
          <w:tcPr>
            <w:tcW w:w="1551" w:type="dxa"/>
            <w:noWrap w:val="0"/>
            <w:vAlign w:val="top"/>
          </w:tcPr>
          <w:p w14:paraId="37420AB2">
            <w:pPr>
              <w:pStyle w:val="37"/>
              <w:keepNext w:val="0"/>
              <w:keepLines w:val="0"/>
              <w:pageBreakBefore w:val="0"/>
              <w:widowControl/>
              <w:kinsoku/>
              <w:wordWrap/>
              <w:overflowPunct/>
              <w:topLinePunct w:val="0"/>
              <w:autoSpaceDE/>
              <w:autoSpaceDN/>
              <w:bidi w:val="0"/>
              <w:adjustRightInd/>
              <w:snapToGrid/>
              <w:spacing w:before="112" w:line="240" w:lineRule="exact"/>
              <w:ind w:left="161"/>
              <w:jc w:val="center"/>
              <w:textAlignment w:val="auto"/>
              <w:rPr>
                <w:rFonts w:ascii="宋体" w:hAnsi="宋体" w:eastAsia="宋体" w:cs="宋体"/>
              </w:rPr>
            </w:pPr>
            <w:r>
              <w:rPr>
                <w:spacing w:val="-1"/>
              </w:rPr>
              <w:t>2021</w:t>
            </w:r>
            <w:r>
              <w:rPr>
                <w:rFonts w:ascii="宋体" w:hAnsi="宋体" w:eastAsia="宋体" w:cs="宋体"/>
                <w:spacing w:val="-1"/>
              </w:rPr>
              <w:t>—</w:t>
            </w:r>
            <w:r>
              <w:rPr>
                <w:spacing w:val="-1"/>
              </w:rPr>
              <w:t xml:space="preserve">2025 </w:t>
            </w:r>
            <w:r>
              <w:rPr>
                <w:rFonts w:ascii="宋体" w:hAnsi="宋体" w:eastAsia="宋体" w:cs="宋体"/>
                <w:spacing w:val="-1"/>
              </w:rPr>
              <w:t>年</w:t>
            </w:r>
          </w:p>
          <w:p w14:paraId="4CD394EB">
            <w:pPr>
              <w:keepNext w:val="0"/>
              <w:keepLines w:val="0"/>
              <w:pageBreakBefore w:val="0"/>
              <w:widowControl/>
              <w:kinsoku/>
              <w:wordWrap/>
              <w:overflowPunct/>
              <w:topLinePunct w:val="0"/>
              <w:autoSpaceDE/>
              <w:autoSpaceDN/>
              <w:bidi w:val="0"/>
              <w:adjustRightInd/>
              <w:snapToGrid/>
              <w:spacing w:before="113" w:line="240" w:lineRule="exact"/>
              <w:ind w:left="191"/>
              <w:jc w:val="center"/>
              <w:textAlignment w:val="auto"/>
              <w:rPr>
                <w:rFonts w:ascii="宋体" w:hAnsi="宋体" w:eastAsia="宋体" w:cs="宋体"/>
                <w:sz w:val="20"/>
                <w:szCs w:val="20"/>
              </w:rPr>
            </w:pPr>
            <w:r>
              <w:rPr>
                <w:rFonts w:ascii="宋体" w:hAnsi="宋体" w:eastAsia="宋体" w:cs="宋体"/>
                <w:spacing w:val="-2"/>
                <w:sz w:val="20"/>
                <w:szCs w:val="20"/>
              </w:rPr>
              <w:t>投资（万元）</w:t>
            </w:r>
          </w:p>
        </w:tc>
        <w:tc>
          <w:tcPr>
            <w:tcW w:w="1556" w:type="dxa"/>
            <w:noWrap w:val="0"/>
            <w:vAlign w:val="top"/>
          </w:tcPr>
          <w:p w14:paraId="1BCE63C5">
            <w:pPr>
              <w:pStyle w:val="37"/>
              <w:keepNext w:val="0"/>
              <w:keepLines w:val="0"/>
              <w:pageBreakBefore w:val="0"/>
              <w:widowControl/>
              <w:kinsoku/>
              <w:wordWrap/>
              <w:overflowPunct/>
              <w:topLinePunct w:val="0"/>
              <w:autoSpaceDE/>
              <w:autoSpaceDN/>
              <w:bidi w:val="0"/>
              <w:adjustRightInd/>
              <w:snapToGrid/>
              <w:spacing w:before="112" w:line="240" w:lineRule="exact"/>
              <w:ind w:left="160"/>
              <w:jc w:val="center"/>
              <w:textAlignment w:val="auto"/>
              <w:rPr>
                <w:rFonts w:ascii="宋体" w:hAnsi="宋体" w:eastAsia="宋体" w:cs="宋体"/>
              </w:rPr>
            </w:pPr>
            <w:r>
              <w:rPr>
                <w:spacing w:val="-1"/>
              </w:rPr>
              <w:t>2026</w:t>
            </w:r>
            <w:r>
              <w:rPr>
                <w:rFonts w:ascii="宋体" w:hAnsi="宋体" w:eastAsia="宋体" w:cs="宋体"/>
                <w:spacing w:val="-1"/>
              </w:rPr>
              <w:t>—</w:t>
            </w:r>
            <w:r>
              <w:rPr>
                <w:spacing w:val="-1"/>
              </w:rPr>
              <w:t xml:space="preserve">2030 </w:t>
            </w:r>
            <w:r>
              <w:rPr>
                <w:rFonts w:ascii="宋体" w:hAnsi="宋体" w:eastAsia="宋体" w:cs="宋体"/>
                <w:spacing w:val="-1"/>
              </w:rPr>
              <w:t>年</w:t>
            </w:r>
          </w:p>
          <w:p w14:paraId="3507163E">
            <w:pPr>
              <w:keepNext w:val="0"/>
              <w:keepLines w:val="0"/>
              <w:pageBreakBefore w:val="0"/>
              <w:widowControl/>
              <w:kinsoku/>
              <w:wordWrap/>
              <w:overflowPunct/>
              <w:topLinePunct w:val="0"/>
              <w:autoSpaceDE/>
              <w:autoSpaceDN/>
              <w:bidi w:val="0"/>
              <w:adjustRightInd/>
              <w:snapToGrid/>
              <w:spacing w:before="113" w:line="240" w:lineRule="exact"/>
              <w:ind w:left="193"/>
              <w:jc w:val="center"/>
              <w:textAlignment w:val="auto"/>
              <w:rPr>
                <w:rFonts w:ascii="宋体" w:hAnsi="宋体" w:eastAsia="宋体" w:cs="宋体"/>
                <w:sz w:val="20"/>
                <w:szCs w:val="20"/>
              </w:rPr>
            </w:pPr>
            <w:r>
              <w:rPr>
                <w:rFonts w:ascii="宋体" w:hAnsi="宋体" w:eastAsia="宋体" w:cs="宋体"/>
                <w:spacing w:val="-2"/>
                <w:sz w:val="20"/>
                <w:szCs w:val="20"/>
              </w:rPr>
              <w:t>投资（万元）</w:t>
            </w:r>
          </w:p>
        </w:tc>
      </w:tr>
      <w:tr w14:paraId="07649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925" w:type="dxa"/>
            <w:noWrap w:val="0"/>
            <w:vAlign w:val="top"/>
          </w:tcPr>
          <w:p w14:paraId="46DD066E">
            <w:pPr>
              <w:keepNext w:val="0"/>
              <w:keepLines w:val="0"/>
              <w:widowControl/>
              <w:suppressLineNumbers w:val="0"/>
              <w:jc w:val="center"/>
              <w:textAlignment w:val="center"/>
              <w:rPr>
                <w:rFonts w:hint="eastAsia" w:ascii="Times New Roman" w:hAnsi="Times New Roman" w:eastAsia="宋体" w:cs="Times New Roman"/>
                <w:i w:val="0"/>
                <w:iCs w:val="0"/>
                <w:snapToGrid w:val="0"/>
                <w:color w:val="000000"/>
                <w:kern w:val="0"/>
                <w:sz w:val="20"/>
                <w:szCs w:val="20"/>
                <w:u w:val="none"/>
                <w:lang w:val="en-US" w:eastAsia="zh-CN" w:bidi="ar"/>
              </w:rPr>
            </w:pPr>
          </w:p>
        </w:tc>
        <w:tc>
          <w:tcPr>
            <w:tcW w:w="2047" w:type="dxa"/>
            <w:noWrap w:val="0"/>
            <w:vAlign w:val="top"/>
          </w:tcPr>
          <w:p w14:paraId="79725D90">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建设总投资</w:t>
            </w:r>
          </w:p>
        </w:tc>
        <w:tc>
          <w:tcPr>
            <w:tcW w:w="1550" w:type="dxa"/>
            <w:noWrap w:val="0"/>
            <w:vAlign w:val="center"/>
          </w:tcPr>
          <w:p w14:paraId="2C606819">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1551" w:type="dxa"/>
            <w:noWrap w:val="0"/>
            <w:vAlign w:val="center"/>
          </w:tcPr>
          <w:p w14:paraId="1786BFD8">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1551" w:type="dxa"/>
            <w:noWrap w:val="0"/>
            <w:vAlign w:val="center"/>
          </w:tcPr>
          <w:p w14:paraId="58933559">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1551" w:type="dxa"/>
            <w:noWrap w:val="0"/>
            <w:vAlign w:val="center"/>
          </w:tcPr>
          <w:p w14:paraId="3456E8A5">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p>
        </w:tc>
        <w:tc>
          <w:tcPr>
            <w:tcW w:w="1552" w:type="dxa"/>
            <w:noWrap w:val="0"/>
            <w:vAlign w:val="center"/>
          </w:tcPr>
          <w:p w14:paraId="4C73682B">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8456.86</w:t>
            </w:r>
          </w:p>
        </w:tc>
        <w:tc>
          <w:tcPr>
            <w:tcW w:w="1551" w:type="dxa"/>
            <w:noWrap w:val="0"/>
            <w:vAlign w:val="center"/>
          </w:tcPr>
          <w:p w14:paraId="2C774DEC">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7596.68</w:t>
            </w:r>
          </w:p>
        </w:tc>
        <w:tc>
          <w:tcPr>
            <w:tcW w:w="1556" w:type="dxa"/>
            <w:noWrap w:val="0"/>
            <w:vAlign w:val="center"/>
          </w:tcPr>
          <w:p w14:paraId="7B1085C0">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860.18</w:t>
            </w:r>
          </w:p>
        </w:tc>
      </w:tr>
      <w:tr w14:paraId="31E09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25" w:type="dxa"/>
            <w:noWrap w:val="0"/>
            <w:vAlign w:val="top"/>
          </w:tcPr>
          <w:p w14:paraId="26092C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eastAsia="宋体"/>
                <w:sz w:val="21"/>
                <w:lang w:val="en-US" w:eastAsia="zh-CN"/>
              </w:rPr>
            </w:pPr>
            <w:r>
              <w:rPr>
                <w:rFonts w:hint="eastAsia" w:eastAsia="宋体"/>
                <w:sz w:val="21"/>
                <w:lang w:val="en-US" w:eastAsia="zh-CN"/>
              </w:rPr>
              <w:t>一</w:t>
            </w:r>
          </w:p>
        </w:tc>
        <w:tc>
          <w:tcPr>
            <w:tcW w:w="2047" w:type="dxa"/>
            <w:noWrap w:val="0"/>
            <w:vAlign w:val="top"/>
          </w:tcPr>
          <w:p w14:paraId="310CB0DA">
            <w:pPr>
              <w:keepNext w:val="0"/>
              <w:keepLines w:val="0"/>
              <w:pageBreakBefore w:val="0"/>
              <w:widowControl/>
              <w:kinsoku/>
              <w:wordWrap/>
              <w:overflowPunct/>
              <w:topLinePunct w:val="0"/>
              <w:autoSpaceDE/>
              <w:autoSpaceDN/>
              <w:bidi w:val="0"/>
              <w:adjustRightInd/>
              <w:snapToGrid/>
              <w:spacing w:before="112" w:line="240" w:lineRule="exact"/>
              <w:ind w:left="729"/>
              <w:jc w:val="left"/>
              <w:textAlignment w:val="auto"/>
              <w:rPr>
                <w:rFonts w:hint="eastAsia" w:ascii="宋体" w:hAnsi="宋体" w:eastAsia="宋体" w:cs="宋体"/>
                <w:spacing w:val="-2"/>
                <w:sz w:val="20"/>
                <w:szCs w:val="20"/>
                <w:lang w:val="en-US" w:eastAsia="zh-CN"/>
              </w:rPr>
            </w:pPr>
            <w:r>
              <w:rPr>
                <w:rFonts w:hint="eastAsia" w:ascii="宋体" w:hAnsi="宋体" w:eastAsia="宋体" w:cs="宋体"/>
                <w:spacing w:val="-2"/>
                <w:sz w:val="20"/>
                <w:szCs w:val="20"/>
                <w:lang w:val="en-US" w:eastAsia="zh-CN"/>
              </w:rPr>
              <w:t>工程总量</w:t>
            </w:r>
          </w:p>
        </w:tc>
        <w:tc>
          <w:tcPr>
            <w:tcW w:w="1550" w:type="dxa"/>
            <w:noWrap w:val="0"/>
            <w:vAlign w:val="center"/>
          </w:tcPr>
          <w:p w14:paraId="18C1FF46">
            <w:pPr>
              <w:keepNext w:val="0"/>
              <w:keepLines w:val="0"/>
              <w:widowControl/>
              <w:suppressLineNumbers w:val="0"/>
              <w:jc w:val="center"/>
              <w:textAlignment w:val="center"/>
              <w:rPr>
                <w:color w:val="0000FF"/>
                <w:spacing w:val="-1"/>
              </w:rPr>
            </w:pPr>
            <w:r>
              <w:rPr>
                <w:rFonts w:hint="default" w:ascii="Times New Roman" w:hAnsi="Times New Roman" w:eastAsia="宋体" w:cs="Times New Roman"/>
                <w:i w:val="0"/>
                <w:iCs w:val="0"/>
                <w:snapToGrid w:val="0"/>
                <w:color w:val="000000"/>
                <w:kern w:val="0"/>
                <w:sz w:val="20"/>
                <w:szCs w:val="20"/>
                <w:u w:val="none"/>
                <w:lang w:val="en-US" w:eastAsia="zh-CN" w:bidi="ar"/>
              </w:rPr>
              <w:t>25624.77</w:t>
            </w:r>
          </w:p>
        </w:tc>
        <w:tc>
          <w:tcPr>
            <w:tcW w:w="1551" w:type="dxa"/>
            <w:noWrap w:val="0"/>
            <w:vAlign w:val="center"/>
          </w:tcPr>
          <w:p w14:paraId="7131814D">
            <w:pPr>
              <w:keepNext w:val="0"/>
              <w:keepLines w:val="0"/>
              <w:widowControl/>
              <w:suppressLineNumbers w:val="0"/>
              <w:jc w:val="center"/>
              <w:textAlignment w:val="center"/>
              <w:rPr>
                <w:rFonts w:hint="default"/>
                <w:color w:val="0000FF"/>
                <w:spacing w:val="-1"/>
                <w:lang w:val="en-US"/>
              </w:rPr>
            </w:pPr>
            <w:r>
              <w:rPr>
                <w:rFonts w:hint="default" w:ascii="Times New Roman" w:hAnsi="Times New Roman" w:eastAsia="宋体" w:cs="Times New Roman"/>
                <w:i w:val="0"/>
                <w:iCs w:val="0"/>
                <w:snapToGrid w:val="0"/>
                <w:color w:val="000000"/>
                <w:kern w:val="0"/>
                <w:sz w:val="20"/>
                <w:szCs w:val="20"/>
                <w:u w:val="none"/>
                <w:lang w:val="en-US" w:eastAsia="zh-CN" w:bidi="ar"/>
              </w:rPr>
              <w:t>2</w:t>
            </w:r>
            <w:r>
              <w:rPr>
                <w:rFonts w:hint="eastAsia" w:ascii="Times New Roman" w:hAnsi="Times New Roman" w:eastAsia="宋体" w:cs="Times New Roman"/>
                <w:i w:val="0"/>
                <w:iCs w:val="0"/>
                <w:snapToGrid w:val="0"/>
                <w:color w:val="000000"/>
                <w:kern w:val="0"/>
                <w:sz w:val="20"/>
                <w:szCs w:val="20"/>
                <w:u w:val="none"/>
                <w:lang w:val="en-US" w:eastAsia="zh-CN" w:bidi="ar"/>
              </w:rPr>
              <w:t>3578.01</w:t>
            </w:r>
          </w:p>
        </w:tc>
        <w:tc>
          <w:tcPr>
            <w:tcW w:w="1551" w:type="dxa"/>
            <w:noWrap w:val="0"/>
            <w:vAlign w:val="center"/>
          </w:tcPr>
          <w:p w14:paraId="5D5C45FB">
            <w:pPr>
              <w:keepNext w:val="0"/>
              <w:keepLines w:val="0"/>
              <w:widowControl/>
              <w:suppressLineNumbers w:val="0"/>
              <w:jc w:val="center"/>
              <w:textAlignment w:val="center"/>
              <w:rPr>
                <w:color w:val="0000FF"/>
                <w:spacing w:val="-4"/>
              </w:rPr>
            </w:pPr>
            <w:r>
              <w:rPr>
                <w:rFonts w:hint="default" w:ascii="Times New Roman" w:hAnsi="Times New Roman" w:eastAsia="宋体" w:cs="Times New Roman"/>
                <w:i w:val="0"/>
                <w:iCs w:val="0"/>
                <w:snapToGrid w:val="0"/>
                <w:color w:val="000000"/>
                <w:kern w:val="0"/>
                <w:sz w:val="20"/>
                <w:szCs w:val="20"/>
                <w:u w:val="none"/>
                <w:lang w:val="en-US" w:eastAsia="zh-CN" w:bidi="ar"/>
              </w:rPr>
              <w:t>2046.77</w:t>
            </w:r>
          </w:p>
        </w:tc>
        <w:tc>
          <w:tcPr>
            <w:tcW w:w="1551" w:type="dxa"/>
            <w:noWrap w:val="0"/>
            <w:vAlign w:val="center"/>
          </w:tcPr>
          <w:p w14:paraId="27C02EA5">
            <w:pPr>
              <w:jc w:val="center"/>
              <w:rPr>
                <w:rFonts w:ascii="Arial"/>
                <w:color w:val="0000FF"/>
                <w:sz w:val="21"/>
              </w:rPr>
            </w:pPr>
          </w:p>
        </w:tc>
        <w:tc>
          <w:tcPr>
            <w:tcW w:w="1552" w:type="dxa"/>
            <w:noWrap w:val="0"/>
            <w:vAlign w:val="center"/>
          </w:tcPr>
          <w:p w14:paraId="56973562">
            <w:pPr>
              <w:keepNext w:val="0"/>
              <w:keepLines w:val="0"/>
              <w:widowControl/>
              <w:suppressLineNumbers w:val="0"/>
              <w:jc w:val="center"/>
              <w:textAlignment w:val="center"/>
              <w:rPr>
                <w:color w:val="0000FF"/>
                <w:spacing w:val="-1"/>
              </w:rPr>
            </w:pPr>
            <w:r>
              <w:rPr>
                <w:rFonts w:hint="default" w:ascii="Times New Roman" w:hAnsi="Times New Roman" w:eastAsia="宋体" w:cs="Times New Roman"/>
                <w:i w:val="0"/>
                <w:iCs w:val="0"/>
                <w:snapToGrid w:val="0"/>
                <w:color w:val="000000"/>
                <w:kern w:val="0"/>
                <w:sz w:val="20"/>
                <w:szCs w:val="20"/>
                <w:u w:val="none"/>
                <w:lang w:val="en-US" w:eastAsia="zh-CN" w:bidi="ar"/>
              </w:rPr>
              <w:t>7710.72</w:t>
            </w:r>
          </w:p>
        </w:tc>
        <w:tc>
          <w:tcPr>
            <w:tcW w:w="1551" w:type="dxa"/>
            <w:noWrap w:val="0"/>
            <w:vAlign w:val="center"/>
          </w:tcPr>
          <w:p w14:paraId="70B21C11">
            <w:pPr>
              <w:keepNext w:val="0"/>
              <w:keepLines w:val="0"/>
              <w:widowControl/>
              <w:suppressLineNumbers w:val="0"/>
              <w:jc w:val="center"/>
              <w:textAlignment w:val="center"/>
              <w:rPr>
                <w:color w:val="0000FF"/>
                <w:spacing w:val="-2"/>
              </w:rPr>
            </w:pPr>
            <w:r>
              <w:rPr>
                <w:rFonts w:hint="default" w:ascii="Times New Roman" w:hAnsi="Times New Roman" w:eastAsia="宋体" w:cs="Times New Roman"/>
                <w:i w:val="0"/>
                <w:iCs w:val="0"/>
                <w:snapToGrid w:val="0"/>
                <w:color w:val="000000"/>
                <w:kern w:val="0"/>
                <w:sz w:val="20"/>
                <w:szCs w:val="20"/>
                <w:u w:val="none"/>
                <w:lang w:val="en-US" w:eastAsia="zh-CN" w:bidi="ar"/>
              </w:rPr>
              <w:t>6927.82</w:t>
            </w:r>
          </w:p>
        </w:tc>
        <w:tc>
          <w:tcPr>
            <w:tcW w:w="1556" w:type="dxa"/>
            <w:noWrap w:val="0"/>
            <w:vAlign w:val="center"/>
          </w:tcPr>
          <w:p w14:paraId="399E4FA9">
            <w:pPr>
              <w:keepNext w:val="0"/>
              <w:keepLines w:val="0"/>
              <w:widowControl/>
              <w:suppressLineNumbers w:val="0"/>
              <w:jc w:val="center"/>
              <w:textAlignment w:val="center"/>
              <w:rPr>
                <w:color w:val="0000FF"/>
                <w:spacing w:val="-1"/>
              </w:rPr>
            </w:pPr>
            <w:r>
              <w:rPr>
                <w:rFonts w:hint="default" w:ascii="Times New Roman" w:hAnsi="Times New Roman" w:eastAsia="宋体" w:cs="Times New Roman"/>
                <w:i w:val="0"/>
                <w:iCs w:val="0"/>
                <w:snapToGrid w:val="0"/>
                <w:color w:val="000000"/>
                <w:kern w:val="0"/>
                <w:sz w:val="20"/>
                <w:szCs w:val="20"/>
                <w:u w:val="none"/>
                <w:lang w:val="en-US" w:eastAsia="zh-CN" w:bidi="ar"/>
              </w:rPr>
              <w:t>782.90</w:t>
            </w:r>
          </w:p>
        </w:tc>
      </w:tr>
      <w:tr w14:paraId="2A834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925" w:type="dxa"/>
            <w:noWrap w:val="0"/>
            <w:vAlign w:val="top"/>
          </w:tcPr>
          <w:p w14:paraId="2A6CBD4B">
            <w:pPr>
              <w:pStyle w:val="37"/>
              <w:keepNext w:val="0"/>
              <w:keepLines w:val="0"/>
              <w:pageBreakBefore w:val="0"/>
              <w:widowControl/>
              <w:kinsoku/>
              <w:wordWrap/>
              <w:overflowPunct/>
              <w:topLinePunct w:val="0"/>
              <w:autoSpaceDE/>
              <w:autoSpaceDN/>
              <w:bidi w:val="0"/>
              <w:adjustRightInd/>
              <w:snapToGrid/>
              <w:spacing w:before="149" w:line="240" w:lineRule="exact"/>
              <w:ind w:left="360"/>
              <w:jc w:val="center"/>
              <w:textAlignment w:val="auto"/>
            </w:pPr>
            <w:r>
              <w:rPr>
                <w:spacing w:val="-7"/>
              </w:rPr>
              <w:t>1.1</w:t>
            </w:r>
          </w:p>
        </w:tc>
        <w:tc>
          <w:tcPr>
            <w:tcW w:w="2047" w:type="dxa"/>
            <w:noWrap w:val="0"/>
            <w:vAlign w:val="top"/>
          </w:tcPr>
          <w:p w14:paraId="513D6304">
            <w:pPr>
              <w:keepNext w:val="0"/>
              <w:keepLines w:val="0"/>
              <w:pageBreakBefore w:val="0"/>
              <w:widowControl/>
              <w:kinsoku/>
              <w:wordWrap/>
              <w:overflowPunct/>
              <w:topLinePunct w:val="0"/>
              <w:autoSpaceDE/>
              <w:autoSpaceDN/>
              <w:bidi w:val="0"/>
              <w:adjustRightInd/>
              <w:snapToGrid/>
              <w:spacing w:before="113" w:line="240" w:lineRule="exact"/>
              <w:ind w:left="255"/>
              <w:jc w:val="left"/>
              <w:textAlignment w:val="auto"/>
              <w:rPr>
                <w:rFonts w:ascii="宋体" w:hAnsi="宋体" w:eastAsia="宋体" w:cs="宋体"/>
                <w:sz w:val="20"/>
                <w:szCs w:val="20"/>
              </w:rPr>
            </w:pPr>
            <w:r>
              <w:rPr>
                <w:rFonts w:ascii="宋体" w:hAnsi="宋体" w:eastAsia="宋体" w:cs="宋体"/>
                <w:spacing w:val="-4"/>
                <w:sz w:val="20"/>
                <w:szCs w:val="20"/>
              </w:rPr>
              <w:t>国土绿化提升工程</w:t>
            </w:r>
          </w:p>
        </w:tc>
        <w:tc>
          <w:tcPr>
            <w:tcW w:w="1550" w:type="dxa"/>
            <w:noWrap w:val="0"/>
            <w:vAlign w:val="center"/>
          </w:tcPr>
          <w:p w14:paraId="0F2CA377">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24958.10</w:t>
            </w:r>
          </w:p>
        </w:tc>
        <w:tc>
          <w:tcPr>
            <w:tcW w:w="1551" w:type="dxa"/>
            <w:noWrap w:val="0"/>
            <w:vAlign w:val="center"/>
          </w:tcPr>
          <w:p w14:paraId="22F12F70">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22911.34</w:t>
            </w:r>
          </w:p>
        </w:tc>
        <w:tc>
          <w:tcPr>
            <w:tcW w:w="1551" w:type="dxa"/>
            <w:noWrap w:val="0"/>
            <w:vAlign w:val="center"/>
          </w:tcPr>
          <w:p w14:paraId="6925F04E">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2046.77</w:t>
            </w:r>
          </w:p>
        </w:tc>
        <w:tc>
          <w:tcPr>
            <w:tcW w:w="1551" w:type="dxa"/>
            <w:noWrap w:val="0"/>
            <w:vAlign w:val="center"/>
          </w:tcPr>
          <w:p w14:paraId="60166DF6">
            <w:pPr>
              <w:jc w:val="center"/>
              <w:rPr>
                <w:rFonts w:ascii="Arial"/>
                <w:color w:val="0000FF"/>
                <w:sz w:val="21"/>
              </w:rPr>
            </w:pPr>
          </w:p>
        </w:tc>
        <w:tc>
          <w:tcPr>
            <w:tcW w:w="1552" w:type="dxa"/>
            <w:noWrap w:val="0"/>
            <w:vAlign w:val="center"/>
          </w:tcPr>
          <w:p w14:paraId="5DC108C9">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7570.72</w:t>
            </w:r>
          </w:p>
        </w:tc>
        <w:tc>
          <w:tcPr>
            <w:tcW w:w="1551" w:type="dxa"/>
            <w:noWrap w:val="0"/>
            <w:vAlign w:val="center"/>
          </w:tcPr>
          <w:p w14:paraId="28DE3B55">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6787.82</w:t>
            </w:r>
          </w:p>
        </w:tc>
        <w:tc>
          <w:tcPr>
            <w:tcW w:w="1556" w:type="dxa"/>
            <w:noWrap w:val="0"/>
            <w:vAlign w:val="center"/>
          </w:tcPr>
          <w:p w14:paraId="5570C5AF">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782.90</w:t>
            </w:r>
          </w:p>
        </w:tc>
      </w:tr>
      <w:tr w14:paraId="1DD0C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25D00C28">
            <w:pPr>
              <w:pStyle w:val="37"/>
              <w:keepNext w:val="0"/>
              <w:keepLines w:val="0"/>
              <w:pageBreakBefore w:val="0"/>
              <w:widowControl/>
              <w:kinsoku/>
              <w:wordWrap/>
              <w:overflowPunct/>
              <w:topLinePunct w:val="0"/>
              <w:autoSpaceDE/>
              <w:autoSpaceDN/>
              <w:bidi w:val="0"/>
              <w:adjustRightInd/>
              <w:snapToGrid/>
              <w:spacing w:before="148" w:line="240" w:lineRule="exact"/>
              <w:ind w:left="288"/>
              <w:jc w:val="center"/>
              <w:textAlignment w:val="auto"/>
            </w:pPr>
            <w:r>
              <w:rPr>
                <w:spacing w:val="-5"/>
              </w:rPr>
              <w:t>1.1.1</w:t>
            </w:r>
          </w:p>
        </w:tc>
        <w:tc>
          <w:tcPr>
            <w:tcW w:w="2047" w:type="dxa"/>
            <w:noWrap w:val="0"/>
            <w:vAlign w:val="top"/>
          </w:tcPr>
          <w:p w14:paraId="06E869B9">
            <w:pPr>
              <w:keepNext w:val="0"/>
              <w:keepLines w:val="0"/>
              <w:pageBreakBefore w:val="0"/>
              <w:widowControl/>
              <w:kinsoku/>
              <w:wordWrap/>
              <w:overflowPunct/>
              <w:topLinePunct w:val="0"/>
              <w:autoSpaceDE/>
              <w:autoSpaceDN/>
              <w:bidi w:val="0"/>
              <w:adjustRightInd/>
              <w:snapToGrid/>
              <w:spacing w:before="112" w:line="240" w:lineRule="exact"/>
              <w:ind w:left="332"/>
              <w:jc w:val="left"/>
              <w:textAlignment w:val="auto"/>
              <w:rPr>
                <w:rFonts w:ascii="宋体" w:hAnsi="宋体" w:eastAsia="宋体" w:cs="宋体"/>
                <w:sz w:val="20"/>
                <w:szCs w:val="20"/>
              </w:rPr>
            </w:pPr>
            <w:r>
              <w:rPr>
                <w:rFonts w:ascii="宋体" w:hAnsi="宋体" w:eastAsia="宋体" w:cs="宋体"/>
                <w:spacing w:val="-2"/>
                <w:sz w:val="20"/>
                <w:szCs w:val="20"/>
              </w:rPr>
              <w:t>封山（沙）育林</w:t>
            </w:r>
          </w:p>
        </w:tc>
        <w:tc>
          <w:tcPr>
            <w:tcW w:w="1550" w:type="dxa"/>
            <w:noWrap w:val="0"/>
            <w:vAlign w:val="center"/>
          </w:tcPr>
          <w:p w14:paraId="16179381">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24446.96</w:t>
            </w:r>
          </w:p>
        </w:tc>
        <w:tc>
          <w:tcPr>
            <w:tcW w:w="1551" w:type="dxa"/>
            <w:noWrap w:val="0"/>
            <w:vAlign w:val="center"/>
          </w:tcPr>
          <w:p w14:paraId="781D7891">
            <w:pPr>
              <w:keepNext w:val="0"/>
              <w:keepLines w:val="0"/>
              <w:widowControl/>
              <w:suppressLineNumbers w:val="0"/>
              <w:jc w:val="center"/>
              <w:textAlignment w:val="center"/>
              <w:rPr>
                <w:rFonts w:hint="eastAsia" w:ascii="Times New Roman" w:hAnsi="Times New Roman" w:eastAsia="Times New Roman" w:cs="Times New Roman"/>
                <w:snapToGrid w:val="0"/>
                <w:color w:val="000000"/>
                <w:kern w:val="0"/>
                <w:sz w:val="20"/>
                <w:szCs w:val="20"/>
                <w:lang w:val="en-US" w:eastAsia="en-US" w:bidi="ar-SA"/>
              </w:rPr>
            </w:pPr>
            <w:r>
              <w:rPr>
                <w:rFonts w:hint="default" w:ascii="Times New Roman" w:hAnsi="Times New Roman" w:eastAsia="宋体" w:cs="Times New Roman"/>
                <w:i w:val="0"/>
                <w:iCs w:val="0"/>
                <w:snapToGrid w:val="0"/>
                <w:color w:val="000000"/>
                <w:kern w:val="0"/>
                <w:sz w:val="20"/>
                <w:szCs w:val="20"/>
                <w:u w:val="none"/>
                <w:lang w:val="en-US" w:eastAsia="zh-CN" w:bidi="ar"/>
              </w:rPr>
              <w:t>22517.82</w:t>
            </w:r>
          </w:p>
        </w:tc>
        <w:tc>
          <w:tcPr>
            <w:tcW w:w="1551" w:type="dxa"/>
            <w:noWrap w:val="0"/>
            <w:vAlign w:val="center"/>
          </w:tcPr>
          <w:p w14:paraId="0C1D6E5D">
            <w:pPr>
              <w:keepNext w:val="0"/>
              <w:keepLines w:val="0"/>
              <w:widowControl/>
              <w:suppressLineNumbers w:val="0"/>
              <w:jc w:val="center"/>
              <w:textAlignment w:val="center"/>
              <w:rPr>
                <w:rFonts w:hint="eastAsia" w:ascii="Times New Roman" w:hAnsi="Times New Roman" w:eastAsia="Times New Roman" w:cs="Times New Roman"/>
                <w:snapToGrid w:val="0"/>
                <w:color w:val="000000"/>
                <w:kern w:val="0"/>
                <w:sz w:val="20"/>
                <w:szCs w:val="20"/>
                <w:lang w:val="en-US" w:eastAsia="en-US" w:bidi="ar-SA"/>
              </w:rPr>
            </w:pPr>
            <w:r>
              <w:rPr>
                <w:rFonts w:hint="default" w:ascii="Times New Roman" w:hAnsi="Times New Roman" w:eastAsia="宋体" w:cs="Times New Roman"/>
                <w:i w:val="0"/>
                <w:iCs w:val="0"/>
                <w:snapToGrid w:val="0"/>
                <w:color w:val="000000"/>
                <w:kern w:val="0"/>
                <w:sz w:val="20"/>
                <w:szCs w:val="20"/>
                <w:u w:val="none"/>
                <w:lang w:val="en-US" w:eastAsia="zh-CN" w:bidi="ar"/>
              </w:rPr>
              <w:t>1929.15</w:t>
            </w:r>
          </w:p>
        </w:tc>
        <w:tc>
          <w:tcPr>
            <w:tcW w:w="1551" w:type="dxa"/>
            <w:noWrap w:val="0"/>
            <w:vAlign w:val="center"/>
          </w:tcPr>
          <w:p w14:paraId="49F0ED00">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2595</w:t>
            </w:r>
          </w:p>
        </w:tc>
        <w:tc>
          <w:tcPr>
            <w:tcW w:w="1552" w:type="dxa"/>
            <w:noWrap w:val="0"/>
            <w:vAlign w:val="center"/>
          </w:tcPr>
          <w:p w14:paraId="070BC21B">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6343.99</w:t>
            </w:r>
          </w:p>
        </w:tc>
        <w:tc>
          <w:tcPr>
            <w:tcW w:w="1551" w:type="dxa"/>
            <w:noWrap w:val="0"/>
            <w:vAlign w:val="center"/>
          </w:tcPr>
          <w:p w14:paraId="6814D8AE">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5843.37</w:t>
            </w:r>
          </w:p>
        </w:tc>
        <w:tc>
          <w:tcPr>
            <w:tcW w:w="1556" w:type="dxa"/>
            <w:noWrap w:val="0"/>
            <w:vAlign w:val="center"/>
          </w:tcPr>
          <w:p w14:paraId="22112E75">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500.61</w:t>
            </w:r>
          </w:p>
        </w:tc>
      </w:tr>
      <w:tr w14:paraId="5DF73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4FC8433E">
            <w:pPr>
              <w:pStyle w:val="37"/>
              <w:keepNext w:val="0"/>
              <w:keepLines w:val="0"/>
              <w:pageBreakBefore w:val="0"/>
              <w:widowControl/>
              <w:kinsoku/>
              <w:wordWrap/>
              <w:overflowPunct/>
              <w:topLinePunct w:val="0"/>
              <w:autoSpaceDE/>
              <w:autoSpaceDN/>
              <w:bidi w:val="0"/>
              <w:adjustRightInd/>
              <w:snapToGrid/>
              <w:spacing w:before="148" w:line="240" w:lineRule="exact"/>
              <w:ind w:left="288"/>
              <w:jc w:val="center"/>
              <w:textAlignment w:val="auto"/>
            </w:pPr>
            <w:r>
              <w:rPr>
                <w:spacing w:val="-5"/>
              </w:rPr>
              <w:t>1.1.2</w:t>
            </w:r>
          </w:p>
        </w:tc>
        <w:tc>
          <w:tcPr>
            <w:tcW w:w="2047" w:type="dxa"/>
            <w:noWrap w:val="0"/>
            <w:vAlign w:val="top"/>
          </w:tcPr>
          <w:p w14:paraId="2B4F8F84">
            <w:pPr>
              <w:keepNext w:val="0"/>
              <w:keepLines w:val="0"/>
              <w:pageBreakBefore w:val="0"/>
              <w:widowControl/>
              <w:kinsoku/>
              <w:wordWrap/>
              <w:overflowPunct/>
              <w:topLinePunct w:val="0"/>
              <w:autoSpaceDE/>
              <w:autoSpaceDN/>
              <w:bidi w:val="0"/>
              <w:adjustRightInd/>
              <w:snapToGrid/>
              <w:spacing w:before="112" w:line="240" w:lineRule="exact"/>
              <w:ind w:left="533"/>
              <w:jc w:val="left"/>
              <w:textAlignment w:val="auto"/>
              <w:rPr>
                <w:rFonts w:ascii="宋体" w:hAnsi="宋体" w:eastAsia="宋体" w:cs="宋体"/>
                <w:sz w:val="20"/>
                <w:szCs w:val="20"/>
              </w:rPr>
            </w:pPr>
            <w:r>
              <w:rPr>
                <w:rFonts w:ascii="宋体" w:hAnsi="宋体" w:eastAsia="宋体" w:cs="宋体"/>
                <w:spacing w:val="-2"/>
                <w:sz w:val="20"/>
                <w:szCs w:val="20"/>
              </w:rPr>
              <w:t>退化林修复</w:t>
            </w:r>
          </w:p>
        </w:tc>
        <w:tc>
          <w:tcPr>
            <w:tcW w:w="1550" w:type="dxa"/>
            <w:noWrap w:val="0"/>
            <w:vAlign w:val="center"/>
          </w:tcPr>
          <w:p w14:paraId="7F3F513E">
            <w:pPr>
              <w:keepNext w:val="0"/>
              <w:keepLines w:val="0"/>
              <w:widowControl/>
              <w:suppressLineNumbers w:val="0"/>
              <w:jc w:val="center"/>
              <w:textAlignment w:val="center"/>
              <w:rPr>
                <w:rFonts w:hint="eastAsia" w:ascii="Times New Roman" w:hAnsi="Times New Roman" w:eastAsia="Times New Roman" w:cs="Times New Roman"/>
                <w:snapToGrid w:val="0"/>
                <w:color w:val="000000"/>
                <w:kern w:val="0"/>
                <w:sz w:val="20"/>
                <w:szCs w:val="20"/>
                <w:lang w:val="en-US" w:eastAsia="en-US" w:bidi="ar-SA"/>
              </w:rPr>
            </w:pPr>
            <w:r>
              <w:rPr>
                <w:rFonts w:hint="default" w:ascii="Times New Roman" w:hAnsi="Times New Roman" w:eastAsia="宋体" w:cs="Times New Roman"/>
                <w:i w:val="0"/>
                <w:iCs w:val="0"/>
                <w:snapToGrid w:val="0"/>
                <w:color w:val="000000"/>
                <w:kern w:val="0"/>
                <w:sz w:val="20"/>
                <w:szCs w:val="20"/>
                <w:u w:val="none"/>
                <w:lang w:val="en-US" w:eastAsia="zh-CN" w:bidi="ar"/>
              </w:rPr>
              <w:t>511.14</w:t>
            </w:r>
          </w:p>
        </w:tc>
        <w:tc>
          <w:tcPr>
            <w:tcW w:w="1551" w:type="dxa"/>
            <w:noWrap w:val="0"/>
            <w:vAlign w:val="center"/>
          </w:tcPr>
          <w:p w14:paraId="254DE3B0">
            <w:pPr>
              <w:keepNext w:val="0"/>
              <w:keepLines w:val="0"/>
              <w:widowControl/>
              <w:suppressLineNumbers w:val="0"/>
              <w:jc w:val="center"/>
              <w:textAlignment w:val="center"/>
              <w:rPr>
                <w:rFonts w:hint="eastAsia" w:ascii="Times New Roman" w:hAnsi="Times New Roman" w:eastAsia="Times New Roman" w:cs="Times New Roman"/>
                <w:snapToGrid w:val="0"/>
                <w:color w:val="000000"/>
                <w:kern w:val="0"/>
                <w:sz w:val="20"/>
                <w:szCs w:val="20"/>
                <w:lang w:val="en-US" w:eastAsia="en-US" w:bidi="ar-SA"/>
              </w:rPr>
            </w:pPr>
            <w:r>
              <w:rPr>
                <w:rFonts w:hint="default" w:ascii="Times New Roman" w:hAnsi="Times New Roman" w:eastAsia="宋体" w:cs="Times New Roman"/>
                <w:i w:val="0"/>
                <w:iCs w:val="0"/>
                <w:snapToGrid w:val="0"/>
                <w:color w:val="000000"/>
                <w:kern w:val="0"/>
                <w:sz w:val="20"/>
                <w:szCs w:val="20"/>
                <w:u w:val="none"/>
                <w:lang w:val="en-US" w:eastAsia="zh-CN" w:bidi="ar"/>
              </w:rPr>
              <w:t>393.52</w:t>
            </w:r>
          </w:p>
        </w:tc>
        <w:tc>
          <w:tcPr>
            <w:tcW w:w="1551" w:type="dxa"/>
            <w:noWrap w:val="0"/>
            <w:vAlign w:val="center"/>
          </w:tcPr>
          <w:p w14:paraId="40B7513C">
            <w:pPr>
              <w:keepNext w:val="0"/>
              <w:keepLines w:val="0"/>
              <w:widowControl/>
              <w:suppressLineNumbers w:val="0"/>
              <w:jc w:val="center"/>
              <w:textAlignment w:val="center"/>
              <w:rPr>
                <w:rFonts w:hint="eastAsia" w:ascii="Times New Roman" w:hAnsi="Times New Roman" w:eastAsia="Times New Roman" w:cs="Times New Roman"/>
                <w:snapToGrid w:val="0"/>
                <w:color w:val="000000"/>
                <w:kern w:val="0"/>
                <w:sz w:val="20"/>
                <w:szCs w:val="20"/>
                <w:lang w:val="en-US" w:eastAsia="en-US" w:bidi="ar-SA"/>
              </w:rPr>
            </w:pPr>
            <w:r>
              <w:rPr>
                <w:rFonts w:hint="default" w:ascii="Times New Roman" w:hAnsi="Times New Roman" w:eastAsia="宋体" w:cs="Times New Roman"/>
                <w:i w:val="0"/>
                <w:iCs w:val="0"/>
                <w:snapToGrid w:val="0"/>
                <w:color w:val="000000"/>
                <w:kern w:val="0"/>
                <w:sz w:val="20"/>
                <w:szCs w:val="20"/>
                <w:u w:val="none"/>
                <w:lang w:val="en-US" w:eastAsia="zh-CN" w:bidi="ar"/>
              </w:rPr>
              <w:t>117.62</w:t>
            </w:r>
          </w:p>
        </w:tc>
        <w:tc>
          <w:tcPr>
            <w:tcW w:w="1551" w:type="dxa"/>
            <w:noWrap w:val="0"/>
            <w:vAlign w:val="center"/>
          </w:tcPr>
          <w:p w14:paraId="565972B0">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24000</w:t>
            </w:r>
          </w:p>
        </w:tc>
        <w:tc>
          <w:tcPr>
            <w:tcW w:w="1552" w:type="dxa"/>
            <w:noWrap w:val="0"/>
            <w:vAlign w:val="center"/>
          </w:tcPr>
          <w:p w14:paraId="01330E5F">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1226.74</w:t>
            </w:r>
          </w:p>
        </w:tc>
        <w:tc>
          <w:tcPr>
            <w:tcW w:w="1551" w:type="dxa"/>
            <w:noWrap w:val="0"/>
            <w:vAlign w:val="center"/>
          </w:tcPr>
          <w:p w14:paraId="5E2DDBB4">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944.45</w:t>
            </w:r>
          </w:p>
        </w:tc>
        <w:tc>
          <w:tcPr>
            <w:tcW w:w="1556" w:type="dxa"/>
            <w:noWrap w:val="0"/>
            <w:vAlign w:val="center"/>
          </w:tcPr>
          <w:p w14:paraId="06305FC0">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282.29</w:t>
            </w:r>
          </w:p>
        </w:tc>
      </w:tr>
      <w:tr w14:paraId="73D77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60A6A907">
            <w:pPr>
              <w:pStyle w:val="37"/>
              <w:keepNext w:val="0"/>
              <w:keepLines w:val="0"/>
              <w:pageBreakBefore w:val="0"/>
              <w:widowControl/>
              <w:kinsoku/>
              <w:wordWrap/>
              <w:overflowPunct/>
              <w:topLinePunct w:val="0"/>
              <w:autoSpaceDE/>
              <w:autoSpaceDN/>
              <w:bidi w:val="0"/>
              <w:adjustRightInd/>
              <w:snapToGrid/>
              <w:spacing w:before="150" w:line="240" w:lineRule="exact"/>
              <w:ind w:left="360"/>
              <w:jc w:val="center"/>
              <w:textAlignment w:val="auto"/>
            </w:pPr>
            <w:r>
              <w:rPr>
                <w:spacing w:val="-7"/>
              </w:rPr>
              <w:t>1.2</w:t>
            </w:r>
          </w:p>
        </w:tc>
        <w:tc>
          <w:tcPr>
            <w:tcW w:w="2047" w:type="dxa"/>
            <w:noWrap w:val="0"/>
            <w:vAlign w:val="top"/>
          </w:tcPr>
          <w:p w14:paraId="01D658EF">
            <w:pPr>
              <w:keepNext w:val="0"/>
              <w:keepLines w:val="0"/>
              <w:pageBreakBefore w:val="0"/>
              <w:widowControl/>
              <w:kinsoku/>
              <w:wordWrap/>
              <w:overflowPunct/>
              <w:topLinePunct w:val="0"/>
              <w:autoSpaceDE/>
              <w:autoSpaceDN/>
              <w:bidi w:val="0"/>
              <w:adjustRightInd/>
              <w:snapToGrid/>
              <w:spacing w:before="114" w:line="240" w:lineRule="exact"/>
              <w:ind w:left="630"/>
              <w:jc w:val="left"/>
              <w:textAlignment w:val="auto"/>
              <w:rPr>
                <w:rFonts w:ascii="宋体" w:hAnsi="宋体" w:eastAsia="宋体" w:cs="宋体"/>
                <w:sz w:val="20"/>
                <w:szCs w:val="20"/>
              </w:rPr>
            </w:pPr>
            <w:r>
              <w:rPr>
                <w:rFonts w:ascii="宋体" w:hAnsi="宋体" w:eastAsia="宋体" w:cs="宋体"/>
                <w:spacing w:val="-1"/>
                <w:sz w:val="20"/>
                <w:szCs w:val="20"/>
              </w:rPr>
              <w:t>种草改良</w:t>
            </w:r>
          </w:p>
        </w:tc>
        <w:tc>
          <w:tcPr>
            <w:tcW w:w="1550" w:type="dxa"/>
            <w:noWrap w:val="0"/>
            <w:vAlign w:val="center"/>
          </w:tcPr>
          <w:p w14:paraId="26E14016">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666.67</w:t>
            </w:r>
          </w:p>
        </w:tc>
        <w:tc>
          <w:tcPr>
            <w:tcW w:w="1551" w:type="dxa"/>
            <w:noWrap w:val="0"/>
            <w:vAlign w:val="center"/>
          </w:tcPr>
          <w:p w14:paraId="6E24861A">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666.67</w:t>
            </w:r>
          </w:p>
        </w:tc>
        <w:tc>
          <w:tcPr>
            <w:tcW w:w="1551" w:type="dxa"/>
            <w:noWrap w:val="0"/>
            <w:vAlign w:val="center"/>
          </w:tcPr>
          <w:p w14:paraId="020EA696">
            <w:pPr>
              <w:jc w:val="center"/>
              <w:rPr>
                <w:rFonts w:ascii="Arial"/>
                <w:sz w:val="21"/>
              </w:rPr>
            </w:pPr>
          </w:p>
        </w:tc>
        <w:tc>
          <w:tcPr>
            <w:tcW w:w="1551" w:type="dxa"/>
            <w:noWrap w:val="0"/>
            <w:vAlign w:val="center"/>
          </w:tcPr>
          <w:p w14:paraId="5248612F">
            <w:pPr>
              <w:jc w:val="center"/>
              <w:rPr>
                <w:rFonts w:ascii="Arial"/>
                <w:sz w:val="21"/>
              </w:rPr>
            </w:pPr>
          </w:p>
        </w:tc>
        <w:tc>
          <w:tcPr>
            <w:tcW w:w="1552" w:type="dxa"/>
            <w:noWrap w:val="0"/>
            <w:vAlign w:val="center"/>
          </w:tcPr>
          <w:p w14:paraId="07EA2ECE">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140.00</w:t>
            </w:r>
          </w:p>
        </w:tc>
        <w:tc>
          <w:tcPr>
            <w:tcW w:w="1551" w:type="dxa"/>
            <w:noWrap w:val="0"/>
            <w:vAlign w:val="center"/>
          </w:tcPr>
          <w:p w14:paraId="5B5FD5B0">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140.00</w:t>
            </w:r>
          </w:p>
        </w:tc>
        <w:tc>
          <w:tcPr>
            <w:tcW w:w="1556" w:type="dxa"/>
            <w:noWrap w:val="0"/>
            <w:vAlign w:val="center"/>
          </w:tcPr>
          <w:p w14:paraId="59A29FEE">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r>
      <w:tr w14:paraId="5C07F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5" w:type="dxa"/>
            <w:noWrap w:val="0"/>
            <w:vAlign w:val="top"/>
          </w:tcPr>
          <w:p w14:paraId="37E2B7BC">
            <w:pPr>
              <w:pStyle w:val="37"/>
              <w:keepNext w:val="0"/>
              <w:keepLines w:val="0"/>
              <w:pageBreakBefore w:val="0"/>
              <w:widowControl/>
              <w:kinsoku/>
              <w:wordWrap/>
              <w:overflowPunct/>
              <w:topLinePunct w:val="0"/>
              <w:autoSpaceDE/>
              <w:autoSpaceDN/>
              <w:bidi w:val="0"/>
              <w:adjustRightInd/>
              <w:snapToGrid/>
              <w:spacing w:before="149" w:line="240" w:lineRule="exact"/>
              <w:ind w:left="288"/>
              <w:jc w:val="center"/>
              <w:textAlignment w:val="auto"/>
            </w:pPr>
            <w:r>
              <w:rPr>
                <w:spacing w:val="-5"/>
              </w:rPr>
              <w:t>1.2.1</w:t>
            </w:r>
          </w:p>
        </w:tc>
        <w:tc>
          <w:tcPr>
            <w:tcW w:w="2047" w:type="dxa"/>
            <w:noWrap w:val="0"/>
            <w:vAlign w:val="top"/>
          </w:tcPr>
          <w:p w14:paraId="57F9F019">
            <w:pPr>
              <w:keepNext w:val="0"/>
              <w:keepLines w:val="0"/>
              <w:pageBreakBefore w:val="0"/>
              <w:widowControl/>
              <w:kinsoku/>
              <w:wordWrap/>
              <w:overflowPunct/>
              <w:topLinePunct w:val="0"/>
              <w:autoSpaceDE/>
              <w:autoSpaceDN/>
              <w:bidi w:val="0"/>
              <w:adjustRightInd/>
              <w:snapToGrid/>
              <w:spacing w:before="114" w:line="240" w:lineRule="exact"/>
              <w:ind w:left="632"/>
              <w:jc w:val="left"/>
              <w:textAlignment w:val="auto"/>
              <w:rPr>
                <w:rFonts w:ascii="宋体" w:hAnsi="宋体" w:eastAsia="宋体" w:cs="宋体"/>
                <w:sz w:val="20"/>
                <w:szCs w:val="20"/>
              </w:rPr>
            </w:pPr>
            <w:r>
              <w:rPr>
                <w:rFonts w:ascii="宋体" w:hAnsi="宋体" w:eastAsia="宋体" w:cs="宋体"/>
                <w:spacing w:val="-2"/>
                <w:sz w:val="20"/>
                <w:szCs w:val="20"/>
              </w:rPr>
              <w:t>草原改良</w:t>
            </w:r>
          </w:p>
        </w:tc>
        <w:tc>
          <w:tcPr>
            <w:tcW w:w="1550" w:type="dxa"/>
            <w:noWrap w:val="0"/>
            <w:vAlign w:val="center"/>
          </w:tcPr>
          <w:p w14:paraId="68A9FA40">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666.67</w:t>
            </w:r>
          </w:p>
        </w:tc>
        <w:tc>
          <w:tcPr>
            <w:tcW w:w="1551" w:type="dxa"/>
            <w:noWrap w:val="0"/>
            <w:vAlign w:val="center"/>
          </w:tcPr>
          <w:p w14:paraId="4F6F1883">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666.67</w:t>
            </w:r>
          </w:p>
        </w:tc>
        <w:tc>
          <w:tcPr>
            <w:tcW w:w="1551" w:type="dxa"/>
            <w:noWrap w:val="0"/>
            <w:vAlign w:val="center"/>
          </w:tcPr>
          <w:p w14:paraId="147477A7">
            <w:pPr>
              <w:jc w:val="center"/>
              <w:rPr>
                <w:rFonts w:ascii="Arial"/>
                <w:sz w:val="21"/>
              </w:rPr>
            </w:pPr>
          </w:p>
        </w:tc>
        <w:tc>
          <w:tcPr>
            <w:tcW w:w="1551" w:type="dxa"/>
            <w:noWrap w:val="0"/>
            <w:vAlign w:val="center"/>
          </w:tcPr>
          <w:p w14:paraId="4094E2CC">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2100.00</w:t>
            </w:r>
          </w:p>
        </w:tc>
        <w:tc>
          <w:tcPr>
            <w:tcW w:w="1552" w:type="dxa"/>
            <w:noWrap w:val="0"/>
            <w:vAlign w:val="center"/>
          </w:tcPr>
          <w:p w14:paraId="22A95AEF">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140.00</w:t>
            </w:r>
          </w:p>
        </w:tc>
        <w:tc>
          <w:tcPr>
            <w:tcW w:w="1551" w:type="dxa"/>
            <w:noWrap w:val="0"/>
            <w:vAlign w:val="center"/>
          </w:tcPr>
          <w:p w14:paraId="43F82DD6">
            <w:pPr>
              <w:keepNext w:val="0"/>
              <w:keepLines w:val="0"/>
              <w:widowControl/>
              <w:suppressLineNumbers w:val="0"/>
              <w:jc w:val="center"/>
              <w:textAlignment w:val="center"/>
            </w:pPr>
            <w:r>
              <w:rPr>
                <w:rFonts w:hint="default" w:ascii="Times New Roman" w:hAnsi="Times New Roman" w:eastAsia="宋体" w:cs="Times New Roman"/>
                <w:i w:val="0"/>
                <w:iCs w:val="0"/>
                <w:snapToGrid w:val="0"/>
                <w:color w:val="000000"/>
                <w:kern w:val="0"/>
                <w:sz w:val="20"/>
                <w:szCs w:val="20"/>
                <w:u w:val="none"/>
                <w:lang w:val="en-US" w:eastAsia="zh-CN" w:bidi="ar"/>
              </w:rPr>
              <w:t>140.00</w:t>
            </w:r>
          </w:p>
        </w:tc>
        <w:tc>
          <w:tcPr>
            <w:tcW w:w="1556" w:type="dxa"/>
            <w:noWrap w:val="0"/>
            <w:vAlign w:val="center"/>
          </w:tcPr>
          <w:p w14:paraId="4E909126">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0"/>
                <w:szCs w:val="20"/>
                <w:u w:val="none"/>
                <w:lang w:val="en-US" w:eastAsia="zh-CN" w:bidi="ar"/>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r>
      <w:tr w14:paraId="5E57D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925" w:type="dxa"/>
            <w:noWrap w:val="0"/>
            <w:vAlign w:val="top"/>
          </w:tcPr>
          <w:p w14:paraId="4EA9EFCF">
            <w:pPr>
              <w:keepNext w:val="0"/>
              <w:keepLines w:val="0"/>
              <w:pageBreakBefore w:val="0"/>
              <w:widowControl/>
              <w:kinsoku/>
              <w:wordWrap/>
              <w:overflowPunct/>
              <w:topLinePunct w:val="0"/>
              <w:autoSpaceDE/>
              <w:autoSpaceDN/>
              <w:bidi w:val="0"/>
              <w:adjustRightInd/>
              <w:snapToGrid/>
              <w:spacing w:before="152" w:line="240" w:lineRule="exact"/>
              <w:ind w:left="371"/>
              <w:jc w:val="center"/>
              <w:textAlignment w:val="auto"/>
              <w:rPr>
                <w:rFonts w:ascii="宋体" w:hAnsi="宋体" w:eastAsia="宋体" w:cs="宋体"/>
                <w:sz w:val="20"/>
                <w:szCs w:val="20"/>
              </w:rPr>
            </w:pPr>
            <w:r>
              <w:rPr>
                <w:rFonts w:ascii="宋体" w:hAnsi="宋体" w:eastAsia="宋体" w:cs="宋体"/>
                <w:sz w:val="20"/>
                <w:szCs w:val="20"/>
              </w:rPr>
              <w:t>二</w:t>
            </w:r>
          </w:p>
        </w:tc>
        <w:tc>
          <w:tcPr>
            <w:tcW w:w="2047" w:type="dxa"/>
            <w:noWrap w:val="0"/>
            <w:vAlign w:val="top"/>
          </w:tcPr>
          <w:p w14:paraId="3E3348CB">
            <w:pPr>
              <w:keepNext w:val="0"/>
              <w:keepLines w:val="0"/>
              <w:pageBreakBefore w:val="0"/>
              <w:widowControl/>
              <w:kinsoku/>
              <w:wordWrap/>
              <w:overflowPunct/>
              <w:topLinePunct w:val="0"/>
              <w:autoSpaceDE/>
              <w:autoSpaceDN/>
              <w:bidi w:val="0"/>
              <w:adjustRightInd/>
              <w:snapToGrid/>
              <w:spacing w:before="113" w:line="240" w:lineRule="exact"/>
              <w:ind w:left="631"/>
              <w:jc w:val="left"/>
              <w:textAlignment w:val="auto"/>
              <w:rPr>
                <w:rFonts w:ascii="宋体" w:hAnsi="宋体" w:eastAsia="宋体" w:cs="宋体"/>
                <w:sz w:val="20"/>
                <w:szCs w:val="20"/>
              </w:rPr>
            </w:pPr>
            <w:r>
              <w:rPr>
                <w:rFonts w:ascii="宋体" w:hAnsi="宋体" w:eastAsia="宋体" w:cs="宋体"/>
                <w:spacing w:val="-2"/>
                <w:sz w:val="20"/>
                <w:szCs w:val="20"/>
              </w:rPr>
              <w:t>其他费用</w:t>
            </w:r>
          </w:p>
        </w:tc>
        <w:tc>
          <w:tcPr>
            <w:tcW w:w="1550" w:type="dxa"/>
            <w:noWrap w:val="0"/>
            <w:vAlign w:val="center"/>
          </w:tcPr>
          <w:p w14:paraId="285DD6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Arial"/>
                <w:sz w:val="21"/>
              </w:rPr>
            </w:pPr>
          </w:p>
        </w:tc>
        <w:tc>
          <w:tcPr>
            <w:tcW w:w="1551" w:type="dxa"/>
            <w:noWrap w:val="0"/>
            <w:vAlign w:val="center"/>
          </w:tcPr>
          <w:p w14:paraId="6169BC55">
            <w:pPr>
              <w:keepNext w:val="0"/>
              <w:keepLines w:val="0"/>
              <w:pageBreakBefore w:val="0"/>
              <w:widowControl/>
              <w:kinsoku/>
              <w:wordWrap/>
              <w:overflowPunct/>
              <w:topLinePunct w:val="0"/>
              <w:autoSpaceDE/>
              <w:autoSpaceDN/>
              <w:bidi w:val="0"/>
              <w:adjustRightInd/>
              <w:snapToGrid/>
              <w:spacing w:line="240" w:lineRule="exact"/>
              <w:jc w:val="center"/>
              <w:textAlignment w:val="auto"/>
            </w:pPr>
          </w:p>
        </w:tc>
        <w:tc>
          <w:tcPr>
            <w:tcW w:w="1551" w:type="dxa"/>
            <w:noWrap w:val="0"/>
            <w:vAlign w:val="center"/>
          </w:tcPr>
          <w:p w14:paraId="64B5F1D1">
            <w:pPr>
              <w:keepNext w:val="0"/>
              <w:keepLines w:val="0"/>
              <w:pageBreakBefore w:val="0"/>
              <w:widowControl/>
              <w:kinsoku/>
              <w:wordWrap/>
              <w:overflowPunct/>
              <w:topLinePunct w:val="0"/>
              <w:autoSpaceDE/>
              <w:autoSpaceDN/>
              <w:bidi w:val="0"/>
              <w:adjustRightInd/>
              <w:snapToGrid/>
              <w:spacing w:line="240" w:lineRule="exact"/>
              <w:jc w:val="center"/>
              <w:textAlignment w:val="auto"/>
            </w:pPr>
          </w:p>
        </w:tc>
        <w:tc>
          <w:tcPr>
            <w:tcW w:w="1551" w:type="dxa"/>
            <w:noWrap w:val="0"/>
            <w:vAlign w:val="center"/>
          </w:tcPr>
          <w:p w14:paraId="5B6BC95D">
            <w:pPr>
              <w:keepNext w:val="0"/>
              <w:keepLines w:val="0"/>
              <w:pageBreakBefore w:val="0"/>
              <w:widowControl/>
              <w:kinsoku/>
              <w:wordWrap/>
              <w:overflowPunct/>
              <w:topLinePunct w:val="0"/>
              <w:autoSpaceDE/>
              <w:autoSpaceDN/>
              <w:bidi w:val="0"/>
              <w:adjustRightInd/>
              <w:snapToGrid/>
              <w:spacing w:line="240" w:lineRule="exact"/>
              <w:jc w:val="center"/>
              <w:textAlignment w:val="auto"/>
            </w:pPr>
          </w:p>
        </w:tc>
        <w:tc>
          <w:tcPr>
            <w:tcW w:w="1552" w:type="dxa"/>
            <w:noWrap w:val="0"/>
            <w:vAlign w:val="center"/>
          </w:tcPr>
          <w:p w14:paraId="27B17B7B">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343.43</w:t>
            </w:r>
          </w:p>
        </w:tc>
        <w:tc>
          <w:tcPr>
            <w:tcW w:w="1551" w:type="dxa"/>
            <w:noWrap w:val="0"/>
            <w:vAlign w:val="center"/>
          </w:tcPr>
          <w:p w14:paraId="2D784C58">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307.11</w:t>
            </w:r>
          </w:p>
        </w:tc>
        <w:tc>
          <w:tcPr>
            <w:tcW w:w="1556" w:type="dxa"/>
            <w:noWrap w:val="0"/>
            <w:vAlign w:val="center"/>
          </w:tcPr>
          <w:p w14:paraId="5B0A70EA">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36.32</w:t>
            </w:r>
          </w:p>
        </w:tc>
      </w:tr>
      <w:tr w14:paraId="204CE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1F06178B">
            <w:pPr>
              <w:pStyle w:val="37"/>
              <w:keepNext w:val="0"/>
              <w:keepLines w:val="0"/>
              <w:pageBreakBefore w:val="0"/>
              <w:widowControl/>
              <w:kinsoku/>
              <w:wordWrap/>
              <w:overflowPunct/>
              <w:topLinePunct w:val="0"/>
              <w:autoSpaceDE/>
              <w:autoSpaceDN/>
              <w:bidi w:val="0"/>
              <w:adjustRightInd/>
              <w:snapToGrid/>
              <w:spacing w:before="149" w:line="240" w:lineRule="exact"/>
              <w:ind w:left="340"/>
              <w:jc w:val="center"/>
              <w:textAlignment w:val="auto"/>
            </w:pPr>
            <w:r>
              <w:t>2.1</w:t>
            </w:r>
          </w:p>
        </w:tc>
        <w:tc>
          <w:tcPr>
            <w:tcW w:w="2047" w:type="dxa"/>
            <w:noWrap w:val="0"/>
            <w:vAlign w:val="top"/>
          </w:tcPr>
          <w:p w14:paraId="160370C6">
            <w:pPr>
              <w:keepNext w:val="0"/>
              <w:keepLines w:val="0"/>
              <w:pageBreakBefore w:val="0"/>
              <w:widowControl/>
              <w:kinsoku/>
              <w:wordWrap/>
              <w:overflowPunct/>
              <w:topLinePunct w:val="0"/>
              <w:autoSpaceDE/>
              <w:autoSpaceDN/>
              <w:bidi w:val="0"/>
              <w:adjustRightInd/>
              <w:snapToGrid/>
              <w:spacing w:before="113" w:line="240" w:lineRule="exact"/>
              <w:ind w:left="531"/>
              <w:jc w:val="left"/>
              <w:textAlignment w:val="auto"/>
              <w:rPr>
                <w:rFonts w:ascii="宋体" w:hAnsi="宋体" w:eastAsia="宋体" w:cs="宋体"/>
                <w:sz w:val="20"/>
                <w:szCs w:val="20"/>
              </w:rPr>
            </w:pPr>
            <w:r>
              <w:rPr>
                <w:rFonts w:ascii="宋体" w:hAnsi="宋体" w:eastAsia="宋体" w:cs="宋体"/>
                <w:spacing w:val="-2"/>
                <w:sz w:val="20"/>
                <w:szCs w:val="20"/>
              </w:rPr>
              <w:t>勘察设计费</w:t>
            </w:r>
          </w:p>
        </w:tc>
        <w:tc>
          <w:tcPr>
            <w:tcW w:w="6203" w:type="dxa"/>
            <w:gridSpan w:val="4"/>
            <w:noWrap w:val="0"/>
            <w:vAlign w:val="top"/>
          </w:tcPr>
          <w:p w14:paraId="5B6DEDEE">
            <w:pPr>
              <w:pStyle w:val="37"/>
              <w:keepNext w:val="0"/>
              <w:keepLines w:val="0"/>
              <w:pageBreakBefore w:val="0"/>
              <w:widowControl/>
              <w:kinsoku/>
              <w:wordWrap/>
              <w:overflowPunct/>
              <w:topLinePunct w:val="0"/>
              <w:autoSpaceDE/>
              <w:autoSpaceDN/>
              <w:bidi w:val="0"/>
              <w:adjustRightInd/>
              <w:snapToGrid/>
              <w:spacing w:before="113" w:line="240" w:lineRule="exact"/>
              <w:ind w:left="2356"/>
              <w:jc w:val="center"/>
              <w:textAlignment w:val="auto"/>
              <w:rPr>
                <w:rFonts w:ascii="宋体" w:hAnsi="宋体" w:eastAsia="宋体" w:cs="宋体"/>
              </w:rPr>
            </w:pPr>
            <w:r>
              <w:rPr>
                <w:rFonts w:ascii="宋体" w:hAnsi="宋体" w:eastAsia="宋体" w:cs="宋体"/>
                <w:spacing w:val="-4"/>
              </w:rPr>
              <w:t>按工程费的</w:t>
            </w:r>
            <w:r>
              <w:rPr>
                <w:rFonts w:ascii="宋体" w:hAnsi="宋体" w:eastAsia="宋体" w:cs="宋体"/>
                <w:spacing w:val="-31"/>
              </w:rPr>
              <w:t xml:space="preserve"> </w:t>
            </w:r>
            <w:r>
              <w:rPr>
                <w:spacing w:val="-4"/>
              </w:rPr>
              <w:t>1%</w:t>
            </w:r>
            <w:r>
              <w:rPr>
                <w:rFonts w:ascii="宋体" w:hAnsi="宋体" w:eastAsia="宋体" w:cs="宋体"/>
                <w:spacing w:val="-4"/>
              </w:rPr>
              <w:t>计</w:t>
            </w:r>
          </w:p>
        </w:tc>
        <w:tc>
          <w:tcPr>
            <w:tcW w:w="1552" w:type="dxa"/>
            <w:noWrap w:val="0"/>
            <w:vAlign w:val="center"/>
          </w:tcPr>
          <w:p w14:paraId="1C3FA12A">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77.11</w:t>
            </w:r>
          </w:p>
        </w:tc>
        <w:tc>
          <w:tcPr>
            <w:tcW w:w="1551" w:type="dxa"/>
            <w:noWrap w:val="0"/>
            <w:vAlign w:val="center"/>
          </w:tcPr>
          <w:p w14:paraId="342A9F93">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69.28</w:t>
            </w:r>
          </w:p>
        </w:tc>
        <w:tc>
          <w:tcPr>
            <w:tcW w:w="1556" w:type="dxa"/>
            <w:noWrap w:val="0"/>
            <w:vAlign w:val="center"/>
          </w:tcPr>
          <w:p w14:paraId="7F841F3C">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7.83</w:t>
            </w:r>
          </w:p>
        </w:tc>
      </w:tr>
      <w:tr w14:paraId="22AC3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4A31E138">
            <w:pPr>
              <w:pStyle w:val="37"/>
              <w:keepNext w:val="0"/>
              <w:keepLines w:val="0"/>
              <w:pageBreakBefore w:val="0"/>
              <w:widowControl/>
              <w:kinsoku/>
              <w:wordWrap/>
              <w:overflowPunct/>
              <w:topLinePunct w:val="0"/>
              <w:autoSpaceDE/>
              <w:autoSpaceDN/>
              <w:bidi w:val="0"/>
              <w:adjustRightInd/>
              <w:snapToGrid/>
              <w:spacing w:before="148" w:line="240" w:lineRule="exact"/>
              <w:ind w:left="340"/>
              <w:jc w:val="center"/>
              <w:textAlignment w:val="auto"/>
            </w:pPr>
            <w:r>
              <w:t>2.2</w:t>
            </w:r>
          </w:p>
        </w:tc>
        <w:tc>
          <w:tcPr>
            <w:tcW w:w="2047" w:type="dxa"/>
            <w:noWrap w:val="0"/>
            <w:vAlign w:val="top"/>
          </w:tcPr>
          <w:p w14:paraId="3D1774F2">
            <w:pPr>
              <w:keepNext w:val="0"/>
              <w:keepLines w:val="0"/>
              <w:pageBreakBefore w:val="0"/>
              <w:widowControl/>
              <w:kinsoku/>
              <w:wordWrap/>
              <w:overflowPunct/>
              <w:topLinePunct w:val="0"/>
              <w:autoSpaceDE/>
              <w:autoSpaceDN/>
              <w:bidi w:val="0"/>
              <w:adjustRightInd/>
              <w:snapToGrid/>
              <w:spacing w:before="112" w:line="240" w:lineRule="exact"/>
              <w:ind w:left="631"/>
              <w:jc w:val="left"/>
              <w:textAlignment w:val="auto"/>
              <w:rPr>
                <w:rFonts w:ascii="宋体" w:hAnsi="宋体" w:eastAsia="宋体" w:cs="宋体"/>
                <w:sz w:val="20"/>
                <w:szCs w:val="20"/>
              </w:rPr>
            </w:pPr>
            <w:r>
              <w:rPr>
                <w:rFonts w:ascii="宋体" w:hAnsi="宋体" w:eastAsia="宋体" w:cs="宋体"/>
                <w:spacing w:val="-2"/>
                <w:sz w:val="20"/>
                <w:szCs w:val="20"/>
              </w:rPr>
              <w:t>招投标费</w:t>
            </w:r>
          </w:p>
        </w:tc>
        <w:tc>
          <w:tcPr>
            <w:tcW w:w="6203" w:type="dxa"/>
            <w:gridSpan w:val="4"/>
            <w:noWrap w:val="0"/>
            <w:vAlign w:val="top"/>
          </w:tcPr>
          <w:p w14:paraId="2521598F">
            <w:pPr>
              <w:pStyle w:val="37"/>
              <w:keepNext w:val="0"/>
              <w:keepLines w:val="0"/>
              <w:pageBreakBefore w:val="0"/>
              <w:widowControl/>
              <w:kinsoku/>
              <w:wordWrap/>
              <w:overflowPunct/>
              <w:topLinePunct w:val="0"/>
              <w:autoSpaceDE/>
              <w:autoSpaceDN/>
              <w:bidi w:val="0"/>
              <w:adjustRightInd/>
              <w:snapToGrid/>
              <w:spacing w:before="112" w:line="240" w:lineRule="exact"/>
              <w:ind w:left="2281"/>
              <w:jc w:val="center"/>
              <w:textAlignment w:val="auto"/>
              <w:rPr>
                <w:rFonts w:ascii="宋体" w:hAnsi="宋体" w:eastAsia="宋体" w:cs="宋体"/>
              </w:rPr>
            </w:pPr>
            <w:r>
              <w:rPr>
                <w:rFonts w:ascii="宋体" w:hAnsi="宋体" w:eastAsia="宋体" w:cs="宋体"/>
                <w:spacing w:val="-2"/>
              </w:rPr>
              <w:t>按工程费的</w:t>
            </w:r>
            <w:r>
              <w:rPr>
                <w:rFonts w:ascii="宋体" w:hAnsi="宋体" w:eastAsia="宋体" w:cs="宋体"/>
                <w:spacing w:val="-47"/>
              </w:rPr>
              <w:t xml:space="preserve"> </w:t>
            </w:r>
            <w:r>
              <w:rPr>
                <w:spacing w:val="-2"/>
              </w:rPr>
              <w:t>0.5%</w:t>
            </w:r>
            <w:r>
              <w:rPr>
                <w:rFonts w:ascii="宋体" w:hAnsi="宋体" w:eastAsia="宋体" w:cs="宋体"/>
                <w:spacing w:val="-2"/>
              </w:rPr>
              <w:t>计</w:t>
            </w:r>
          </w:p>
        </w:tc>
        <w:tc>
          <w:tcPr>
            <w:tcW w:w="1552" w:type="dxa"/>
            <w:noWrap w:val="0"/>
            <w:vAlign w:val="center"/>
          </w:tcPr>
          <w:p w14:paraId="397442BE">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38.55</w:t>
            </w:r>
          </w:p>
        </w:tc>
        <w:tc>
          <w:tcPr>
            <w:tcW w:w="1551" w:type="dxa"/>
            <w:noWrap w:val="0"/>
            <w:vAlign w:val="center"/>
          </w:tcPr>
          <w:p w14:paraId="3A3B1061">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34.64</w:t>
            </w:r>
          </w:p>
        </w:tc>
        <w:tc>
          <w:tcPr>
            <w:tcW w:w="1556" w:type="dxa"/>
            <w:noWrap w:val="0"/>
            <w:vAlign w:val="center"/>
          </w:tcPr>
          <w:p w14:paraId="47B4CB09">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3.91</w:t>
            </w:r>
          </w:p>
        </w:tc>
      </w:tr>
      <w:tr w14:paraId="369E7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3EB80B2E">
            <w:pPr>
              <w:pStyle w:val="37"/>
              <w:keepNext w:val="0"/>
              <w:keepLines w:val="0"/>
              <w:pageBreakBefore w:val="0"/>
              <w:widowControl/>
              <w:kinsoku/>
              <w:wordWrap/>
              <w:overflowPunct/>
              <w:topLinePunct w:val="0"/>
              <w:autoSpaceDE/>
              <w:autoSpaceDN/>
              <w:bidi w:val="0"/>
              <w:adjustRightInd/>
              <w:snapToGrid/>
              <w:spacing w:before="148" w:line="240" w:lineRule="exact"/>
              <w:ind w:left="340"/>
              <w:jc w:val="center"/>
              <w:textAlignment w:val="auto"/>
            </w:pPr>
            <w:r>
              <w:t>2.3</w:t>
            </w:r>
          </w:p>
        </w:tc>
        <w:tc>
          <w:tcPr>
            <w:tcW w:w="2047" w:type="dxa"/>
            <w:noWrap w:val="0"/>
            <w:vAlign w:val="top"/>
          </w:tcPr>
          <w:p w14:paraId="710CA759">
            <w:pPr>
              <w:keepNext w:val="0"/>
              <w:keepLines w:val="0"/>
              <w:pageBreakBefore w:val="0"/>
              <w:widowControl/>
              <w:kinsoku/>
              <w:wordWrap/>
              <w:overflowPunct/>
              <w:topLinePunct w:val="0"/>
              <w:autoSpaceDE/>
              <w:autoSpaceDN/>
              <w:bidi w:val="0"/>
              <w:adjustRightInd/>
              <w:snapToGrid/>
              <w:spacing w:before="112" w:line="240" w:lineRule="exact"/>
              <w:ind w:left="335"/>
              <w:jc w:val="left"/>
              <w:textAlignment w:val="auto"/>
              <w:rPr>
                <w:rFonts w:ascii="宋体" w:hAnsi="宋体" w:eastAsia="宋体" w:cs="宋体"/>
                <w:sz w:val="20"/>
                <w:szCs w:val="20"/>
              </w:rPr>
            </w:pPr>
            <w:r>
              <w:rPr>
                <w:rFonts w:ascii="宋体" w:hAnsi="宋体" w:eastAsia="宋体" w:cs="宋体"/>
                <w:spacing w:val="-2"/>
                <w:sz w:val="20"/>
                <w:szCs w:val="20"/>
              </w:rPr>
              <w:t>建设单位管理费</w:t>
            </w:r>
          </w:p>
        </w:tc>
        <w:tc>
          <w:tcPr>
            <w:tcW w:w="6203" w:type="dxa"/>
            <w:gridSpan w:val="4"/>
            <w:noWrap w:val="0"/>
            <w:vAlign w:val="top"/>
          </w:tcPr>
          <w:p w14:paraId="09E1D893">
            <w:pPr>
              <w:pStyle w:val="37"/>
              <w:keepNext w:val="0"/>
              <w:keepLines w:val="0"/>
              <w:pageBreakBefore w:val="0"/>
              <w:widowControl/>
              <w:kinsoku/>
              <w:wordWrap/>
              <w:overflowPunct/>
              <w:topLinePunct w:val="0"/>
              <w:autoSpaceDE/>
              <w:autoSpaceDN/>
              <w:bidi w:val="0"/>
              <w:adjustRightInd/>
              <w:snapToGrid/>
              <w:spacing w:before="112" w:line="240" w:lineRule="exact"/>
              <w:ind w:left="427"/>
              <w:jc w:val="center"/>
              <w:textAlignment w:val="auto"/>
            </w:pPr>
            <w:r>
              <w:rPr>
                <w:rFonts w:ascii="宋体" w:hAnsi="宋体" w:eastAsia="宋体" w:cs="宋体"/>
                <w:spacing w:val="-3"/>
              </w:rPr>
              <w:t>工程费用中的</w:t>
            </w:r>
            <w:r>
              <w:rPr>
                <w:rFonts w:ascii="宋体" w:hAnsi="宋体" w:eastAsia="宋体" w:cs="宋体"/>
                <w:spacing w:val="-30"/>
              </w:rPr>
              <w:t xml:space="preserve"> </w:t>
            </w:r>
            <w:r>
              <w:rPr>
                <w:spacing w:val="-3"/>
              </w:rPr>
              <w:t xml:space="preserve">1000 </w:t>
            </w:r>
            <w:r>
              <w:rPr>
                <w:rFonts w:ascii="宋体" w:hAnsi="宋体" w:eastAsia="宋体" w:cs="宋体"/>
                <w:spacing w:val="-3"/>
              </w:rPr>
              <w:t>万元×</w:t>
            </w:r>
            <w:r>
              <w:rPr>
                <w:spacing w:val="-3"/>
              </w:rPr>
              <w:t>2%+</w:t>
            </w:r>
            <w:r>
              <w:rPr>
                <w:rFonts w:ascii="宋体" w:hAnsi="宋体" w:eastAsia="宋体" w:cs="宋体"/>
                <w:spacing w:val="-3"/>
              </w:rPr>
              <w:t>（工程费用</w:t>
            </w:r>
            <w:r>
              <w:rPr>
                <w:spacing w:val="-3"/>
              </w:rPr>
              <w:t xml:space="preserve">-1000 </w:t>
            </w:r>
            <w:r>
              <w:rPr>
                <w:rFonts w:ascii="宋体" w:hAnsi="宋体" w:eastAsia="宋体" w:cs="宋体"/>
                <w:spacing w:val="-3"/>
              </w:rPr>
              <w:t>万元）</w:t>
            </w:r>
            <w:r>
              <w:rPr>
                <w:rFonts w:ascii="宋体" w:hAnsi="宋体" w:eastAsia="宋体" w:cs="宋体"/>
                <w:spacing w:val="-67"/>
              </w:rPr>
              <w:t xml:space="preserve"> </w:t>
            </w:r>
            <w:r>
              <w:rPr>
                <w:rFonts w:ascii="宋体" w:hAnsi="宋体" w:eastAsia="宋体" w:cs="宋体"/>
                <w:spacing w:val="-3"/>
              </w:rPr>
              <w:t>×</w:t>
            </w:r>
            <w:r>
              <w:rPr>
                <w:spacing w:val="-3"/>
              </w:rPr>
              <w:t>1.5%</w:t>
            </w:r>
          </w:p>
        </w:tc>
        <w:tc>
          <w:tcPr>
            <w:tcW w:w="1552" w:type="dxa"/>
            <w:noWrap w:val="0"/>
            <w:vAlign w:val="center"/>
          </w:tcPr>
          <w:p w14:paraId="68946B6D">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150.66</w:t>
            </w:r>
          </w:p>
        </w:tc>
        <w:tc>
          <w:tcPr>
            <w:tcW w:w="1551" w:type="dxa"/>
            <w:noWrap w:val="0"/>
            <w:vAlign w:val="center"/>
          </w:tcPr>
          <w:p w14:paraId="608AF871">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133.92</w:t>
            </w:r>
          </w:p>
        </w:tc>
        <w:tc>
          <w:tcPr>
            <w:tcW w:w="1556" w:type="dxa"/>
            <w:noWrap w:val="0"/>
            <w:vAlign w:val="center"/>
          </w:tcPr>
          <w:p w14:paraId="2588B415">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16.74</w:t>
            </w:r>
          </w:p>
        </w:tc>
      </w:tr>
      <w:tr w14:paraId="46AFB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25" w:type="dxa"/>
            <w:noWrap w:val="0"/>
            <w:vAlign w:val="top"/>
          </w:tcPr>
          <w:p w14:paraId="656120C0">
            <w:pPr>
              <w:pStyle w:val="37"/>
              <w:keepNext w:val="0"/>
              <w:keepLines w:val="0"/>
              <w:pageBreakBefore w:val="0"/>
              <w:widowControl/>
              <w:kinsoku/>
              <w:wordWrap/>
              <w:overflowPunct/>
              <w:topLinePunct w:val="0"/>
              <w:autoSpaceDE/>
              <w:autoSpaceDN/>
              <w:bidi w:val="0"/>
              <w:adjustRightInd/>
              <w:snapToGrid/>
              <w:spacing w:before="150" w:line="240" w:lineRule="exact"/>
              <w:ind w:left="340"/>
              <w:jc w:val="center"/>
              <w:textAlignment w:val="auto"/>
            </w:pPr>
            <w:r>
              <w:t>2.4</w:t>
            </w:r>
          </w:p>
        </w:tc>
        <w:tc>
          <w:tcPr>
            <w:tcW w:w="2047" w:type="dxa"/>
            <w:noWrap w:val="0"/>
            <w:vAlign w:val="top"/>
          </w:tcPr>
          <w:p w14:paraId="3F9E18C9">
            <w:pPr>
              <w:keepNext w:val="0"/>
              <w:keepLines w:val="0"/>
              <w:pageBreakBefore w:val="0"/>
              <w:widowControl/>
              <w:kinsoku/>
              <w:wordWrap/>
              <w:overflowPunct/>
              <w:topLinePunct w:val="0"/>
              <w:autoSpaceDE/>
              <w:autoSpaceDN/>
              <w:bidi w:val="0"/>
              <w:adjustRightInd/>
              <w:snapToGrid/>
              <w:spacing w:before="114" w:line="240" w:lineRule="exact"/>
              <w:ind w:left="535"/>
              <w:jc w:val="left"/>
              <w:textAlignment w:val="auto"/>
              <w:rPr>
                <w:rFonts w:ascii="宋体" w:hAnsi="宋体" w:eastAsia="宋体" w:cs="宋体"/>
                <w:sz w:val="20"/>
                <w:szCs w:val="20"/>
              </w:rPr>
            </w:pPr>
            <w:r>
              <w:rPr>
                <w:rFonts w:ascii="宋体" w:hAnsi="宋体" w:eastAsia="宋体" w:cs="宋体"/>
                <w:spacing w:val="-2"/>
                <w:sz w:val="20"/>
                <w:szCs w:val="20"/>
              </w:rPr>
              <w:t>工程监理费</w:t>
            </w:r>
          </w:p>
        </w:tc>
        <w:tc>
          <w:tcPr>
            <w:tcW w:w="6203" w:type="dxa"/>
            <w:gridSpan w:val="4"/>
            <w:noWrap w:val="0"/>
            <w:vAlign w:val="top"/>
          </w:tcPr>
          <w:p w14:paraId="271D3AD0">
            <w:pPr>
              <w:pStyle w:val="37"/>
              <w:keepNext w:val="0"/>
              <w:keepLines w:val="0"/>
              <w:pageBreakBefore w:val="0"/>
              <w:widowControl/>
              <w:kinsoku/>
              <w:wordWrap/>
              <w:overflowPunct/>
              <w:topLinePunct w:val="0"/>
              <w:autoSpaceDE/>
              <w:autoSpaceDN/>
              <w:bidi w:val="0"/>
              <w:adjustRightInd/>
              <w:snapToGrid/>
              <w:spacing w:before="114" w:line="240" w:lineRule="exact"/>
              <w:ind w:left="2356"/>
              <w:jc w:val="center"/>
              <w:textAlignment w:val="auto"/>
              <w:rPr>
                <w:rFonts w:ascii="宋体" w:hAnsi="宋体" w:eastAsia="宋体" w:cs="宋体"/>
              </w:rPr>
            </w:pPr>
            <w:r>
              <w:rPr>
                <w:rFonts w:ascii="宋体" w:hAnsi="宋体" w:eastAsia="宋体" w:cs="宋体"/>
                <w:spacing w:val="-4"/>
              </w:rPr>
              <w:t>按工程费的</w:t>
            </w:r>
            <w:r>
              <w:rPr>
                <w:rFonts w:ascii="宋体" w:hAnsi="宋体" w:eastAsia="宋体" w:cs="宋体"/>
                <w:spacing w:val="-31"/>
              </w:rPr>
              <w:t xml:space="preserve"> </w:t>
            </w:r>
            <w:r>
              <w:rPr>
                <w:spacing w:val="-4"/>
              </w:rPr>
              <w:t>1%</w:t>
            </w:r>
            <w:r>
              <w:rPr>
                <w:rFonts w:ascii="宋体" w:hAnsi="宋体" w:eastAsia="宋体" w:cs="宋体"/>
                <w:spacing w:val="-4"/>
              </w:rPr>
              <w:t>计</w:t>
            </w:r>
          </w:p>
        </w:tc>
        <w:tc>
          <w:tcPr>
            <w:tcW w:w="1552" w:type="dxa"/>
            <w:noWrap w:val="0"/>
            <w:vAlign w:val="center"/>
          </w:tcPr>
          <w:p w14:paraId="6FDF4334">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77.11</w:t>
            </w:r>
          </w:p>
        </w:tc>
        <w:tc>
          <w:tcPr>
            <w:tcW w:w="1551" w:type="dxa"/>
            <w:noWrap w:val="0"/>
            <w:vAlign w:val="center"/>
          </w:tcPr>
          <w:p w14:paraId="3FAEDF3C">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69.28</w:t>
            </w:r>
          </w:p>
        </w:tc>
        <w:tc>
          <w:tcPr>
            <w:tcW w:w="1556" w:type="dxa"/>
            <w:noWrap w:val="0"/>
            <w:vAlign w:val="center"/>
          </w:tcPr>
          <w:p w14:paraId="13718FAF">
            <w:pPr>
              <w:keepNext w:val="0"/>
              <w:keepLines w:val="0"/>
              <w:widowControl/>
              <w:suppressLineNumbers w:val="0"/>
              <w:jc w:val="center"/>
              <w:textAlignment w:val="center"/>
              <w:rPr>
                <w:color w:val="0000FF"/>
              </w:rPr>
            </w:pPr>
            <w:r>
              <w:rPr>
                <w:rFonts w:hint="default" w:ascii="Times New Roman" w:hAnsi="Times New Roman" w:eastAsia="宋体" w:cs="Times New Roman"/>
                <w:i w:val="0"/>
                <w:iCs w:val="0"/>
                <w:snapToGrid w:val="0"/>
                <w:color w:val="000000"/>
                <w:kern w:val="0"/>
                <w:sz w:val="20"/>
                <w:szCs w:val="20"/>
                <w:u w:val="none"/>
                <w:lang w:val="en-US" w:eastAsia="zh-CN" w:bidi="ar"/>
              </w:rPr>
              <w:t>7.83</w:t>
            </w:r>
          </w:p>
        </w:tc>
      </w:tr>
      <w:tr w14:paraId="31452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25" w:type="dxa"/>
            <w:noWrap w:val="0"/>
            <w:vAlign w:val="top"/>
          </w:tcPr>
          <w:p w14:paraId="2AA84B4A">
            <w:pPr>
              <w:keepNext w:val="0"/>
              <w:keepLines w:val="0"/>
              <w:pageBreakBefore w:val="0"/>
              <w:widowControl/>
              <w:kinsoku/>
              <w:wordWrap/>
              <w:overflowPunct/>
              <w:topLinePunct w:val="0"/>
              <w:autoSpaceDE/>
              <w:autoSpaceDN/>
              <w:bidi w:val="0"/>
              <w:adjustRightInd/>
              <w:snapToGrid/>
              <w:spacing w:before="114" w:line="240" w:lineRule="exact"/>
              <w:ind w:left="367"/>
              <w:jc w:val="center"/>
              <w:textAlignment w:val="auto"/>
              <w:rPr>
                <w:rFonts w:ascii="宋体" w:hAnsi="宋体" w:eastAsia="宋体" w:cs="宋体"/>
                <w:sz w:val="20"/>
                <w:szCs w:val="20"/>
              </w:rPr>
            </w:pPr>
            <w:r>
              <w:rPr>
                <w:rFonts w:ascii="宋体" w:hAnsi="宋体" w:eastAsia="宋体" w:cs="宋体"/>
                <w:sz w:val="20"/>
                <w:szCs w:val="20"/>
              </w:rPr>
              <w:t>三</w:t>
            </w:r>
          </w:p>
        </w:tc>
        <w:tc>
          <w:tcPr>
            <w:tcW w:w="2047" w:type="dxa"/>
            <w:noWrap w:val="0"/>
            <w:vAlign w:val="top"/>
          </w:tcPr>
          <w:p w14:paraId="35A48C15">
            <w:pPr>
              <w:keepNext w:val="0"/>
              <w:keepLines w:val="0"/>
              <w:pageBreakBefore w:val="0"/>
              <w:widowControl/>
              <w:kinsoku/>
              <w:wordWrap/>
              <w:overflowPunct/>
              <w:topLinePunct w:val="0"/>
              <w:autoSpaceDE/>
              <w:autoSpaceDN/>
              <w:bidi w:val="0"/>
              <w:adjustRightInd/>
              <w:snapToGrid/>
              <w:spacing w:before="114" w:line="240" w:lineRule="exact"/>
              <w:ind w:left="731"/>
              <w:jc w:val="left"/>
              <w:textAlignment w:val="auto"/>
              <w:rPr>
                <w:rFonts w:ascii="宋体" w:hAnsi="宋体" w:eastAsia="宋体" w:cs="宋体"/>
                <w:sz w:val="20"/>
                <w:szCs w:val="20"/>
              </w:rPr>
            </w:pPr>
            <w:r>
              <w:rPr>
                <w:rFonts w:ascii="宋体" w:hAnsi="宋体" w:eastAsia="宋体" w:cs="宋体"/>
                <w:spacing w:val="-2"/>
                <w:sz w:val="20"/>
                <w:szCs w:val="20"/>
              </w:rPr>
              <w:t>预备费</w:t>
            </w:r>
          </w:p>
        </w:tc>
        <w:tc>
          <w:tcPr>
            <w:tcW w:w="6203" w:type="dxa"/>
            <w:gridSpan w:val="4"/>
            <w:noWrap w:val="0"/>
            <w:vAlign w:val="top"/>
          </w:tcPr>
          <w:p w14:paraId="02A982AD">
            <w:pPr>
              <w:pStyle w:val="37"/>
              <w:keepNext w:val="0"/>
              <w:keepLines w:val="0"/>
              <w:pageBreakBefore w:val="0"/>
              <w:widowControl/>
              <w:kinsoku/>
              <w:wordWrap/>
              <w:overflowPunct/>
              <w:topLinePunct w:val="0"/>
              <w:autoSpaceDE/>
              <w:autoSpaceDN/>
              <w:bidi w:val="0"/>
              <w:adjustRightInd/>
              <w:snapToGrid/>
              <w:spacing w:before="114" w:line="240" w:lineRule="exact"/>
              <w:ind w:left="1607"/>
              <w:jc w:val="center"/>
              <w:textAlignment w:val="auto"/>
              <w:rPr>
                <w:rFonts w:ascii="宋体" w:hAnsi="宋体" w:eastAsia="宋体" w:cs="宋体"/>
              </w:rPr>
            </w:pPr>
            <w:r>
              <w:rPr>
                <w:rFonts w:ascii="宋体" w:hAnsi="宋体" w:eastAsia="宋体" w:cs="宋体"/>
                <w:spacing w:val="-2"/>
              </w:rPr>
              <w:t>按（工程费用</w:t>
            </w:r>
            <w:r>
              <w:rPr>
                <w:spacing w:val="-2"/>
              </w:rPr>
              <w:t>+</w:t>
            </w:r>
            <w:r>
              <w:rPr>
                <w:rFonts w:ascii="宋体" w:hAnsi="宋体" w:eastAsia="宋体" w:cs="宋体"/>
                <w:spacing w:val="-2"/>
              </w:rPr>
              <w:t>其他费用）的</w:t>
            </w:r>
            <w:r>
              <w:rPr>
                <w:rFonts w:ascii="宋体" w:hAnsi="宋体" w:eastAsia="宋体" w:cs="宋体"/>
                <w:spacing w:val="-45"/>
              </w:rPr>
              <w:t xml:space="preserve"> </w:t>
            </w:r>
            <w:r>
              <w:rPr>
                <w:spacing w:val="-2"/>
              </w:rPr>
              <w:t>5%</w:t>
            </w:r>
            <w:r>
              <w:rPr>
                <w:rFonts w:ascii="宋体" w:hAnsi="宋体" w:eastAsia="宋体" w:cs="宋体"/>
                <w:spacing w:val="-2"/>
              </w:rPr>
              <w:t>计</w:t>
            </w:r>
          </w:p>
        </w:tc>
        <w:tc>
          <w:tcPr>
            <w:tcW w:w="1552" w:type="dxa"/>
            <w:noWrap w:val="0"/>
            <w:vAlign w:val="center"/>
          </w:tcPr>
          <w:p w14:paraId="5F2D9133">
            <w:pPr>
              <w:keepNext w:val="0"/>
              <w:keepLines w:val="0"/>
              <w:widowControl/>
              <w:suppressLineNumbers w:val="0"/>
              <w:jc w:val="center"/>
              <w:textAlignment w:val="center"/>
              <w:rPr>
                <w:color w:val="0000FF"/>
              </w:rPr>
            </w:pPr>
            <w:r>
              <w:rPr>
                <w:rFonts w:hint="eastAsia" w:ascii="宋体" w:hAnsi="宋体" w:eastAsia="宋体" w:cs="宋体"/>
                <w:i w:val="0"/>
                <w:iCs w:val="0"/>
                <w:snapToGrid w:val="0"/>
                <w:color w:val="000000"/>
                <w:kern w:val="0"/>
                <w:sz w:val="20"/>
                <w:szCs w:val="20"/>
                <w:u w:val="none"/>
                <w:lang w:val="en-US" w:eastAsia="zh-CN" w:bidi="ar"/>
              </w:rPr>
              <w:t>402.71</w:t>
            </w:r>
          </w:p>
        </w:tc>
        <w:tc>
          <w:tcPr>
            <w:tcW w:w="1551" w:type="dxa"/>
            <w:noWrap w:val="0"/>
            <w:vAlign w:val="center"/>
          </w:tcPr>
          <w:p w14:paraId="4475EDC2">
            <w:pPr>
              <w:keepNext w:val="0"/>
              <w:keepLines w:val="0"/>
              <w:widowControl/>
              <w:suppressLineNumbers w:val="0"/>
              <w:jc w:val="center"/>
              <w:textAlignment w:val="center"/>
              <w:rPr>
                <w:color w:val="0000FF"/>
              </w:rPr>
            </w:pPr>
            <w:r>
              <w:rPr>
                <w:rFonts w:hint="eastAsia" w:ascii="宋体" w:hAnsi="宋体" w:eastAsia="宋体" w:cs="宋体"/>
                <w:i w:val="0"/>
                <w:iCs w:val="0"/>
                <w:snapToGrid w:val="0"/>
                <w:color w:val="000000"/>
                <w:kern w:val="0"/>
                <w:sz w:val="20"/>
                <w:szCs w:val="20"/>
                <w:u w:val="none"/>
                <w:lang w:val="en-US" w:eastAsia="zh-CN" w:bidi="ar"/>
              </w:rPr>
              <w:t>361.75</w:t>
            </w:r>
          </w:p>
        </w:tc>
        <w:tc>
          <w:tcPr>
            <w:tcW w:w="1556" w:type="dxa"/>
            <w:noWrap w:val="0"/>
            <w:vAlign w:val="center"/>
          </w:tcPr>
          <w:p w14:paraId="0DBD9F1D">
            <w:pPr>
              <w:keepNext w:val="0"/>
              <w:keepLines w:val="0"/>
              <w:widowControl/>
              <w:suppressLineNumbers w:val="0"/>
              <w:jc w:val="center"/>
              <w:textAlignment w:val="center"/>
              <w:rPr>
                <w:color w:val="0000FF"/>
              </w:rPr>
            </w:pPr>
            <w:r>
              <w:rPr>
                <w:rFonts w:hint="eastAsia" w:ascii="宋体" w:hAnsi="宋体" w:eastAsia="宋体" w:cs="宋体"/>
                <w:i w:val="0"/>
                <w:iCs w:val="0"/>
                <w:snapToGrid w:val="0"/>
                <w:color w:val="000000"/>
                <w:kern w:val="0"/>
                <w:sz w:val="20"/>
                <w:szCs w:val="20"/>
                <w:u w:val="none"/>
                <w:lang w:val="en-US" w:eastAsia="zh-CN" w:bidi="ar"/>
              </w:rPr>
              <w:t>40.96</w:t>
            </w:r>
          </w:p>
        </w:tc>
      </w:tr>
    </w:tbl>
    <w:p w14:paraId="24F35A3F">
      <w:pPr>
        <w:jc w:val="center"/>
        <w:outlineLvl w:val="0"/>
        <w:rPr>
          <w:rFonts w:hint="default" w:ascii="Times New Roman" w:hAnsi="Times New Roman" w:eastAsia="仿宋_GB2312" w:cs="Times New Roman"/>
          <w:b/>
          <w:kern w:val="0"/>
          <w:sz w:val="32"/>
          <w:szCs w:val="32"/>
          <w:shd w:val="clear" w:color="auto" w:fill="auto"/>
          <w:lang w:val="en-US" w:eastAsia="zh-CN" w:bidi="ar"/>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9AE332B-7124-417E-AC1F-7DC9F7FCB7C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293735D-1439-465A-8F29-32A3D51D5A21}"/>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5CC6ED9E-41EA-4ABF-AA74-85CD097BB002}"/>
  </w:font>
  <w:font w:name="方正黑体_GBK">
    <w:panose1 w:val="02000000000000000000"/>
    <w:charset w:val="86"/>
    <w:family w:val="auto"/>
    <w:pitch w:val="default"/>
    <w:sig w:usb0="A00002BF" w:usb1="38CF7CFA" w:usb2="00082016" w:usb3="00000000" w:csb0="00040001" w:csb1="00000000"/>
    <w:embedRegular r:id="rId4" w:fontKey="{2EC6094E-BF72-4683-B53B-431A9BEC6779}"/>
  </w:font>
  <w:font w:name="方正书宋简体">
    <w:altName w:val="宋体"/>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A00002BF" w:usb1="38CF7CFA" w:usb2="00082016" w:usb3="00000000" w:csb0="00040001" w:csb1="00000000"/>
    <w:embedRegular r:id="rId5" w:fontKey="{92D7EC15-37B3-4E67-926B-D99012057B15}"/>
  </w:font>
  <w:font w:name="方正小标宋_GBK">
    <w:panose1 w:val="02000000000000000000"/>
    <w:charset w:val="86"/>
    <w:family w:val="auto"/>
    <w:pitch w:val="default"/>
    <w:sig w:usb0="A00002BF" w:usb1="38CF7CFA" w:usb2="00082016" w:usb3="00000000" w:csb0="00040001" w:csb1="00000000"/>
    <w:embedRegular r:id="rId6" w:fontKey="{50B482C3-BC0C-4864-B23C-E69F9E2C430F}"/>
  </w:font>
  <w:font w:name="方正仿宋_GB2312">
    <w:panose1 w:val="02000000000000000000"/>
    <w:charset w:val="86"/>
    <w:family w:val="auto"/>
    <w:pitch w:val="default"/>
    <w:sig w:usb0="A00002BF" w:usb1="184F6CFA" w:usb2="00000012" w:usb3="00000000" w:csb0="00040001" w:csb1="00000000"/>
    <w:embedRegular r:id="rId7" w:fontKey="{EB2AA691-485A-4925-A11E-DF1081026C0D}"/>
  </w:font>
  <w:font w:name="方正公文小标宋">
    <w:panose1 w:val="02000500000000000000"/>
    <w:charset w:val="86"/>
    <w:family w:val="auto"/>
    <w:pitch w:val="default"/>
    <w:sig w:usb0="A00002BF" w:usb1="38CF7CFA" w:usb2="00000016" w:usb3="00000000" w:csb0="00040001" w:csb1="00000000"/>
    <w:embedRegular r:id="rId8" w:fontKey="{0C284F49-1383-4A90-A048-1A35B9D5E036}"/>
  </w:font>
  <w:font w:name="方正公文黑体">
    <w:panose1 w:val="02000500000000000000"/>
    <w:charset w:val="86"/>
    <w:family w:val="auto"/>
    <w:pitch w:val="default"/>
    <w:sig w:usb0="A00002BF" w:usb1="38CF7CFA" w:usb2="00000016" w:usb3="00000000" w:csb0="00040001" w:csb1="00000000"/>
    <w:embedRegular r:id="rId9" w:fontKey="{6BDD39A6-1887-47CD-A439-26D95F8BC9FD}"/>
  </w:font>
  <w:font w:name="方正楷体_GBK">
    <w:panose1 w:val="02000000000000000000"/>
    <w:charset w:val="86"/>
    <w:family w:val="auto"/>
    <w:pitch w:val="default"/>
    <w:sig w:usb0="800002BF" w:usb1="38CF7CFA" w:usb2="00000016" w:usb3="00000000" w:csb0="00040000" w:csb1="00000000"/>
    <w:embedRegular r:id="rId10" w:fontKey="{E3B44F68-B4B5-460D-8697-8EAC3D6A462B}"/>
  </w:font>
  <w:font w:name="FangSong_GB2312">
    <w:altName w:val="仿宋_GB2312"/>
    <w:panose1 w:val="02010609030101010101"/>
    <w:charset w:val="86"/>
    <w:family w:val="auto"/>
    <w:pitch w:val="default"/>
    <w:sig w:usb0="00000000" w:usb1="00000000" w:usb2="00000000" w:usb3="00000000" w:csb0="00040000" w:csb1="00000000"/>
    <w:embedRegular r:id="rId11" w:fontKey="{9364627D-72A8-450A-BCF1-F2AC48DBABA3}"/>
  </w:font>
  <w:font w:name="WPSEMBED3">
    <w:panose1 w:val="02000000000000000000"/>
    <w:charset w:val="86"/>
    <w:family w:val="auto"/>
    <w:pitch w:val="default"/>
    <w:sig w:usb0="A00002BF" w:usb1="38CF7CFA" w:usb2="00082016" w:usb3="00000000" w:csb0="00040001" w:csb1="00000000"/>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A00002BF" w:usb1="38CF7CFA" w:usb2="00082016" w:usb3="00000000" w:csb0="00040001" w:csb1="00000000"/>
  </w:font>
  <w:font w:name="WPSEMBED4">
    <w:panose1 w:val="02000000000000000000"/>
    <w:charset w:val="86"/>
    <w:family w:val="auto"/>
    <w:pitch w:val="default"/>
    <w:sig w:usb0="A00002BF" w:usb1="184F6CFA" w:usb2="00000012" w:usb3="00000000" w:csb0="00040001" w:csb1="00000000"/>
  </w:font>
  <w:font w:name="WPSEMBED5">
    <w:panose1 w:val="02000500000000000000"/>
    <w:charset w:val="86"/>
    <w:family w:val="auto"/>
    <w:pitch w:val="default"/>
    <w:sig w:usb0="A00002BF" w:usb1="38CF7CFA" w:usb2="00000016" w:usb3="00000000" w:csb0="00040001" w:csb1="00000000"/>
  </w:font>
  <w:font w:name="WPSEMBED6">
    <w:panose1 w:val="02000500000000000000"/>
    <w:charset w:val="86"/>
    <w:family w:val="auto"/>
    <w:pitch w:val="default"/>
    <w:sig w:usb0="A00002BF" w:usb1="38CF7CFA" w:usb2="00000016" w:usb3="00000000" w:csb0="00040001" w:csb1="00000000"/>
  </w:font>
  <w:font w:name="WPSEMBED7">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D6D42">
    <w:pPr>
      <w:pStyle w:val="8"/>
      <w:tabs>
        <w:tab w:val="center" w:pos="4153"/>
        <w:tab w:val="right" w:pos="8306"/>
        <w:tab w:val="clear" w:pos="4140"/>
        <w:tab w:val="clear" w:pos="83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CB8E5">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423C">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BAB42">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4BBAB42">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15AE">
    <w:pPr>
      <w:pStyle w:val="9"/>
      <w:tabs>
        <w:tab w:val="center" w:pos="4153"/>
        <w:tab w:val="right" w:pos="8306"/>
        <w:tab w:val="clear" w:pos="4140"/>
        <w:tab w:val="clear" w:pos="8300"/>
      </w:tabs>
      <w:rPr>
        <w:rFonts w:hint="eastAsia" w:ascii="仿宋" w:hAnsi="仿宋" w:eastAsia="仿宋" w:cs="仿宋"/>
      </w:rPr>
    </w:pPr>
  </w:p>
  <w:p w14:paraId="6D92C58A">
    <w:pPr>
      <w:pStyle w:val="9"/>
      <w:tabs>
        <w:tab w:val="center" w:pos="4153"/>
        <w:tab w:val="right" w:pos="8306"/>
        <w:tab w:val="clear" w:pos="4140"/>
        <w:tab w:val="clear" w:pos="8300"/>
      </w:tabs>
      <w:rPr>
        <w:rFonts w:hint="eastAsia"/>
      </w:rPr>
    </w:pPr>
    <w:r>
      <w:rPr>
        <w:rFonts w:hint="eastAsia" w:ascii="仿宋" w:hAnsi="仿宋" w:eastAsia="仿宋" w:cs="仿宋"/>
        <w:lang w:val="en-US" w:eastAsia="zh-CN"/>
      </w:rPr>
      <w:t>伊吾县防沙治沙实施方案</w:t>
    </w:r>
    <w:r>
      <w:rPr>
        <w:rFonts w:ascii="仿宋" w:hAnsi="仿宋" w:eastAsia="仿宋" w:cs="仿宋"/>
        <w:spacing w:val="7"/>
        <w:sz w:val="20"/>
        <w:szCs w:val="20"/>
      </w:rPr>
      <w:t>（</w:t>
    </w:r>
    <w:r>
      <w:rPr>
        <w:rFonts w:hint="eastAsia"/>
        <w:spacing w:val="7"/>
        <w:sz w:val="20"/>
        <w:szCs w:val="20"/>
        <w:lang w:eastAsia="zh-CN"/>
      </w:rPr>
      <w:t>202</w:t>
    </w:r>
    <w:r>
      <w:rPr>
        <w:rFonts w:hint="eastAsia"/>
        <w:spacing w:val="7"/>
        <w:sz w:val="20"/>
        <w:szCs w:val="20"/>
        <w:lang w:val="en-US" w:eastAsia="zh-CN"/>
      </w:rPr>
      <w:t>6</w:t>
    </w:r>
    <w:r>
      <w:rPr>
        <w:rFonts w:hint="eastAsia"/>
        <w:spacing w:val="7"/>
        <w:sz w:val="20"/>
        <w:szCs w:val="20"/>
        <w:lang w:eastAsia="zh-CN"/>
      </w:rPr>
      <w:t>—2030</w:t>
    </w:r>
    <w:r>
      <w:rPr>
        <w:rFonts w:ascii="仿宋" w:hAnsi="仿宋" w:eastAsia="仿宋" w:cs="仿宋"/>
        <w:spacing w:val="7"/>
        <w:sz w:val="20"/>
        <w:szCs w:val="20"/>
      </w:rPr>
      <w:t>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573D5">
    <w:pPr>
      <w:pBdr>
        <w:bottom w:val="single" w:color="auto" w:sz="4" w:space="0"/>
      </w:pBdr>
      <w:spacing w:before="56" w:line="223" w:lineRule="auto"/>
      <w:jc w:val="center"/>
      <w:rPr>
        <w:rFonts w:ascii="FangSong_GB2312" w:hAnsi="FangSong_GB2312" w:eastAsia="FangSong_GB2312" w:cs="FangSong_GB2312"/>
        <w:sz w:val="20"/>
        <w:szCs w:val="20"/>
      </w:rPr>
    </w:pPr>
    <w:r>
      <w:rPr>
        <w:rFonts w:hint="eastAsia" w:ascii="FangSong_GB2312" w:hAnsi="FangSong_GB2312" w:eastAsia="FangSong_GB2312" w:cs="FangSong_GB2312"/>
        <w:spacing w:val="6"/>
        <w:sz w:val="20"/>
        <w:szCs w:val="20"/>
        <w:lang w:val="en-US" w:eastAsia="zh-CN"/>
      </w:rPr>
      <w:t>伊吾县防沙治沙实施方案（2026—2030 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30B09"/>
    <w:multiLevelType w:val="singleLevel"/>
    <w:tmpl w:val="8C730B09"/>
    <w:lvl w:ilvl="0" w:tentative="0">
      <w:start w:val="7"/>
      <w:numFmt w:val="chineseCounting"/>
      <w:suff w:val="space"/>
      <w:lvlText w:val="第%1章"/>
      <w:lvlJc w:val="left"/>
      <w:rPr>
        <w:rFonts w:hint="eastAsia"/>
      </w:rPr>
    </w:lvl>
  </w:abstractNum>
  <w:abstractNum w:abstractNumId="1">
    <w:nsid w:val="A25CD1C5"/>
    <w:multiLevelType w:val="singleLevel"/>
    <w:tmpl w:val="A25CD1C5"/>
    <w:lvl w:ilvl="0" w:tentative="0">
      <w:start w:val="1"/>
      <w:numFmt w:val="chineseCounting"/>
      <w:suff w:val="nothing"/>
      <w:lvlText w:val="（%1）"/>
      <w:lvlJc w:val="left"/>
      <w:rPr>
        <w:rFonts w:hint="eastAsia"/>
      </w:rPr>
    </w:lvl>
  </w:abstractNum>
  <w:abstractNum w:abstractNumId="2">
    <w:nsid w:val="FE8B0CF5"/>
    <w:multiLevelType w:val="singleLevel"/>
    <w:tmpl w:val="FE8B0CF5"/>
    <w:lvl w:ilvl="0" w:tentative="0">
      <w:start w:val="3"/>
      <w:numFmt w:val="chineseCounting"/>
      <w:suff w:val="nothing"/>
      <w:lvlText w:val="%1、"/>
      <w:lvlJc w:val="left"/>
      <w:rPr>
        <w:rFonts w:hint="eastAsia"/>
      </w:rPr>
    </w:lvl>
  </w:abstractNum>
  <w:abstractNum w:abstractNumId="3">
    <w:nsid w:val="1172D765"/>
    <w:multiLevelType w:val="singleLevel"/>
    <w:tmpl w:val="1172D765"/>
    <w:lvl w:ilvl="0" w:tentative="0">
      <w:start w:val="4"/>
      <w:numFmt w:val="chineseCounting"/>
      <w:suff w:val="nothing"/>
      <w:lvlText w:val="%1、"/>
      <w:lvlJc w:val="left"/>
      <w:rPr>
        <w:rFonts w:hint="eastAsia"/>
      </w:rPr>
    </w:lvl>
  </w:abstractNum>
  <w:abstractNum w:abstractNumId="4">
    <w:nsid w:val="581F5482"/>
    <w:multiLevelType w:val="multilevel"/>
    <w:tmpl w:val="581F5482"/>
    <w:lvl w:ilvl="0" w:tentative="0">
      <w:start w:val="1"/>
      <w:numFmt w:val="chineseCountingThousand"/>
      <w:lvlText w:val="第%1章"/>
      <w:lvlJc w:val="center"/>
      <w:pPr>
        <w:ind w:left="1560" w:firstLine="0"/>
      </w:pPr>
      <w:rPr>
        <w:rFonts w:hint="eastAsia"/>
      </w:rPr>
    </w:lvl>
    <w:lvl w:ilvl="1" w:tentative="0">
      <w:start w:val="1"/>
      <w:numFmt w:val="decimal"/>
      <w:isLgl/>
      <w:lvlText w:val="%1.%2"/>
      <w:lvlJc w:val="left"/>
      <w:pPr>
        <w:ind w:left="0" w:firstLine="0"/>
      </w:pPr>
      <w:rPr>
        <w:rFonts w:hint="eastAsia"/>
      </w:rPr>
    </w:lvl>
    <w:lvl w:ilvl="2" w:tentative="0">
      <w:start w:val="1"/>
      <w:numFmt w:val="decimal"/>
      <w:pStyle w:val="24"/>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lvlRestart w:val="0"/>
      <w:lvlText w:val="%5"/>
      <w:lvlJc w:val="left"/>
      <w:pPr>
        <w:ind w:left="0" w:firstLine="0"/>
      </w:pPr>
      <w:rPr>
        <w:rFonts w:hint="eastAsia"/>
      </w:rPr>
    </w:lvl>
    <w:lvl w:ilvl="5" w:tentative="0">
      <w:start w:val="1"/>
      <w:numFmt w:val="decimal"/>
      <w:lvlRestart w:val="1"/>
      <w:isLgl/>
      <w:lvlText w:val="图%1-%6"/>
      <w:lvlJc w:val="left"/>
      <w:pPr>
        <w:ind w:left="0" w:firstLine="0"/>
      </w:pPr>
      <w:rPr>
        <w:rFonts w:hint="eastAsia"/>
        <w:b w:val="0"/>
      </w:rPr>
    </w:lvl>
    <w:lvl w:ilvl="6" w:tentative="0">
      <w:start w:val="1"/>
      <w:numFmt w:val="decimal"/>
      <w:lvlRestart w:val="1"/>
      <w:isLgl/>
      <w:lvlText w:val="表%1-%7"/>
      <w:lvlJc w:val="left"/>
      <w:pPr>
        <w:ind w:left="0" w:firstLine="0"/>
      </w:pPr>
      <w:rPr>
        <w:rFonts w:hint="eastAsia"/>
        <w:b w:val="0"/>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742262C1"/>
    <w:multiLevelType w:val="singleLevel"/>
    <w:tmpl w:val="742262C1"/>
    <w:lvl w:ilvl="0" w:tentative="0">
      <w:start w:val="3"/>
      <w:numFmt w:val="chineseCounting"/>
      <w:suff w:val="nothing"/>
      <w:lvlText w:val="%1、"/>
      <w:lvlJc w:val="left"/>
      <w:rPr>
        <w:rFonts w:hint="eastAsia"/>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jNzNmOTlhNDEwM2VjNDQzNjZmMjFjZTYyY2Q0MTcifQ=="/>
  </w:docVars>
  <w:rsids>
    <w:rsidRoot w:val="50F468F3"/>
    <w:rsid w:val="004953A6"/>
    <w:rsid w:val="00E32B7D"/>
    <w:rsid w:val="00F66F31"/>
    <w:rsid w:val="0119677B"/>
    <w:rsid w:val="013E61E2"/>
    <w:rsid w:val="017E2A82"/>
    <w:rsid w:val="01B82438"/>
    <w:rsid w:val="02477318"/>
    <w:rsid w:val="02553C64"/>
    <w:rsid w:val="04AD5B99"/>
    <w:rsid w:val="04B769D7"/>
    <w:rsid w:val="04CB6DE1"/>
    <w:rsid w:val="051C4A8C"/>
    <w:rsid w:val="060441C5"/>
    <w:rsid w:val="06691F53"/>
    <w:rsid w:val="06EE1B44"/>
    <w:rsid w:val="07372439"/>
    <w:rsid w:val="07D01B5E"/>
    <w:rsid w:val="082F0F7A"/>
    <w:rsid w:val="08417F5B"/>
    <w:rsid w:val="08C507FA"/>
    <w:rsid w:val="0BD460C1"/>
    <w:rsid w:val="0BD55995"/>
    <w:rsid w:val="0BF77B93"/>
    <w:rsid w:val="0CBE28CD"/>
    <w:rsid w:val="0D4B23B2"/>
    <w:rsid w:val="0D981F58"/>
    <w:rsid w:val="0DAD0977"/>
    <w:rsid w:val="0E145F0B"/>
    <w:rsid w:val="0EBD2E3C"/>
    <w:rsid w:val="11760EDB"/>
    <w:rsid w:val="11A34FFB"/>
    <w:rsid w:val="11F56D91"/>
    <w:rsid w:val="12062D4C"/>
    <w:rsid w:val="12D06EB6"/>
    <w:rsid w:val="13541895"/>
    <w:rsid w:val="138A6C72"/>
    <w:rsid w:val="13D35CAB"/>
    <w:rsid w:val="144242FA"/>
    <w:rsid w:val="149021D0"/>
    <w:rsid w:val="14A67E30"/>
    <w:rsid w:val="15AF54A9"/>
    <w:rsid w:val="169E5DB9"/>
    <w:rsid w:val="173F7AC4"/>
    <w:rsid w:val="17497826"/>
    <w:rsid w:val="174A5489"/>
    <w:rsid w:val="175207E1"/>
    <w:rsid w:val="179562A1"/>
    <w:rsid w:val="185A5BA0"/>
    <w:rsid w:val="18857FB7"/>
    <w:rsid w:val="18C80D5B"/>
    <w:rsid w:val="19B673B1"/>
    <w:rsid w:val="19D65BCE"/>
    <w:rsid w:val="1B684130"/>
    <w:rsid w:val="1BF92425"/>
    <w:rsid w:val="1C0C5403"/>
    <w:rsid w:val="1C744CBF"/>
    <w:rsid w:val="1C99303D"/>
    <w:rsid w:val="1C9A3F92"/>
    <w:rsid w:val="1CB136C0"/>
    <w:rsid w:val="1EA27958"/>
    <w:rsid w:val="1EB51B8D"/>
    <w:rsid w:val="1F204D21"/>
    <w:rsid w:val="1F246B03"/>
    <w:rsid w:val="1F552C1D"/>
    <w:rsid w:val="1FD10CCE"/>
    <w:rsid w:val="200563F1"/>
    <w:rsid w:val="200A1C59"/>
    <w:rsid w:val="205826F8"/>
    <w:rsid w:val="20BF2F97"/>
    <w:rsid w:val="210252E9"/>
    <w:rsid w:val="211758D5"/>
    <w:rsid w:val="212E540E"/>
    <w:rsid w:val="21A32365"/>
    <w:rsid w:val="223D31FF"/>
    <w:rsid w:val="22AF6AE8"/>
    <w:rsid w:val="22C16F92"/>
    <w:rsid w:val="230B4AC3"/>
    <w:rsid w:val="24912949"/>
    <w:rsid w:val="252A06A8"/>
    <w:rsid w:val="258A19A4"/>
    <w:rsid w:val="25F71FD8"/>
    <w:rsid w:val="261F5E4B"/>
    <w:rsid w:val="265B5B47"/>
    <w:rsid w:val="265C6F87"/>
    <w:rsid w:val="26BA5146"/>
    <w:rsid w:val="27663098"/>
    <w:rsid w:val="2792358E"/>
    <w:rsid w:val="27B30E28"/>
    <w:rsid w:val="285F49AC"/>
    <w:rsid w:val="288F528A"/>
    <w:rsid w:val="2C4E2ECE"/>
    <w:rsid w:val="2CC26613"/>
    <w:rsid w:val="2D8E13FF"/>
    <w:rsid w:val="2D9B65E7"/>
    <w:rsid w:val="2DC53663"/>
    <w:rsid w:val="2DCD42C6"/>
    <w:rsid w:val="2DF31F7F"/>
    <w:rsid w:val="2E0028ED"/>
    <w:rsid w:val="2E4D690B"/>
    <w:rsid w:val="2EC76F67"/>
    <w:rsid w:val="30D32ED6"/>
    <w:rsid w:val="30DE49BA"/>
    <w:rsid w:val="30EA07CC"/>
    <w:rsid w:val="314246DE"/>
    <w:rsid w:val="3254684E"/>
    <w:rsid w:val="328B0299"/>
    <w:rsid w:val="32A86784"/>
    <w:rsid w:val="33264BA4"/>
    <w:rsid w:val="33363C14"/>
    <w:rsid w:val="33DC790E"/>
    <w:rsid w:val="35A93699"/>
    <w:rsid w:val="35B75F88"/>
    <w:rsid w:val="35BA7826"/>
    <w:rsid w:val="36232996"/>
    <w:rsid w:val="363239F2"/>
    <w:rsid w:val="36E666CE"/>
    <w:rsid w:val="37EB016A"/>
    <w:rsid w:val="380C2E83"/>
    <w:rsid w:val="38A8605B"/>
    <w:rsid w:val="38C34C43"/>
    <w:rsid w:val="3A18074D"/>
    <w:rsid w:val="3ACA050B"/>
    <w:rsid w:val="3C8A3C84"/>
    <w:rsid w:val="3CC52D38"/>
    <w:rsid w:val="3D810976"/>
    <w:rsid w:val="3DA60DBB"/>
    <w:rsid w:val="3E60015F"/>
    <w:rsid w:val="3E7F0A7C"/>
    <w:rsid w:val="3EC139D3"/>
    <w:rsid w:val="3F0541A7"/>
    <w:rsid w:val="3F6E3B5B"/>
    <w:rsid w:val="3FE5469F"/>
    <w:rsid w:val="3FF24A07"/>
    <w:rsid w:val="406D5354"/>
    <w:rsid w:val="40D40514"/>
    <w:rsid w:val="417967E7"/>
    <w:rsid w:val="420E5181"/>
    <w:rsid w:val="43321C60"/>
    <w:rsid w:val="43685621"/>
    <w:rsid w:val="43B74B04"/>
    <w:rsid w:val="44150A49"/>
    <w:rsid w:val="443A04B0"/>
    <w:rsid w:val="44775260"/>
    <w:rsid w:val="44ED1C61"/>
    <w:rsid w:val="45154ED5"/>
    <w:rsid w:val="45953971"/>
    <w:rsid w:val="46380A1F"/>
    <w:rsid w:val="4707219F"/>
    <w:rsid w:val="47A371C9"/>
    <w:rsid w:val="491F5EC6"/>
    <w:rsid w:val="49BD6F6B"/>
    <w:rsid w:val="4A321126"/>
    <w:rsid w:val="4A547DF1"/>
    <w:rsid w:val="4B584304"/>
    <w:rsid w:val="4C820C46"/>
    <w:rsid w:val="4C9C083E"/>
    <w:rsid w:val="4CBE2078"/>
    <w:rsid w:val="4CF0365A"/>
    <w:rsid w:val="4CFD651E"/>
    <w:rsid w:val="4D063625"/>
    <w:rsid w:val="4D6D7C25"/>
    <w:rsid w:val="4DE82719"/>
    <w:rsid w:val="4DFB72AD"/>
    <w:rsid w:val="4E39210A"/>
    <w:rsid w:val="4E3C3076"/>
    <w:rsid w:val="4E824F2D"/>
    <w:rsid w:val="4EFA0F67"/>
    <w:rsid w:val="4F414352"/>
    <w:rsid w:val="50DD469C"/>
    <w:rsid w:val="50F468F3"/>
    <w:rsid w:val="521405CD"/>
    <w:rsid w:val="52834430"/>
    <w:rsid w:val="52FB16E6"/>
    <w:rsid w:val="54A61249"/>
    <w:rsid w:val="550A7A2A"/>
    <w:rsid w:val="553507CF"/>
    <w:rsid w:val="554B7614"/>
    <w:rsid w:val="55A7171D"/>
    <w:rsid w:val="55BD1B3D"/>
    <w:rsid w:val="55E42029"/>
    <w:rsid w:val="562A187E"/>
    <w:rsid w:val="564E3947"/>
    <w:rsid w:val="566413BC"/>
    <w:rsid w:val="56C105BC"/>
    <w:rsid w:val="571E2083"/>
    <w:rsid w:val="5735623D"/>
    <w:rsid w:val="57402ECC"/>
    <w:rsid w:val="57F549C2"/>
    <w:rsid w:val="57F91E66"/>
    <w:rsid w:val="584D21CC"/>
    <w:rsid w:val="58A3441E"/>
    <w:rsid w:val="58FE78A6"/>
    <w:rsid w:val="5980050A"/>
    <w:rsid w:val="59D27CC2"/>
    <w:rsid w:val="5A1E62F5"/>
    <w:rsid w:val="5A3C4643"/>
    <w:rsid w:val="5AA1498D"/>
    <w:rsid w:val="5ACA2DC4"/>
    <w:rsid w:val="5AF96577"/>
    <w:rsid w:val="5B3B0025"/>
    <w:rsid w:val="5D26561D"/>
    <w:rsid w:val="5D7A73C3"/>
    <w:rsid w:val="5D850596"/>
    <w:rsid w:val="5D866DC5"/>
    <w:rsid w:val="5DB54949"/>
    <w:rsid w:val="5E0B5A2D"/>
    <w:rsid w:val="5E5A37D0"/>
    <w:rsid w:val="5F1A2F60"/>
    <w:rsid w:val="5F261248"/>
    <w:rsid w:val="5F814D8D"/>
    <w:rsid w:val="5F9E593F"/>
    <w:rsid w:val="5FBA204D"/>
    <w:rsid w:val="5FE46263"/>
    <w:rsid w:val="6008771C"/>
    <w:rsid w:val="600B4656"/>
    <w:rsid w:val="60664937"/>
    <w:rsid w:val="60C275F0"/>
    <w:rsid w:val="6138200C"/>
    <w:rsid w:val="6138591F"/>
    <w:rsid w:val="61720E31"/>
    <w:rsid w:val="620E125D"/>
    <w:rsid w:val="62C77C75"/>
    <w:rsid w:val="637F3391"/>
    <w:rsid w:val="63927568"/>
    <w:rsid w:val="63DB01A3"/>
    <w:rsid w:val="64D92F75"/>
    <w:rsid w:val="651B358E"/>
    <w:rsid w:val="65921AA2"/>
    <w:rsid w:val="65D22C28"/>
    <w:rsid w:val="65F8742B"/>
    <w:rsid w:val="65FC3B64"/>
    <w:rsid w:val="6630172F"/>
    <w:rsid w:val="66501015"/>
    <w:rsid w:val="66805D9E"/>
    <w:rsid w:val="674A015A"/>
    <w:rsid w:val="67A87FB0"/>
    <w:rsid w:val="686C6114"/>
    <w:rsid w:val="688C457D"/>
    <w:rsid w:val="69BC07C6"/>
    <w:rsid w:val="6A090B86"/>
    <w:rsid w:val="6A8A779A"/>
    <w:rsid w:val="6B92775B"/>
    <w:rsid w:val="6BFC4440"/>
    <w:rsid w:val="6C1156D8"/>
    <w:rsid w:val="6C9F5769"/>
    <w:rsid w:val="6D325918"/>
    <w:rsid w:val="6E6267E7"/>
    <w:rsid w:val="6E8C2E06"/>
    <w:rsid w:val="6F74473E"/>
    <w:rsid w:val="70291255"/>
    <w:rsid w:val="70AE2002"/>
    <w:rsid w:val="723E2669"/>
    <w:rsid w:val="72EB0FBC"/>
    <w:rsid w:val="732D0075"/>
    <w:rsid w:val="7345100F"/>
    <w:rsid w:val="739D19BD"/>
    <w:rsid w:val="7423420D"/>
    <w:rsid w:val="743A2B40"/>
    <w:rsid w:val="7516167C"/>
    <w:rsid w:val="75876F5E"/>
    <w:rsid w:val="76411C10"/>
    <w:rsid w:val="76F25815"/>
    <w:rsid w:val="779416A9"/>
    <w:rsid w:val="779F27EC"/>
    <w:rsid w:val="77D048EE"/>
    <w:rsid w:val="77EB7203"/>
    <w:rsid w:val="7931117A"/>
    <w:rsid w:val="79EF7B47"/>
    <w:rsid w:val="79FD2D2B"/>
    <w:rsid w:val="7A3C1B84"/>
    <w:rsid w:val="7AC4107B"/>
    <w:rsid w:val="7AD51B03"/>
    <w:rsid w:val="7BE14E27"/>
    <w:rsid w:val="7D165C0E"/>
    <w:rsid w:val="7D56478A"/>
    <w:rsid w:val="7D7906A0"/>
    <w:rsid w:val="7D934992"/>
    <w:rsid w:val="7DA10469"/>
    <w:rsid w:val="7DA519FF"/>
    <w:rsid w:val="7DC97BD3"/>
    <w:rsid w:val="7DDC7906"/>
    <w:rsid w:val="7F7B4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eastAsia="仿宋_GB2312" w:asciiTheme="minorAscii" w:hAnsiTheme="minorAscii" w:cstheme="minorBidi"/>
      <w:kern w:val="0"/>
      <w:sz w:val="32"/>
      <w:szCs w:val="24"/>
      <w:lang w:val="en-US" w:eastAsia="zh-CN" w:bidi="ar"/>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kern w:val="44"/>
    </w:rPr>
  </w:style>
  <w:style w:type="paragraph" w:styleId="3">
    <w:name w:val="heading 2"/>
    <w:basedOn w:val="1"/>
    <w:next w:val="1"/>
    <w:link w:val="20"/>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28"/>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19"/>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99"/>
    <w:pPr>
      <w:widowControl w:val="0"/>
      <w:spacing w:line="360" w:lineRule="auto"/>
      <w:ind w:firstLine="480" w:firstLineChars="200"/>
      <w:jc w:val="both"/>
    </w:pPr>
    <w:rPr>
      <w:rFonts w:ascii="Times New Roman" w:hAnsi="Times New Roman" w:cs="Times New Roman"/>
      <w:color w:val="000000"/>
      <w:kern w:val="2"/>
    </w:rPr>
  </w:style>
  <w:style w:type="paragraph" w:styleId="7">
    <w:name w:val="toc 3"/>
    <w:basedOn w:val="1"/>
    <w:next w:val="1"/>
    <w:qFormat/>
    <w:uiPriority w:val="0"/>
    <w:pPr>
      <w:ind w:left="840" w:leftChars="400"/>
    </w:pPr>
  </w:style>
  <w:style w:type="paragraph" w:styleId="8">
    <w:name w:val="footer"/>
    <w:basedOn w:val="1"/>
    <w:qFormat/>
    <w:uiPriority w:val="0"/>
    <w:pPr>
      <w:widowControl w:val="0"/>
      <w:tabs>
        <w:tab w:val="center" w:pos="4140"/>
        <w:tab w:val="right" w:pos="8300"/>
      </w:tabs>
      <w:snapToGrid w:val="0"/>
      <w:spacing w:after="0"/>
      <w:jc w:val="left"/>
    </w:pPr>
    <w:rPr>
      <w:rFonts w:ascii="Calibri" w:hAnsi="Calibri" w:eastAsia="宋体" w:cs="Calibri"/>
      <w:kern w:val="2"/>
      <w:sz w:val="18"/>
      <w:szCs w:val="18"/>
      <w:lang w:val="en-US" w:eastAsia="zh-CN" w:bidi="ar-SA"/>
    </w:rPr>
  </w:style>
  <w:style w:type="paragraph" w:styleId="9">
    <w:name w:val="header"/>
    <w:basedOn w:val="1"/>
    <w:qFormat/>
    <w:uiPriority w:val="0"/>
    <w:pPr>
      <w:widowControl w:val="0"/>
      <w:pBdr>
        <w:bottom w:val="single" w:color="auto" w:sz="6" w:space="1"/>
      </w:pBdr>
      <w:tabs>
        <w:tab w:val="center" w:pos="4140"/>
        <w:tab w:val="right" w:pos="8300"/>
      </w:tabs>
      <w:snapToGrid w:val="0"/>
      <w:spacing w:after="0"/>
      <w:jc w:val="center"/>
    </w:pPr>
    <w:rPr>
      <w:rFonts w:ascii="Times New Roman" w:hAnsi="Times New Roman" w:eastAsia="宋体" w:cs="Times New Roman"/>
      <w:kern w:val="0"/>
      <w:sz w:val="18"/>
      <w:szCs w:val="18"/>
      <w:lang w:val="en-US" w:eastAsia="zh-CN" w:bidi="ar-SA"/>
    </w:rPr>
  </w:style>
  <w:style w:type="paragraph" w:styleId="10">
    <w:name w:val="toc 1"/>
    <w:basedOn w:val="1"/>
    <w:next w:val="1"/>
    <w:qFormat/>
    <w:uiPriority w:val="0"/>
    <w:pPr>
      <w:widowControl w:val="0"/>
      <w:spacing w:after="0"/>
      <w:jc w:val="center"/>
    </w:pPr>
    <w:rPr>
      <w:rFonts w:ascii="Calibri" w:hAnsi="Calibri" w:eastAsia="宋体" w:cs="Times New Roman"/>
      <w:kern w:val="2"/>
      <w:sz w:val="28"/>
      <w:szCs w:val="24"/>
      <w:lang w:val="en-US" w:eastAsia="zh-CN" w:bidi="ar-SA"/>
    </w:rPr>
  </w:style>
  <w:style w:type="paragraph" w:styleId="11">
    <w:name w:val="toc 2"/>
    <w:basedOn w:val="1"/>
    <w:next w:val="1"/>
    <w:qFormat/>
    <w:uiPriority w:val="0"/>
    <w:pPr>
      <w:widowControl w:val="0"/>
      <w:spacing w:before="0" w:after="0"/>
      <w:ind w:left="200" w:leftChars="200" w:right="0"/>
      <w:jc w:val="center"/>
    </w:pPr>
    <w:rPr>
      <w:rFonts w:ascii="Calibri" w:hAnsi="Calibri" w:eastAsia="宋体" w:cs="Times New Roman"/>
      <w:kern w:val="2"/>
      <w:sz w:val="28"/>
      <w:szCs w:val="24"/>
      <w:lang w:val="en-US" w:eastAsia="zh-CN" w:bidi="ar-SA"/>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0"/>
    <w:pPr>
      <w:widowControl w:val="0"/>
      <w:spacing w:before="240" w:after="60"/>
      <w:ind w:left="0" w:right="0"/>
      <w:jc w:val="center"/>
      <w:outlineLvl w:val="0"/>
    </w:pPr>
    <w:rPr>
      <w:rFonts w:ascii="Cambria" w:hAnsi="Cambria" w:eastAsia="仿宋" w:cs="Cambria"/>
      <w:b/>
      <w:bCs/>
      <w:kern w:val="2"/>
      <w:sz w:val="32"/>
      <w:szCs w:val="32"/>
      <w:lang w:val="en-US" w:eastAsia="zh-CN" w:bidi="ar-SA"/>
    </w:rPr>
  </w:style>
  <w:style w:type="character" w:styleId="16">
    <w:name w:val="Strong"/>
    <w:basedOn w:val="15"/>
    <w:qFormat/>
    <w:uiPriority w:val="0"/>
    <w:rPr>
      <w:b/>
    </w:rPr>
  </w:style>
  <w:style w:type="character" w:customStyle="1" w:styleId="17">
    <w:name w:val="font11"/>
    <w:basedOn w:val="15"/>
    <w:qFormat/>
    <w:uiPriority w:val="0"/>
    <w:rPr>
      <w:rFonts w:hint="eastAsia" w:ascii="方正黑体_GBK" w:hAnsi="方正黑体_GBK" w:eastAsia="方正黑体_GBK" w:cs="方正黑体_GBK"/>
      <w:color w:val="000000"/>
      <w:sz w:val="28"/>
      <w:szCs w:val="28"/>
      <w:u w:val="none"/>
    </w:rPr>
  </w:style>
  <w:style w:type="character" w:customStyle="1" w:styleId="18">
    <w:name w:val="标题 1 Char"/>
    <w:link w:val="2"/>
    <w:qFormat/>
    <w:uiPriority w:val="0"/>
    <w:rPr>
      <w:rFonts w:eastAsia="方正书宋简体"/>
      <w:kern w:val="44"/>
      <w:sz w:val="44"/>
    </w:rPr>
  </w:style>
  <w:style w:type="character" w:customStyle="1" w:styleId="19">
    <w:name w:val="标题 4 Char"/>
    <w:link w:val="5"/>
    <w:qFormat/>
    <w:uiPriority w:val="0"/>
    <w:rPr>
      <w:rFonts w:ascii="Cambria" w:hAnsi="Cambria" w:eastAsia="宋体" w:cs="Times New Roman"/>
      <w:b/>
      <w:bCs/>
      <w:sz w:val="28"/>
      <w:szCs w:val="28"/>
    </w:rPr>
  </w:style>
  <w:style w:type="character" w:customStyle="1" w:styleId="20">
    <w:name w:val="标题 2 Char"/>
    <w:link w:val="3"/>
    <w:qFormat/>
    <w:uiPriority w:val="0"/>
    <w:rPr>
      <w:rFonts w:ascii="Arial" w:hAnsi="Arial" w:eastAsia="黑体"/>
      <w:b/>
      <w:sz w:val="32"/>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WPSOffice手动目录 2"/>
    <w:qFormat/>
    <w:uiPriority w:val="0"/>
    <w:pPr>
      <w:ind w:leftChars="200"/>
    </w:pPr>
    <w:rPr>
      <w:rFonts w:ascii="Times New Roman" w:hAnsi="Times New Roman" w:eastAsia="宋体" w:cs="Times New Roman"/>
      <w:sz w:val="20"/>
      <w:szCs w:val="20"/>
    </w:rPr>
  </w:style>
  <w:style w:type="paragraph" w:customStyle="1" w:styleId="23">
    <w:name w:val="WPSOffice手动目录 3"/>
    <w:qFormat/>
    <w:uiPriority w:val="0"/>
    <w:pPr>
      <w:ind w:leftChars="400"/>
    </w:pPr>
    <w:rPr>
      <w:rFonts w:ascii="Times New Roman" w:hAnsi="Times New Roman" w:eastAsia="宋体" w:cs="Times New Roman"/>
      <w:sz w:val="20"/>
      <w:szCs w:val="20"/>
    </w:rPr>
  </w:style>
  <w:style w:type="paragraph" w:customStyle="1" w:styleId="24">
    <w:name w:val="三级标题-"/>
    <w:basedOn w:val="4"/>
    <w:next w:val="6"/>
    <w:qFormat/>
    <w:uiPriority w:val="0"/>
    <w:pPr>
      <w:widowControl w:val="0"/>
      <w:numPr>
        <w:ilvl w:val="2"/>
        <w:numId w:val="1"/>
      </w:numPr>
      <w:spacing w:before="0" w:after="0" w:line="360" w:lineRule="auto"/>
      <w:jc w:val="both"/>
    </w:pPr>
    <w:rPr>
      <w:rFonts w:ascii="Times New Roman" w:hAnsi="Times New Roman" w:cs="Times New Roman"/>
      <w:kern w:val="2"/>
      <w:sz w:val="28"/>
      <w:szCs w:val="28"/>
      <w:lang w:val="zh-CN"/>
    </w:rPr>
  </w:style>
  <w:style w:type="paragraph" w:styleId="25">
    <w:name w:val="List Paragraph"/>
    <w:basedOn w:val="1"/>
    <w:qFormat/>
    <w:uiPriority w:val="34"/>
    <w:pPr>
      <w:ind w:firstLine="420" w:firstLineChars="200"/>
    </w:pPr>
    <w:rPr>
      <w:rFonts w:ascii="Calibri" w:hAnsi="Calibri" w:cs="Calibri"/>
    </w:rPr>
  </w:style>
  <w:style w:type="character" w:customStyle="1" w:styleId="26">
    <w:name w:val="font51"/>
    <w:basedOn w:val="15"/>
    <w:qFormat/>
    <w:uiPriority w:val="0"/>
    <w:rPr>
      <w:rFonts w:hint="default" w:ascii="Times New Roman" w:hAnsi="Times New Roman" w:cs="Times New Roman"/>
      <w:color w:val="000000"/>
      <w:sz w:val="20"/>
      <w:szCs w:val="20"/>
      <w:u w:val="none"/>
    </w:rPr>
  </w:style>
  <w:style w:type="character" w:customStyle="1" w:styleId="27">
    <w:name w:val="NormalCharacter"/>
    <w:qFormat/>
    <w:uiPriority w:val="0"/>
    <w:rPr>
      <w:rFonts w:ascii="Times New Roman" w:hAnsi="Times New Roman" w:eastAsia="宋体" w:cs="Times New Roman"/>
    </w:rPr>
  </w:style>
  <w:style w:type="character" w:customStyle="1" w:styleId="28">
    <w:name w:val="标题 3 Char"/>
    <w:link w:val="4"/>
    <w:qFormat/>
    <w:uiPriority w:val="0"/>
    <w:rPr>
      <w:b/>
      <w:sz w:val="32"/>
    </w:rPr>
  </w:style>
  <w:style w:type="character" w:customStyle="1" w:styleId="29">
    <w:name w:val="font31"/>
    <w:basedOn w:val="15"/>
    <w:qFormat/>
    <w:uiPriority w:val="0"/>
    <w:rPr>
      <w:rFonts w:ascii="方正黑体_GBK" w:hAnsi="方正黑体_GBK" w:eastAsia="方正黑体_GBK" w:cs="方正黑体_GBK"/>
      <w:color w:val="000000"/>
      <w:sz w:val="20"/>
      <w:szCs w:val="20"/>
      <w:u w:val="none"/>
    </w:rPr>
  </w:style>
  <w:style w:type="character" w:customStyle="1" w:styleId="30">
    <w:name w:val="font61"/>
    <w:basedOn w:val="15"/>
    <w:qFormat/>
    <w:uiPriority w:val="0"/>
    <w:rPr>
      <w:rFonts w:ascii="方正仿宋_GBK" w:hAnsi="方正仿宋_GBK" w:eastAsia="方正仿宋_GBK" w:cs="方正仿宋_GBK"/>
      <w:color w:val="000000"/>
      <w:sz w:val="20"/>
      <w:szCs w:val="20"/>
      <w:u w:val="none"/>
    </w:rPr>
  </w:style>
  <w:style w:type="character" w:customStyle="1" w:styleId="31">
    <w:name w:val="font71"/>
    <w:basedOn w:val="15"/>
    <w:qFormat/>
    <w:uiPriority w:val="0"/>
    <w:rPr>
      <w:rFonts w:hint="eastAsia" w:ascii="方正仿宋_GBK" w:hAnsi="方正仿宋_GBK" w:eastAsia="方正仿宋_GBK" w:cs="方正仿宋_GBK"/>
      <w:color w:val="000000"/>
      <w:sz w:val="20"/>
      <w:szCs w:val="20"/>
      <w:u w:val="none"/>
    </w:rPr>
  </w:style>
  <w:style w:type="character" w:customStyle="1" w:styleId="32">
    <w:name w:val="font81"/>
    <w:basedOn w:val="15"/>
    <w:qFormat/>
    <w:uiPriority w:val="0"/>
    <w:rPr>
      <w:rFonts w:hint="eastAsia" w:ascii="方正黑体_GBK" w:hAnsi="方正黑体_GBK" w:eastAsia="方正黑体_GBK" w:cs="方正黑体_GBK"/>
      <w:color w:val="000000"/>
      <w:sz w:val="20"/>
      <w:szCs w:val="20"/>
      <w:u w:val="none"/>
    </w:rPr>
  </w:style>
  <w:style w:type="paragraph" w:customStyle="1" w:styleId="33">
    <w:name w:val="前言"/>
    <w:basedOn w:val="1"/>
    <w:qFormat/>
    <w:uiPriority w:val="0"/>
  </w:style>
  <w:style w:type="paragraph" w:customStyle="1" w:styleId="34">
    <w:name w:val="目录"/>
    <w:basedOn w:val="1"/>
    <w:qFormat/>
    <w:uiPriority w:val="0"/>
  </w:style>
  <w:style w:type="paragraph" w:customStyle="1" w:styleId="35">
    <w:name w:val="样式 正文文本 + 宋体 小四"/>
    <w:basedOn w:val="6"/>
    <w:qFormat/>
    <w:uiPriority w:val="0"/>
    <w:pPr>
      <w:spacing w:after="0" w:line="500" w:lineRule="exact"/>
      <w:ind w:firstLine="200" w:firstLineChars="200"/>
    </w:pPr>
    <w:rPr>
      <w:rFonts w:ascii="宋体" w:hAnsi="宋体"/>
      <w:sz w:val="24"/>
    </w:rPr>
  </w:style>
  <w:style w:type="table" w:customStyle="1" w:styleId="36">
    <w:name w:val="Table Normal"/>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Times New Roman" w:hAnsi="Times New Roman" w:eastAsia="Times New Roman" w:cs="Times New Roman"/>
      <w:sz w:val="18"/>
      <w:szCs w:val="18"/>
      <w:lang w:val="en-US" w:eastAsia="en-US" w:bidi="ar-SA"/>
    </w:rPr>
  </w:style>
  <w:style w:type="paragraph" w:customStyle="1" w:styleId="38">
    <w:name w:val="表格"/>
    <w:basedOn w:val="1"/>
    <w:next w:val="1"/>
    <w:qFormat/>
    <w:uiPriority w:val="0"/>
    <w:pPr>
      <w:spacing w:line="360" w:lineRule="exact"/>
      <w:ind w:firstLine="0" w:firstLineChars="0"/>
      <w:jc w:val="center"/>
    </w:pPr>
    <w:rPr>
      <w:rFonts w:ascii="Times New Roman" w:hAnsi="Times New Roman" w:eastAsia="宋体"/>
      <w:spacing w:val="-6"/>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tif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52</Words>
  <Characters>64</Characters>
  <Lines>0</Lines>
  <Paragraphs>0</Paragraphs>
  <TotalTime>29</TotalTime>
  <ScaleCrop>false</ScaleCrop>
  <LinksUpToDate>false</LinksUpToDate>
  <CharactersWithSpaces>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2024-09-27T02:12:00Z</dcterms:created>
  <dc:creator>123</dc:creator>
  <cp:lastModifiedBy>淡然</cp:lastModifiedBy>
  <dcterms:modified xsi:type="dcterms:W3CDTF">2026-09-02T10:42:15Z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25248B7C6D29414E90DBDB8412445B46_13</vt:lpwstr>
  </property>
  <property fmtid="{D5CDD505-2E9C-101B-9397-08002B2CF9AE}" pid="4" name="KSOTemplateDocerSaveRecord">
    <vt:lpwstr>eyJoZGlkIjoiNDk5ZDNjNzgwMzZhY2Q4YWNiMDI3NDQzNDY4NmFmMjkiLCJ1c2VySWQiOiI1MjIxODU3NDMifQ==</vt:lpwstr>
  </property>
</Properties>
</file>