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 w:firstLineChars="0"/>
        <w:jc w:val="left"/>
        <w:textAlignment w:val="auto"/>
        <w:rPr>
          <w:rFonts w:hint="eastAsia" w:ascii="Times New Roman" w:hAnsi="Times New Roman" w:eastAsia="仿宋_GB2312" w:cs="Times New Roman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2"/>
          <w:sz w:val="32"/>
          <w:szCs w:val="32"/>
          <w:lang w:val="zh-TW" w:eastAsia="zh-CN" w:bidi="ar-SA"/>
        </w:rPr>
        <w:t>伊吾县城区土地定级与基准地价更新</w:t>
      </w: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2"/>
          <w:sz w:val="32"/>
          <w:szCs w:val="32"/>
          <w:lang w:val="en-US" w:eastAsia="zh-CN" w:bidi="ar-SA"/>
        </w:rPr>
        <w:t>成果</w:t>
      </w:r>
    </w:p>
    <w:p>
      <w:pPr>
        <w:rPr>
          <w:rFonts w:hint="eastAsia"/>
          <w:color w:val="auto"/>
          <w:lang w:val="en-US" w:eastAsia="zh-CN"/>
        </w:rPr>
      </w:pPr>
    </w:p>
    <w:p>
      <w:pPr>
        <w:pStyle w:val="2"/>
        <w:numPr>
          <w:ilvl w:val="0"/>
          <w:numId w:val="1"/>
        </w:numPr>
        <w:bidi w:val="0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土地定级成果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仿宋" w:hAnsi="仿宋" w:eastAsia="仿宋" w:cs="仿宋"/>
          <w:color w:val="auto"/>
        </w:rPr>
      </w:pPr>
      <w:r>
        <w:rPr>
          <w:rStyle w:val="5"/>
          <w:rFonts w:hint="eastAsia"/>
          <w:color w:val="auto"/>
          <w:sz w:val="28"/>
          <w:szCs w:val="28"/>
        </w:rPr>
        <w:t>表</w:t>
      </w:r>
      <w:r>
        <w:rPr>
          <w:rStyle w:val="5"/>
          <w:rFonts w:hint="eastAsia"/>
          <w:color w:val="auto"/>
          <w:sz w:val="28"/>
          <w:szCs w:val="28"/>
          <w:lang w:val="en-US" w:eastAsia="zh-CN"/>
        </w:rPr>
        <w:t xml:space="preserve">1 </w:t>
      </w:r>
      <w:r>
        <w:rPr>
          <w:rStyle w:val="5"/>
          <w:rFonts w:hint="eastAsia"/>
          <w:color w:val="auto"/>
          <w:sz w:val="28"/>
          <w:szCs w:val="28"/>
        </w:rPr>
        <w:t>伊吾县城区土地级别面积结果表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0"/>
        <w:gridCol w:w="1515"/>
        <w:gridCol w:w="1515"/>
        <w:gridCol w:w="1516"/>
        <w:gridCol w:w="14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3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土地级别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Ⅰ级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Ⅱ级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Ⅲ级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总计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3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级别面积（km</w:t>
            </w:r>
            <w:r>
              <w:rPr>
                <w:rFonts w:hint="default"/>
                <w:color w:val="auto"/>
                <w:vertAlign w:val="superscript"/>
              </w:rPr>
              <w:t>2</w:t>
            </w:r>
            <w:r>
              <w:rPr>
                <w:rFonts w:hint="default"/>
                <w:color w:val="auto"/>
              </w:rPr>
              <w:t>）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0.7951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1.2053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1.6931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3.6935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3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占定级范围比例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21.53%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32.63%</w:t>
            </w:r>
          </w:p>
        </w:tc>
        <w:tc>
          <w:tcPr>
            <w:tcW w:w="1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45.84%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default"/>
                <w:color w:val="auto"/>
              </w:rPr>
            </w:pPr>
            <w:r>
              <w:rPr>
                <w:rFonts w:hint="default"/>
                <w:color w:val="auto"/>
              </w:rPr>
              <w:t>100%</w:t>
            </w:r>
          </w:p>
        </w:tc>
      </w:tr>
    </w:tbl>
    <w:p>
      <w:pPr>
        <w:pStyle w:val="2"/>
        <w:numPr>
          <w:ilvl w:val="0"/>
          <w:numId w:val="1"/>
        </w:numPr>
        <w:bidi w:val="0"/>
        <w:ind w:firstLine="880"/>
        <w:rPr>
          <w:rFonts w:hint="eastAsia" w:ascii="Times New Roman" w:hAnsi="Times New Roman" w:cs="Times New Roman"/>
          <w:color w:val="auto"/>
          <w:lang w:val="en-US" w:eastAsia="zh-CN"/>
        </w:rPr>
      </w:pPr>
      <w:r>
        <w:rPr>
          <w:rFonts w:hint="eastAsia" w:ascii="Times New Roman" w:hAnsi="Times New Roman" w:cs="Times New Roman"/>
          <w:color w:val="auto"/>
          <w:lang w:val="en-US" w:eastAsia="zh-CN"/>
        </w:rPr>
        <w:t>基准地价更新成果</w:t>
      </w:r>
    </w:p>
    <w:p>
      <w:pPr>
        <w:pStyle w:val="6"/>
        <w:bidi w:val="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表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伊吾县城区土地基准地价更新表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2"/>
        <w:gridCol w:w="965"/>
        <w:gridCol w:w="1193"/>
        <w:gridCol w:w="966"/>
        <w:gridCol w:w="1193"/>
        <w:gridCol w:w="966"/>
        <w:gridCol w:w="11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5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     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</w:rPr>
              <w:t>土地级别</w:t>
            </w:r>
          </w:p>
          <w:p>
            <w:pPr>
              <w:pStyle w:val="6"/>
              <w:bidi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用地类型</w:t>
            </w: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Ⅰ级地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Ⅱ级地</w:t>
            </w:r>
          </w:p>
        </w:tc>
        <w:tc>
          <w:tcPr>
            <w:tcW w:w="2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Ⅲ级地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25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color w:val="auto"/>
              </w:rPr>
              <w:t>元/m</w:t>
            </w:r>
            <w:r>
              <w:rPr>
                <w:color w:val="auto"/>
                <w:vertAlign w:val="superscript"/>
              </w:rPr>
              <w:t>2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万元/亩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color w:val="auto"/>
              </w:rPr>
              <w:t>元/m</w:t>
            </w:r>
            <w:r>
              <w:rPr>
                <w:color w:val="auto"/>
                <w:vertAlign w:val="superscript"/>
              </w:rPr>
              <w:t>2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万元/亩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color w:val="auto"/>
              </w:rPr>
              <w:t>元/m</w:t>
            </w:r>
            <w:r>
              <w:rPr>
                <w:color w:val="auto"/>
                <w:vertAlign w:val="superscript"/>
              </w:rPr>
              <w:t>2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万元/亩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582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商业服务业用地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360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24.00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266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17.73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172</w:t>
            </w:r>
          </w:p>
        </w:tc>
        <w:tc>
          <w:tcPr>
            <w:tcW w:w="119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11.47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居住用地</w:t>
            </w: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255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17.00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195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13.00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150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5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工矿用地</w:t>
            </w: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112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7.47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97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6.47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80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5.33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25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eastAsia="zh-CN"/>
              </w:rPr>
              <w:t>仓储用地</w:t>
            </w: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123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8.20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107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7.13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88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ascii="Times New Roman" w:hAnsi="Times New Roman" w:eastAsia="宋体" w:cs="Times New Roman"/>
                <w:color w:va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lang w:val="en-US" w:eastAsia="zh-CN"/>
              </w:rPr>
              <w:t>5.87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58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公共管理与公共服务用地</w:t>
            </w: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138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9.20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120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8.00</w:t>
            </w:r>
          </w:p>
        </w:tc>
        <w:tc>
          <w:tcPr>
            <w:tcW w:w="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105</w:t>
            </w:r>
          </w:p>
        </w:tc>
        <w:tc>
          <w:tcPr>
            <w:tcW w:w="1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bidi w:val="0"/>
              <w:rPr>
                <w:color w:val="auto"/>
              </w:rPr>
            </w:pPr>
            <w:r>
              <w:rPr>
                <w:rFonts w:hint="eastAsia"/>
                <w:color w:val="auto"/>
              </w:rPr>
              <w:t>7.00</w:t>
            </w:r>
          </w:p>
        </w:tc>
      </w:tr>
    </w:tbl>
    <w:p>
      <w:pPr>
        <w:numPr>
          <w:ilvl w:val="0"/>
          <w:numId w:val="0"/>
        </w:numPr>
        <w:ind w:leftChars="0" w:firstLine="640" w:firstLineChars="200"/>
        <w:rPr>
          <w:rFonts w:hint="default" w:ascii="仿宋" w:hAnsi="仿宋" w:eastAsia="仿宋" w:cs="仿宋"/>
          <w:color w:val="auto"/>
          <w:sz w:val="28"/>
          <w:szCs w:val="28"/>
          <w:lang w:val="en-US" w:eastAsia="zh-CN" w:bidi="zh-TW"/>
        </w:rPr>
        <w:sectPr>
          <w:pgSz w:w="11906" w:h="16838"/>
          <w:pgMar w:top="1814" w:right="1531" w:bottom="1531" w:left="1531" w:header="851" w:footer="992" w:gutter="0"/>
          <w:cols w:space="720" w:num="1"/>
          <w:docGrid w:type="lines" w:linePitch="312" w:charSpace="0"/>
        </w:sectPr>
      </w:pPr>
      <w:r>
        <w:rPr>
          <w:rFonts w:hint="eastAsia"/>
          <w:color w:val="auto"/>
        </w:rPr>
        <w:t>伊吾县城区基准地价内涵：</w:t>
      </w:r>
      <w:r>
        <w:rPr>
          <w:rFonts w:hint="eastAsia"/>
          <w:color w:val="auto"/>
          <w:lang w:val="en-US" w:eastAsia="zh-CN"/>
        </w:rPr>
        <w:t>以2025年6月30日为估价基准日，容积率为1.0，七通一平(通上水、通下水、通暖、通电、通讯、通路、通气和场地平整)土地开发程度下，不同用途(商服、居住、工矿、仓储、公服)土地在法定最高土地使用年限下的区域平均价格。</w:t>
      </w:r>
    </w:p>
    <w:p>
      <w:pPr>
        <w:pStyle w:val="2"/>
        <w:bidi w:val="0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三、与上轮基准地价水平对比</w:t>
      </w:r>
    </w:p>
    <w:p>
      <w:pPr>
        <w:pStyle w:val="6"/>
        <w:bidi w:val="0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表</w:t>
      </w:r>
      <w:r>
        <w:rPr>
          <w:rFonts w:hint="eastAsia"/>
          <w:color w:val="auto"/>
          <w:sz w:val="28"/>
          <w:szCs w:val="28"/>
          <w:lang w:val="en-US" w:eastAsia="zh-CN"/>
        </w:rPr>
        <w:t xml:space="preserve">3 </w:t>
      </w:r>
      <w:r>
        <w:rPr>
          <w:rFonts w:hint="eastAsia"/>
          <w:color w:val="auto"/>
          <w:sz w:val="28"/>
          <w:szCs w:val="28"/>
        </w:rPr>
        <w:t xml:space="preserve"> 伊吾县城区新</w:t>
      </w:r>
      <w:r>
        <w:rPr>
          <w:rFonts w:hint="eastAsia"/>
          <w:color w:val="auto"/>
          <w:sz w:val="28"/>
          <w:szCs w:val="28"/>
          <w:lang w:eastAsia="zh-CN"/>
        </w:rPr>
        <w:t>、</w:t>
      </w:r>
      <w:r>
        <w:rPr>
          <w:rFonts w:hint="eastAsia"/>
          <w:color w:val="auto"/>
          <w:sz w:val="28"/>
          <w:szCs w:val="28"/>
        </w:rPr>
        <w:t>旧基准地价</w:t>
      </w:r>
      <w:r>
        <w:rPr>
          <w:rFonts w:hint="eastAsia"/>
          <w:color w:val="auto"/>
          <w:sz w:val="28"/>
          <w:szCs w:val="28"/>
          <w:lang w:val="en-US" w:eastAsia="zh-CN"/>
        </w:rPr>
        <w:t>水平</w:t>
      </w:r>
      <w:r>
        <w:rPr>
          <w:rFonts w:hint="eastAsia"/>
          <w:color w:val="auto"/>
          <w:sz w:val="28"/>
          <w:szCs w:val="28"/>
        </w:rPr>
        <w:t>对比表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2177"/>
        <w:gridCol w:w="2937"/>
        <w:gridCol w:w="2937"/>
        <w:gridCol w:w="2614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3064" w:type="dxa"/>
            <w:gridSpan w:val="2"/>
            <w:vMerge w:val="restart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土地级别</w:t>
            </w:r>
          </w:p>
        </w:tc>
        <w:tc>
          <w:tcPr>
            <w:tcW w:w="11107" w:type="dxa"/>
            <w:gridSpan w:val="4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基准地价(元/m</w:t>
            </w:r>
            <w:r>
              <w:rPr>
                <w:rFonts w:hint="eastAsia"/>
                <w:color w:val="auto"/>
                <w:vertAlign w:val="superscript"/>
                <w:lang w:val="zh-CN"/>
              </w:rPr>
              <w:t>2</w:t>
            </w:r>
            <w:r>
              <w:rPr>
                <w:rFonts w:hint="eastAsia"/>
                <w:color w:val="auto"/>
                <w:lang w:val="zh-CN"/>
              </w:rPr>
              <w:t>)、(万元/亩)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3064" w:type="dxa"/>
            <w:gridSpan w:val="2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商业服务业用地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zh-CN"/>
              </w:rPr>
              <w:t>居住用地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zh-CN"/>
              </w:rPr>
              <w:t>工矿用地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zh-CN"/>
              </w:rPr>
              <w:t>公共管理与公共服务用地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87" w:type="dxa"/>
            <w:vMerge w:val="restart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Ⅰ级</w:t>
            </w: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20</w:t>
            </w:r>
            <w:r>
              <w:rPr>
                <w:rFonts w:hint="eastAsia"/>
                <w:color w:val="auto"/>
              </w:rPr>
              <w:t>20</w:t>
            </w:r>
            <w:r>
              <w:rPr>
                <w:rFonts w:hint="eastAsia"/>
                <w:color w:val="auto"/>
                <w:lang w:val="zh-CN"/>
              </w:rPr>
              <w:t>年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316(21.07)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180(12)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108(7.2)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132(8.8)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887" w:type="dxa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202</w:t>
            </w: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/>
                <w:color w:val="auto"/>
                <w:lang w:val="zh-CN"/>
              </w:rPr>
              <w:t>年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360(24)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255(17)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112(7.47)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138(9.2)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887" w:type="dxa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上涨值及幅度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44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2.93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13.92%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75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5.00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41.67%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0.27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3.7%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0.40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4.55%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887" w:type="dxa"/>
            <w:vMerge w:val="restart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Ⅱ级</w:t>
            </w: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20</w:t>
            </w:r>
            <w:r>
              <w:rPr>
                <w:rFonts w:hint="eastAsia"/>
                <w:color w:val="auto"/>
              </w:rPr>
              <w:t>20</w:t>
            </w:r>
            <w:r>
              <w:rPr>
                <w:rFonts w:hint="eastAsia"/>
                <w:color w:val="auto"/>
                <w:lang w:val="zh-CN"/>
              </w:rPr>
              <w:t>年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240(16)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136(9.07)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92(6.13)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115(7.67)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887" w:type="dxa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202</w:t>
            </w: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/>
                <w:color w:val="auto"/>
                <w:lang w:val="zh-CN"/>
              </w:rPr>
              <w:t>年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266(17.73)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195(13)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97(6.47)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120(8)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887" w:type="dxa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上涨值及幅度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26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1.73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10.83%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59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3.93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43.38%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0.33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5.43%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0.33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4.35%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887" w:type="dxa"/>
            <w:vMerge w:val="restart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Ⅲ级</w:t>
            </w: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20</w:t>
            </w:r>
            <w:r>
              <w:rPr>
                <w:rFonts w:hint="eastAsia"/>
                <w:color w:val="auto"/>
              </w:rPr>
              <w:t>20</w:t>
            </w:r>
            <w:r>
              <w:rPr>
                <w:rFonts w:hint="eastAsia"/>
                <w:color w:val="auto"/>
                <w:lang w:val="zh-CN"/>
              </w:rPr>
              <w:t>年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158(10.53)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110(7.33)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76(5.07)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101(6.73)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87" w:type="dxa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202</w:t>
            </w:r>
            <w:r>
              <w:rPr>
                <w:rFonts w:hint="eastAsia"/>
                <w:color w:val="auto"/>
              </w:rPr>
              <w:t>5</w:t>
            </w:r>
            <w:r>
              <w:rPr>
                <w:rFonts w:hint="eastAsia"/>
                <w:color w:val="auto"/>
                <w:lang w:val="zh-CN"/>
              </w:rPr>
              <w:t>年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172(11.47)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150(10)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80(5.33)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105(7)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  <w:jc w:val="center"/>
        </w:trPr>
        <w:tc>
          <w:tcPr>
            <w:tcW w:w="887" w:type="dxa"/>
            <w:vMerge w:val="continue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</w:p>
        </w:tc>
        <w:tc>
          <w:tcPr>
            <w:tcW w:w="217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  <w:lang w:val="zh-CN"/>
              </w:rPr>
              <w:t>上涨值及幅度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14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0.93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8.86%</w:t>
            </w:r>
          </w:p>
        </w:tc>
        <w:tc>
          <w:tcPr>
            <w:tcW w:w="2937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40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2.67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36.36%</w:t>
            </w:r>
          </w:p>
        </w:tc>
        <w:tc>
          <w:tcPr>
            <w:tcW w:w="2614" w:type="dxa"/>
            <w:noWrap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  <w:lang w:val="zh-CN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0.27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5.26%</w:t>
            </w:r>
          </w:p>
        </w:tc>
        <w:tc>
          <w:tcPr>
            <w:tcW w:w="2619" w:type="dxa"/>
            <w:noWrap w:val="0"/>
            <w:vAlign w:val="center"/>
          </w:tcPr>
          <w:p>
            <w:pPr>
              <w:pStyle w:val="6"/>
              <w:bidi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0.27</w:t>
            </w:r>
            <w:r>
              <w:rPr>
                <w:rFonts w:hint="eastAsia"/>
                <w:color w:val="auto"/>
                <w:lang w:eastAsia="zh-CN"/>
              </w:rPr>
              <w:t>）、</w:t>
            </w:r>
            <w:r>
              <w:rPr>
                <w:rFonts w:hint="eastAsia"/>
                <w:color w:val="auto"/>
              </w:rPr>
              <w:t>3.96%</w:t>
            </w:r>
          </w:p>
        </w:tc>
      </w:tr>
    </w:tbl>
    <w:p>
      <w:pPr>
        <w:numPr>
          <w:ilvl w:val="0"/>
          <w:numId w:val="0"/>
        </w:numPr>
        <w:ind w:leftChars="0" w:firstLine="560" w:firstLineChars="200"/>
        <w:rPr>
          <w:rFonts w:hint="default" w:ascii="仿宋" w:hAnsi="仿宋" w:eastAsia="仿宋" w:cs="仿宋"/>
          <w:color w:val="auto"/>
          <w:sz w:val="28"/>
          <w:szCs w:val="28"/>
          <w:lang w:val="en-US" w:eastAsia="zh-CN" w:bidi="zh-TW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0" w:firstLineChars="0"/>
        <w:textAlignment w:val="auto"/>
        <w:rPr>
          <w:rFonts w:hint="default" w:ascii="仿宋" w:hAnsi="仿宋" w:eastAsia="仿宋" w:cs="仿宋"/>
          <w:color w:val="auto"/>
          <w:sz w:val="28"/>
          <w:szCs w:val="28"/>
          <w:lang w:val="en-US" w:eastAsia="zh-CN" w:bidi="zh-TW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  <w:r>
        <w:rPr>
          <w:rFonts w:hint="default" w:ascii="仿宋" w:hAnsi="仿宋" w:eastAsia="仿宋" w:cs="仿宋"/>
          <w:color w:val="auto"/>
          <w:sz w:val="28"/>
          <w:szCs w:val="28"/>
          <w:lang w:val="en-US" w:eastAsia="zh-CN" w:bidi="zh-TW"/>
        </w:rPr>
        <w:drawing>
          <wp:inline distT="0" distB="0" distL="114300" distR="114300">
            <wp:extent cx="8944610" cy="5607050"/>
            <wp:effectExtent l="0" t="0" r="8890" b="12700"/>
            <wp:docPr id="1" name="图片 1" descr="伊吾县城区基准地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伊吾县城区基准地价"/>
                    <pic:cNvPicPr>
                      <a:picLocks noChangeAspect="1"/>
                    </pic:cNvPicPr>
                  </pic:nvPicPr>
                  <pic:blipFill>
                    <a:blip r:embed="rId6"/>
                    <a:srcRect l="1189" t="1817" r="1175" b="2335"/>
                    <a:stretch>
                      <a:fillRect/>
                    </a:stretch>
                  </pic:blipFill>
                  <pic:spPr>
                    <a:xfrm>
                      <a:off x="0" y="0"/>
                      <a:ext cx="8944610" cy="560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D3447D"/>
    <w:multiLevelType w:val="singleLevel"/>
    <w:tmpl w:val="D2D3447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0564D"/>
    <w:rsid w:val="6CB0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黑体"/>
      <w:kern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样式1 Char"/>
    <w:link w:val="6"/>
    <w:qFormat/>
    <w:uiPriority w:val="0"/>
    <w:rPr>
      <w:rFonts w:eastAsia="宋体"/>
      <w:spacing w:val="23"/>
      <w:sz w:val="24"/>
      <w:szCs w:val="24"/>
    </w:rPr>
  </w:style>
  <w:style w:type="paragraph" w:customStyle="1" w:styleId="6">
    <w:name w:val="样式1"/>
    <w:basedOn w:val="1"/>
    <w:next w:val="1"/>
    <w:link w:val="5"/>
    <w:qFormat/>
    <w:uiPriority w:val="0"/>
    <w:pPr>
      <w:spacing w:line="0" w:lineRule="atLeast"/>
      <w:ind w:firstLine="0" w:firstLineChars="0"/>
      <w:jc w:val="center"/>
    </w:pPr>
    <w:rPr>
      <w:rFonts w:eastAsia="宋体"/>
      <w:spacing w:val="23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2026-09-10T09:32:00Z</dcterms:created>
  <dc:creator>Administrator</dc:creator>
  <cp:lastModifiedBy>Administrator</cp:lastModifiedBy>
  <dcterms:modified xsi:type="dcterms:W3CDTF">2026-09-10T09:33:53Z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29695E6705574AC39BA119ECF4EAA224</vt:lpwstr>
  </property>
</Properties>
</file>