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7A70C">
      <w:pPr>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color w:val="000000"/>
          <w:w w:val="95"/>
          <w:sz w:val="56"/>
          <w:szCs w:val="56"/>
        </w:rPr>
      </w:pPr>
      <w:bookmarkStart w:id="0" w:name="_Toc17978"/>
      <w:bookmarkStart w:id="1" w:name="_Toc2121"/>
      <w:bookmarkStart w:id="2" w:name="_Toc2090"/>
      <w:bookmarkStart w:id="3" w:name="_Toc25035"/>
      <w:bookmarkStart w:id="4" w:name="_Toc14757"/>
      <w:bookmarkStart w:id="5" w:name="_Toc13126"/>
      <w:bookmarkStart w:id="6" w:name="_Toc5607"/>
      <w:bookmarkStart w:id="7" w:name="_Toc29637"/>
      <w:bookmarkStart w:id="8" w:name="_Toc6171"/>
      <w:bookmarkStart w:id="9" w:name="_Toc4291"/>
      <w:bookmarkStart w:id="10" w:name="_Toc12308"/>
      <w:bookmarkStart w:id="11" w:name="_Toc799"/>
      <w:bookmarkStart w:id="12" w:name="_Toc26027"/>
      <w:bookmarkStart w:id="13" w:name="_Toc18469"/>
      <w:bookmarkStart w:id="14" w:name="_Toc15099"/>
      <w:bookmarkStart w:id="15" w:name="_Toc14425"/>
      <w:bookmarkStart w:id="16" w:name="_Toc17505"/>
      <w:bookmarkStart w:id="17" w:name="_Toc23393"/>
      <w:bookmarkStart w:id="18" w:name="_Toc15740"/>
      <w:bookmarkStart w:id="19" w:name="_Toc26583"/>
      <w:bookmarkStart w:id="20" w:name="_Toc6657"/>
      <w:bookmarkStart w:id="21" w:name="_Toc18007"/>
      <w:bookmarkStart w:id="22" w:name="_Toc11964"/>
      <w:bookmarkStart w:id="23" w:name="_Toc9901"/>
      <w:bookmarkStart w:id="24" w:name="_Toc28623"/>
      <w:bookmarkStart w:id="25" w:name="_Toc678"/>
    </w:p>
    <w:p w14:paraId="3881129C">
      <w:pPr>
        <w:pStyle w:val="2"/>
        <w:pageBreakBefore w:val="0"/>
        <w:widowControl w:val="0"/>
        <w:kinsoku/>
        <w:wordWrap/>
        <w:overflowPunct/>
        <w:topLinePunct w:val="0"/>
        <w:autoSpaceDE/>
        <w:autoSpaceDN/>
        <w:bidi w:val="0"/>
        <w:adjustRightInd/>
        <w:snapToGrid/>
        <w:spacing w:line="560" w:lineRule="exact"/>
        <w:textAlignment w:val="auto"/>
      </w:pPr>
    </w:p>
    <w:p w14:paraId="06B90047">
      <w:pPr>
        <w:pageBreakBefore w:val="0"/>
        <w:widowControl w:val="0"/>
        <w:kinsoku/>
        <w:wordWrap/>
        <w:overflowPunct/>
        <w:topLinePunct w:val="0"/>
        <w:autoSpaceDE/>
        <w:autoSpaceDN/>
        <w:bidi w:val="0"/>
        <w:adjustRightInd/>
        <w:snapToGrid/>
        <w:spacing w:line="560" w:lineRule="exact"/>
        <w:textAlignment w:val="auto"/>
      </w:pPr>
    </w:p>
    <w:p w14:paraId="542E3847">
      <w:pPr>
        <w:jc w:val="center"/>
        <w:rPr>
          <w:rFonts w:ascii="Times New Roman" w:hAnsi="Times New Roman" w:eastAsia="方正小标宋_GBK"/>
          <w:color w:val="000000"/>
          <w:w w:val="95"/>
          <w:sz w:val="56"/>
          <w:szCs w:val="56"/>
        </w:rPr>
      </w:pPr>
      <w:r>
        <w:rPr>
          <w:rFonts w:ascii="Times New Roman" w:hAnsi="Times New Roman" w:eastAsia="方正小标宋_GBK"/>
          <w:color w:val="000000"/>
          <w:w w:val="95"/>
          <w:sz w:val="56"/>
          <w:szCs w:val="56"/>
        </w:rPr>
        <w:t>伊吾县国民经济和社会发展</w:t>
      </w:r>
      <w:bookmarkEnd w:id="0"/>
      <w:bookmarkEnd w:id="1"/>
      <w:bookmarkEnd w:id="2"/>
      <w:bookmarkEnd w:id="3"/>
      <w:bookmarkEnd w:id="4"/>
      <w:r>
        <w:rPr>
          <w:rFonts w:ascii="Times New Roman" w:hAnsi="Times New Roman" w:eastAsia="方正小标宋_GBK"/>
          <w:color w:val="000000"/>
          <w:w w:val="95"/>
          <w:sz w:val="56"/>
          <w:szCs w:val="56"/>
        </w:rPr>
        <w:t>第十四个</w:t>
      </w:r>
      <w:bookmarkEnd w:id="5"/>
      <w:bookmarkEnd w:id="6"/>
      <w:bookmarkEnd w:id="7"/>
      <w:bookmarkEnd w:id="8"/>
      <w:bookmarkEnd w:id="9"/>
      <w:bookmarkEnd w:id="10"/>
      <w:bookmarkEnd w:id="11"/>
      <w:bookmarkEnd w:id="12"/>
      <w:bookmarkStart w:id="26" w:name="_Toc133"/>
      <w:bookmarkStart w:id="27" w:name="_Toc28178"/>
      <w:bookmarkStart w:id="28" w:name="_Toc5697"/>
      <w:bookmarkStart w:id="29" w:name="_Toc8287"/>
      <w:bookmarkStart w:id="30" w:name="_Toc31230"/>
      <w:bookmarkStart w:id="31" w:name="_Toc28767"/>
      <w:bookmarkStart w:id="32" w:name="_Toc24462"/>
      <w:bookmarkStart w:id="33" w:name="_Toc15399"/>
      <w:r>
        <w:rPr>
          <w:rFonts w:ascii="Times New Roman" w:hAnsi="Times New Roman" w:eastAsia="方正小标宋_GBK"/>
          <w:color w:val="000000"/>
          <w:w w:val="95"/>
          <w:sz w:val="56"/>
          <w:szCs w:val="56"/>
        </w:rPr>
        <w:t>五年规划和2035年远景目标</w:t>
      </w:r>
    </w:p>
    <w:p w14:paraId="0229774F">
      <w:pPr>
        <w:jc w:val="center"/>
        <w:rPr>
          <w:rFonts w:ascii="Times New Roman" w:hAnsi="Times New Roman" w:eastAsia="方正小标宋_GBK"/>
          <w:color w:val="000000"/>
          <w:w w:val="95"/>
          <w:sz w:val="56"/>
          <w:szCs w:val="56"/>
        </w:rPr>
      </w:pPr>
      <w:r>
        <w:rPr>
          <w:rFonts w:ascii="Times New Roman" w:hAnsi="Times New Roman" w:eastAsia="方正小标宋_GBK"/>
          <w:color w:val="000000"/>
          <w:w w:val="95"/>
          <w:sz w:val="56"/>
          <w:szCs w:val="56"/>
        </w:rPr>
        <w:t>纲要</w:t>
      </w:r>
      <w:bookmarkEnd w:id="26"/>
      <w:bookmarkEnd w:id="27"/>
      <w:bookmarkEnd w:id="28"/>
      <w:bookmarkEnd w:id="29"/>
      <w:bookmarkEnd w:id="30"/>
      <w:bookmarkEnd w:id="31"/>
      <w:bookmarkEnd w:id="32"/>
      <w:bookmarkEnd w:id="33"/>
    </w:p>
    <w:p w14:paraId="1AD96879">
      <w:pPr>
        <w:pStyle w:val="4"/>
        <w:ind w:left="0"/>
        <w:jc w:val="center"/>
        <w:rPr>
          <w:rFonts w:ascii="Times New Roman" w:hAnsi="Times New Roman" w:cs="Times New Roman"/>
          <w:b/>
          <w:sz w:val="36"/>
          <w:szCs w:val="36"/>
          <w:lang w:val="en-US"/>
        </w:rPr>
      </w:pPr>
    </w:p>
    <w:p w14:paraId="7726631E">
      <w:pPr>
        <w:spacing w:line="580" w:lineRule="exact"/>
        <w:ind w:left="640" w:hanging="640" w:hangingChars="200"/>
        <w:contextualSpacing/>
        <w:jc w:val="center"/>
        <w:rPr>
          <w:rFonts w:ascii="Times New Roman" w:hAnsi="Times New Roman" w:eastAsia="楷体_GB2312"/>
          <w:color w:val="000000"/>
          <w:sz w:val="32"/>
          <w:szCs w:val="32"/>
        </w:rPr>
      </w:pPr>
      <w:r>
        <w:rPr>
          <w:rFonts w:ascii="Times New Roman" w:hAnsi="Times New Roman" w:eastAsia="楷体_GB2312"/>
          <w:color w:val="000000"/>
          <w:sz w:val="32"/>
          <w:szCs w:val="32"/>
        </w:rPr>
        <w:t>（2021年1月18日伊吾县第十七届人民代表大会</w:t>
      </w:r>
    </w:p>
    <w:p w14:paraId="095D8B1B">
      <w:pPr>
        <w:spacing w:line="580" w:lineRule="exact"/>
        <w:ind w:left="640" w:hanging="640" w:hangingChars="200"/>
        <w:contextualSpacing/>
        <w:jc w:val="center"/>
        <w:rPr>
          <w:rFonts w:ascii="Times New Roman" w:hAnsi="Times New Roman" w:eastAsia="楷体_GB2312"/>
          <w:color w:val="000000"/>
          <w:sz w:val="32"/>
          <w:szCs w:val="32"/>
        </w:rPr>
      </w:pPr>
      <w:r>
        <w:rPr>
          <w:rFonts w:ascii="Times New Roman" w:hAnsi="Times New Roman" w:eastAsia="楷体_GB2312"/>
          <w:color w:val="000000"/>
          <w:sz w:val="32"/>
          <w:szCs w:val="32"/>
        </w:rPr>
        <w:t>第六次会议通过）</w:t>
      </w:r>
    </w:p>
    <w:p w14:paraId="1949C1C7">
      <w:pPr>
        <w:rPr>
          <w:rFonts w:ascii="Times New Roman" w:hAnsi="Times New Roman"/>
        </w:rPr>
      </w:pPr>
    </w:p>
    <w:p w14:paraId="4921FFB3">
      <w:pPr>
        <w:pStyle w:val="4"/>
        <w:rPr>
          <w:rFonts w:ascii="Times New Roman" w:hAnsi="Times New Roman" w:cs="Times New Roman"/>
          <w:b/>
          <w:sz w:val="44"/>
          <w:szCs w:val="44"/>
          <w:lang w:val="en-US"/>
        </w:rPr>
      </w:pPr>
    </w:p>
    <w:p w14:paraId="0ABD4FED">
      <w:pPr>
        <w:pStyle w:val="5"/>
        <w:ind w:left="0" w:firstLine="0" w:firstLineChars="0"/>
        <w:rPr>
          <w:b/>
          <w:sz w:val="44"/>
          <w:szCs w:val="44"/>
          <w:lang w:val="en-US"/>
        </w:rPr>
      </w:pPr>
    </w:p>
    <w:p w14:paraId="55E81E9A">
      <w:pPr>
        <w:pStyle w:val="5"/>
        <w:ind w:left="0" w:firstLine="0" w:firstLineChars="0"/>
        <w:rPr>
          <w:b/>
          <w:sz w:val="44"/>
          <w:szCs w:val="44"/>
          <w:lang w:val="en-US"/>
        </w:rPr>
      </w:pPr>
    </w:p>
    <w:p w14:paraId="32B99E7F">
      <w:pPr>
        <w:pageBreakBefore w:val="0"/>
        <w:kinsoku/>
        <w:wordWrap/>
        <w:overflowPunct/>
        <w:topLinePunct w:val="0"/>
        <w:autoSpaceDE/>
        <w:autoSpaceDN/>
        <w:bidi w:val="0"/>
        <w:adjustRightInd/>
        <w:spacing w:line="580" w:lineRule="exact"/>
        <w:jc w:val="center"/>
        <w:rPr>
          <w:rFonts w:hint="default" w:ascii="Times New Roman" w:hAnsi="Times New Roman" w:eastAsia="方正小标宋_GBK" w:cs="Times New Roman"/>
          <w:color w:val="000000"/>
          <w:sz w:val="44"/>
          <w:szCs w:val="44"/>
        </w:rPr>
      </w:pPr>
    </w:p>
    <w:p w14:paraId="6318B3D7">
      <w:pPr>
        <w:pStyle w:val="2"/>
        <w:rPr>
          <w:rFonts w:hint="default" w:ascii="Times New Roman" w:hAnsi="Times New Roman" w:eastAsia="方正小标宋_GBK" w:cs="Times New Roman"/>
          <w:color w:val="000000"/>
          <w:sz w:val="44"/>
          <w:szCs w:val="44"/>
        </w:rPr>
      </w:pPr>
    </w:p>
    <w:p w14:paraId="358F1268">
      <w:pPr>
        <w:rPr>
          <w:rFonts w:hint="default" w:ascii="Times New Roman" w:hAnsi="Times New Roman" w:eastAsia="方正小标宋_GBK" w:cs="Times New Roman"/>
          <w:color w:val="000000"/>
          <w:sz w:val="44"/>
          <w:szCs w:val="44"/>
        </w:rPr>
      </w:pPr>
    </w:p>
    <w:p w14:paraId="1470C5D8">
      <w:pPr>
        <w:pStyle w:val="2"/>
        <w:rPr>
          <w:rFonts w:hint="default" w:ascii="Times New Roman" w:hAnsi="Times New Roman" w:eastAsia="方正小标宋_GBK" w:cs="Times New Roman"/>
          <w:color w:val="000000"/>
          <w:sz w:val="44"/>
          <w:szCs w:val="44"/>
        </w:rPr>
      </w:pPr>
    </w:p>
    <w:p w14:paraId="725199D0">
      <w:pPr>
        <w:rPr>
          <w:rFonts w:hint="default" w:ascii="Times New Roman" w:hAnsi="Times New Roman" w:eastAsia="方正小标宋_GBK" w:cs="Times New Roman"/>
          <w:color w:val="000000"/>
          <w:sz w:val="44"/>
          <w:szCs w:val="44"/>
        </w:rPr>
      </w:pPr>
    </w:p>
    <w:p w14:paraId="63981E79">
      <w:pPr>
        <w:pStyle w:val="2"/>
        <w:rPr>
          <w:rFonts w:hint="default" w:ascii="Times New Roman" w:hAnsi="Times New Roman" w:eastAsia="方正小标宋_GBK" w:cs="Times New Roman"/>
          <w:color w:val="000000"/>
          <w:sz w:val="44"/>
          <w:szCs w:val="44"/>
        </w:rPr>
      </w:pPr>
    </w:p>
    <w:p w14:paraId="6995CADF">
      <w:pPr>
        <w:rPr>
          <w:rFonts w:hint="default" w:ascii="Times New Roman" w:hAnsi="Times New Roman" w:eastAsia="方正小标宋_GBK" w:cs="Times New Roman"/>
          <w:color w:val="000000"/>
          <w:sz w:val="44"/>
          <w:szCs w:val="44"/>
        </w:rPr>
      </w:pPr>
    </w:p>
    <w:p w14:paraId="38E18039">
      <w:pPr>
        <w:pStyle w:val="2"/>
        <w:rPr>
          <w:rFonts w:hint="default" w:ascii="Times New Roman" w:hAnsi="Times New Roman" w:eastAsia="方正小标宋_GBK" w:cs="Times New Roman"/>
          <w:color w:val="000000"/>
          <w:sz w:val="44"/>
          <w:szCs w:val="44"/>
        </w:rPr>
      </w:pPr>
    </w:p>
    <w:p w14:paraId="2AC17A08">
      <w:pPr>
        <w:rPr>
          <w:rFonts w:hint="default"/>
        </w:rPr>
        <w:sectPr>
          <w:footerReference r:id="rId3" w:type="default"/>
          <w:pgSz w:w="11906" w:h="16838"/>
          <w:pgMar w:top="1440" w:right="1800" w:bottom="1440" w:left="1800" w:header="851" w:footer="992" w:gutter="0"/>
          <w:pgNumType w:fmt="numberInDash"/>
          <w:cols w:space="720" w:num="1"/>
          <w:docGrid w:type="lines" w:linePitch="312" w:charSpace="0"/>
        </w:sectPr>
      </w:pPr>
    </w:p>
    <w:p w14:paraId="65AC3BB6">
      <w:pPr>
        <w:pageBreakBefore w:val="0"/>
        <w:kinsoku/>
        <w:wordWrap/>
        <w:overflowPunct/>
        <w:topLinePunct w:val="0"/>
        <w:autoSpaceDE/>
        <w:autoSpaceDN/>
        <w:bidi w:val="0"/>
        <w:adjustRightInd/>
        <w:spacing w:line="580"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目  录</w:t>
      </w:r>
      <w:bookmarkEnd w:id="13"/>
      <w:bookmarkEnd w:id="14"/>
      <w:bookmarkEnd w:id="15"/>
      <w:bookmarkEnd w:id="16"/>
      <w:bookmarkEnd w:id="17"/>
      <w:bookmarkEnd w:id="18"/>
      <w:bookmarkEnd w:id="19"/>
      <w:bookmarkEnd w:id="20"/>
      <w:bookmarkEnd w:id="21"/>
      <w:bookmarkEnd w:id="22"/>
      <w:bookmarkEnd w:id="23"/>
      <w:bookmarkEnd w:id="24"/>
      <w:bookmarkEnd w:id="25"/>
    </w:p>
    <w:p w14:paraId="56345499">
      <w:pPr>
        <w:pageBreakBefore w:val="0"/>
        <w:kinsoku/>
        <w:wordWrap/>
        <w:overflowPunct/>
        <w:topLinePunct w:val="0"/>
        <w:autoSpaceDE/>
        <w:autoSpaceDN/>
        <w:bidi w:val="0"/>
        <w:adjustRightInd/>
        <w:spacing w:line="580" w:lineRule="exact"/>
        <w:jc w:val="center"/>
        <w:rPr>
          <w:rFonts w:hint="default" w:ascii="Times New Roman" w:hAnsi="Times New Roman" w:eastAsia="方正小标宋_GBK" w:cs="Times New Roman"/>
          <w:color w:val="000000"/>
          <w:sz w:val="44"/>
          <w:szCs w:val="44"/>
        </w:rPr>
      </w:pPr>
    </w:p>
    <w:p w14:paraId="3C32B0BE">
      <w:pPr>
        <w:pStyle w:val="11"/>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28"/>
          <w:szCs w:val="28"/>
        </w:rPr>
      </w:pPr>
      <w:r>
        <w:rPr>
          <w:rFonts w:ascii="Times New Roman" w:hAnsi="Times New Roman" w:eastAsia="仿宋"/>
          <w:sz w:val="28"/>
          <w:szCs w:val="28"/>
        </w:rPr>
        <w:fldChar w:fldCharType="begin"/>
      </w:r>
      <w:r>
        <w:rPr>
          <w:rFonts w:ascii="Times New Roman" w:hAnsi="Times New Roman" w:eastAsia="仿宋"/>
          <w:sz w:val="28"/>
          <w:szCs w:val="28"/>
        </w:rPr>
        <w:instrText xml:space="preserve">TOC \o "1-3" \h \u </w:instrText>
      </w:r>
      <w:r>
        <w:rPr>
          <w:rFonts w:ascii="Times New Roman" w:hAnsi="Times New Roman" w:eastAsia="仿宋"/>
          <w:sz w:val="28"/>
          <w:szCs w:val="28"/>
        </w:rPr>
        <w:fldChar w:fldCharType="separate"/>
      </w:r>
      <w:r>
        <w:rPr>
          <w:rFonts w:hint="default" w:ascii="Times New Roman" w:hAnsi="Times New Roman" w:eastAsia="方正黑体_GBK" w:cs="Times New Roman"/>
          <w:bCs/>
          <w:sz w:val="28"/>
          <w:szCs w:val="28"/>
        </w:rPr>
        <w:fldChar w:fldCharType="begin"/>
      </w:r>
      <w:r>
        <w:rPr>
          <w:rFonts w:hint="default" w:ascii="Times New Roman" w:hAnsi="Times New Roman" w:eastAsia="方正黑体_GBK" w:cs="Times New Roman"/>
          <w:bCs/>
          <w:sz w:val="28"/>
          <w:szCs w:val="28"/>
        </w:rPr>
        <w:instrText xml:space="preserve"> HYPERLINK \l "_Toc75285084" </w:instrText>
      </w:r>
      <w:r>
        <w:rPr>
          <w:rFonts w:hint="default" w:ascii="Times New Roman" w:hAnsi="Times New Roman" w:eastAsia="方正黑体_GBK" w:cs="Times New Roman"/>
          <w:bCs/>
          <w:sz w:val="28"/>
          <w:szCs w:val="28"/>
        </w:rPr>
        <w:fldChar w:fldCharType="separate"/>
      </w:r>
      <w:r>
        <w:rPr>
          <w:rFonts w:hint="eastAsia" w:ascii="Times New Roman" w:hAnsi="Times New Roman" w:eastAsia="方正黑体_GBK" w:cs="Times New Roman"/>
          <w:bCs/>
          <w:sz w:val="28"/>
          <w:szCs w:val="28"/>
        </w:rPr>
        <w:t>第一篇</w:t>
      </w:r>
      <w:r>
        <w:rPr>
          <w:rFonts w:hint="default" w:ascii="Times New Roman" w:hAnsi="Times New Roman" w:eastAsia="方正黑体_GBK" w:cs="Times New Roman"/>
          <w:bCs/>
          <w:sz w:val="28"/>
          <w:szCs w:val="28"/>
        </w:rPr>
        <w:t xml:space="preserve">  </w:t>
      </w:r>
      <w:r>
        <w:rPr>
          <w:rFonts w:hint="eastAsia" w:ascii="Times New Roman" w:hAnsi="Times New Roman" w:eastAsia="方正黑体_GBK" w:cs="Times New Roman"/>
          <w:bCs/>
          <w:sz w:val="28"/>
          <w:szCs w:val="28"/>
        </w:rPr>
        <w:t>发展的基础和环境</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PAGEREF _Toc75285084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- 1 -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方正黑体_GBK" w:cs="Times New Roman"/>
          <w:bCs/>
          <w:sz w:val="28"/>
          <w:szCs w:val="28"/>
        </w:rPr>
        <w:fldChar w:fldCharType="end"/>
      </w:r>
    </w:p>
    <w:p w14:paraId="610F4E2D">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"_Toc75285085"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第一章  发展基础</w:t>
      </w:r>
      <w:r>
        <w:rPr>
          <w:rFonts w:hint="eastAsia" w:ascii="Times New Roman" w:hAnsi="Times New Roman" w:cs="Times New Roman"/>
          <w:sz w:val="28"/>
          <w:szCs w:val="28"/>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_Toc75285085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- 1 -</w:t>
      </w:r>
      <w:r>
        <w:rPr>
          <w:rFonts w:hint="eastAsia" w:ascii="Times New Roman" w:hAnsi="Times New Roman" w:cs="Times New Roman"/>
          <w:sz w:val="28"/>
          <w:szCs w:val="28"/>
          <w:lang w:val="en-US" w:eastAsia="zh-CN"/>
        </w:rPr>
        <w:fldChar w:fldCharType="end"/>
      </w:r>
      <w:r>
        <w:rPr>
          <w:rFonts w:hint="eastAsia" w:ascii="方正楷体_GBK" w:hAnsi="方正楷体_GBK" w:eastAsia="方正楷体_GBK" w:cs="方正楷体_GBK"/>
          <w:color w:val="000000"/>
          <w:sz w:val="28"/>
          <w:szCs w:val="28"/>
        </w:rPr>
        <w:fldChar w:fldCharType="end"/>
      </w:r>
    </w:p>
    <w:p w14:paraId="647F5239">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"_Toc75285086"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第二章  发展环境</w:t>
      </w:r>
      <w:r>
        <w:rPr>
          <w:rFonts w:hint="eastAsia" w:ascii="Times New Roman" w:hAnsi="Times New Roman" w:cs="Times New Roman"/>
          <w:sz w:val="28"/>
          <w:szCs w:val="28"/>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_Toc75285086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- 6 -</w:t>
      </w:r>
      <w:r>
        <w:rPr>
          <w:rFonts w:hint="eastAsia" w:ascii="Times New Roman" w:hAnsi="Times New Roman" w:cs="Times New Roman"/>
          <w:sz w:val="28"/>
          <w:szCs w:val="28"/>
          <w:lang w:val="en-US" w:eastAsia="zh-CN"/>
        </w:rPr>
        <w:fldChar w:fldCharType="end"/>
      </w:r>
      <w:r>
        <w:rPr>
          <w:rFonts w:hint="eastAsia" w:ascii="方正楷体_GBK" w:hAnsi="方正楷体_GBK" w:eastAsia="方正楷体_GBK" w:cs="方正楷体_GBK"/>
          <w:color w:val="000000"/>
          <w:sz w:val="28"/>
          <w:szCs w:val="28"/>
        </w:rPr>
        <w:fldChar w:fldCharType="end"/>
      </w:r>
    </w:p>
    <w:p w14:paraId="05BFD9F2">
      <w:pPr>
        <w:pStyle w:val="11"/>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ascii="Times New Roman" w:hAnsi="Times New Roman"/>
          <w:sz w:val="28"/>
          <w:szCs w:val="28"/>
        </w:rPr>
      </w:pPr>
      <w:r>
        <w:rPr>
          <w:rFonts w:hint="default" w:ascii="Times New Roman" w:hAnsi="Times New Roman" w:eastAsia="方正黑体_GBK" w:cs="Times New Roman"/>
          <w:bCs/>
          <w:sz w:val="28"/>
          <w:szCs w:val="28"/>
        </w:rPr>
        <w:fldChar w:fldCharType="begin"/>
      </w:r>
      <w:r>
        <w:rPr>
          <w:rFonts w:hint="default" w:ascii="Times New Roman" w:hAnsi="Times New Roman" w:eastAsia="方正黑体_GBK" w:cs="Times New Roman"/>
          <w:bCs/>
          <w:sz w:val="28"/>
          <w:szCs w:val="28"/>
        </w:rPr>
        <w:instrText xml:space="preserve"> HYPERLINK \l "_Toc75285087" </w:instrText>
      </w:r>
      <w:r>
        <w:rPr>
          <w:rFonts w:hint="default" w:ascii="Times New Roman" w:hAnsi="Times New Roman" w:eastAsia="方正黑体_GBK" w:cs="Times New Roman"/>
          <w:bCs/>
          <w:sz w:val="28"/>
          <w:szCs w:val="28"/>
        </w:rPr>
        <w:fldChar w:fldCharType="separate"/>
      </w:r>
      <w:r>
        <w:rPr>
          <w:rFonts w:hint="eastAsia" w:ascii="Times New Roman" w:hAnsi="Times New Roman" w:eastAsia="方正黑体_GBK" w:cs="Times New Roman"/>
          <w:bCs/>
          <w:sz w:val="28"/>
          <w:szCs w:val="28"/>
        </w:rPr>
        <w:t>第二篇</w:t>
      </w:r>
      <w:r>
        <w:rPr>
          <w:rFonts w:hint="default" w:ascii="Times New Roman" w:hAnsi="Times New Roman" w:eastAsia="方正黑体_GBK" w:cs="Times New Roman"/>
          <w:bCs/>
          <w:sz w:val="28"/>
          <w:szCs w:val="28"/>
        </w:rPr>
        <w:t xml:space="preserve">  “</w:t>
      </w:r>
      <w:r>
        <w:rPr>
          <w:rFonts w:hint="eastAsia" w:ascii="Times New Roman" w:hAnsi="Times New Roman" w:eastAsia="方正黑体_GBK" w:cs="Times New Roman"/>
          <w:bCs/>
          <w:sz w:val="28"/>
          <w:szCs w:val="28"/>
        </w:rPr>
        <w:t>十四五</w:t>
      </w:r>
      <w:r>
        <w:rPr>
          <w:rFonts w:hint="default" w:ascii="Times New Roman" w:hAnsi="Times New Roman" w:eastAsia="方正黑体_GBK" w:cs="Times New Roman"/>
          <w:bCs/>
          <w:sz w:val="28"/>
          <w:szCs w:val="28"/>
        </w:rPr>
        <w:t>”</w:t>
      </w:r>
      <w:r>
        <w:rPr>
          <w:rFonts w:hint="eastAsia" w:ascii="Times New Roman" w:hAnsi="Times New Roman" w:eastAsia="方正黑体_GBK" w:cs="Times New Roman"/>
          <w:bCs/>
          <w:sz w:val="28"/>
          <w:szCs w:val="28"/>
        </w:rPr>
        <w:t>经济社会发展总体要求</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PAGEREF _Toc75285087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- 10 -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方正黑体_GBK" w:cs="Times New Roman"/>
          <w:bCs/>
          <w:sz w:val="28"/>
          <w:szCs w:val="28"/>
        </w:rPr>
        <w:fldChar w:fldCharType="end"/>
      </w:r>
    </w:p>
    <w:p w14:paraId="09E353BA">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"_Toc75285088"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第一章  指导思想</w:t>
      </w:r>
      <w:r>
        <w:rPr>
          <w:rFonts w:hint="eastAsia" w:ascii="Times New Roman" w:hAnsi="Times New Roman" w:cs="Times New Roman"/>
          <w:sz w:val="28"/>
          <w:szCs w:val="28"/>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_Toc75285088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- 10 -</w:t>
      </w:r>
      <w:r>
        <w:rPr>
          <w:rFonts w:hint="eastAsia" w:ascii="Times New Roman" w:hAnsi="Times New Roman" w:cs="Times New Roman"/>
          <w:sz w:val="28"/>
          <w:szCs w:val="28"/>
          <w:lang w:val="en-US" w:eastAsia="zh-CN"/>
        </w:rPr>
        <w:fldChar w:fldCharType="end"/>
      </w:r>
      <w:r>
        <w:rPr>
          <w:rFonts w:hint="eastAsia" w:ascii="方正楷体_GBK" w:hAnsi="方正楷体_GBK" w:eastAsia="方正楷体_GBK" w:cs="方正楷体_GBK"/>
          <w:color w:val="000000"/>
          <w:sz w:val="28"/>
          <w:szCs w:val="28"/>
        </w:rPr>
        <w:fldChar w:fldCharType="end"/>
      </w:r>
    </w:p>
    <w:p w14:paraId="459E089A">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"_Toc75285089"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第二章  基本原则</w:t>
      </w:r>
      <w:r>
        <w:rPr>
          <w:rFonts w:hint="eastAsia" w:ascii="Times New Roman" w:hAnsi="Times New Roman" w:cs="Times New Roman"/>
          <w:sz w:val="28"/>
          <w:szCs w:val="28"/>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_Toc75285089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- 11 -</w:t>
      </w:r>
      <w:r>
        <w:rPr>
          <w:rFonts w:hint="eastAsia" w:ascii="Times New Roman" w:hAnsi="Times New Roman" w:cs="Times New Roman"/>
          <w:sz w:val="28"/>
          <w:szCs w:val="28"/>
          <w:lang w:val="en-US" w:eastAsia="zh-CN"/>
        </w:rPr>
        <w:fldChar w:fldCharType="end"/>
      </w:r>
      <w:r>
        <w:rPr>
          <w:rFonts w:hint="eastAsia" w:ascii="方正楷体_GBK" w:hAnsi="方正楷体_GBK" w:eastAsia="方正楷体_GBK" w:cs="方正楷体_GBK"/>
          <w:color w:val="000000"/>
          <w:sz w:val="28"/>
          <w:szCs w:val="28"/>
        </w:rPr>
        <w:fldChar w:fldCharType="end"/>
      </w:r>
    </w:p>
    <w:p w14:paraId="12E92A2D">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"_Toc75285090"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第三章  2035年远景目标</w:t>
      </w:r>
      <w:r>
        <w:rPr>
          <w:rFonts w:hint="eastAsia" w:ascii="Times New Roman" w:hAnsi="Times New Roman" w:cs="Times New Roman"/>
          <w:sz w:val="28"/>
          <w:szCs w:val="28"/>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_Toc75285090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- 13 -</w:t>
      </w:r>
      <w:r>
        <w:rPr>
          <w:rFonts w:hint="eastAsia" w:ascii="Times New Roman" w:hAnsi="Times New Roman" w:cs="Times New Roman"/>
          <w:sz w:val="28"/>
          <w:szCs w:val="28"/>
          <w:lang w:val="en-US" w:eastAsia="zh-CN"/>
        </w:rPr>
        <w:fldChar w:fldCharType="end"/>
      </w:r>
      <w:r>
        <w:rPr>
          <w:rFonts w:hint="eastAsia" w:ascii="方正楷体_GBK" w:hAnsi="方正楷体_GBK" w:eastAsia="方正楷体_GBK" w:cs="方正楷体_GBK"/>
          <w:color w:val="000000"/>
          <w:sz w:val="28"/>
          <w:szCs w:val="28"/>
        </w:rPr>
        <w:fldChar w:fldCharType="end"/>
      </w:r>
    </w:p>
    <w:p w14:paraId="2E3E1142">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"_Toc75285091"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第四章  发展目标</w:t>
      </w:r>
      <w:r>
        <w:rPr>
          <w:rFonts w:hint="eastAsia" w:ascii="Times New Roman" w:hAnsi="Times New Roman" w:cs="Times New Roman"/>
          <w:sz w:val="28"/>
          <w:szCs w:val="28"/>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_Toc75285091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- 14 -</w:t>
      </w:r>
      <w:r>
        <w:rPr>
          <w:rFonts w:hint="eastAsia" w:ascii="Times New Roman" w:hAnsi="Times New Roman" w:cs="Times New Roman"/>
          <w:sz w:val="28"/>
          <w:szCs w:val="28"/>
          <w:lang w:val="en-US" w:eastAsia="zh-CN"/>
        </w:rPr>
        <w:fldChar w:fldCharType="end"/>
      </w:r>
      <w:r>
        <w:rPr>
          <w:rFonts w:hint="eastAsia" w:ascii="方正楷体_GBK" w:hAnsi="方正楷体_GBK" w:eastAsia="方正楷体_GBK" w:cs="方正楷体_GBK"/>
          <w:color w:val="000000"/>
          <w:sz w:val="28"/>
          <w:szCs w:val="28"/>
        </w:rPr>
        <w:fldChar w:fldCharType="end"/>
      </w:r>
    </w:p>
    <w:p w14:paraId="1867011C">
      <w:pPr>
        <w:pStyle w:val="11"/>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bCs/>
          <w:sz w:val="28"/>
          <w:szCs w:val="28"/>
        </w:rPr>
      </w:pPr>
      <w:r>
        <w:rPr>
          <w:rFonts w:hint="default" w:ascii="Times New Roman" w:hAnsi="Times New Roman" w:eastAsia="方正黑体_GBK" w:cs="Times New Roman"/>
          <w:bCs/>
          <w:sz w:val="28"/>
          <w:szCs w:val="28"/>
        </w:rPr>
        <w:fldChar w:fldCharType="begin"/>
      </w:r>
      <w:r>
        <w:rPr>
          <w:rFonts w:hint="default" w:ascii="Times New Roman" w:hAnsi="Times New Roman" w:eastAsia="方正黑体_GBK" w:cs="Times New Roman"/>
          <w:bCs/>
          <w:sz w:val="28"/>
          <w:szCs w:val="28"/>
        </w:rPr>
        <w:instrText xml:space="preserve"> HYPERLINK \l "_Toc75285092" </w:instrText>
      </w:r>
      <w:r>
        <w:rPr>
          <w:rFonts w:hint="default" w:ascii="Times New Roman" w:hAnsi="Times New Roman" w:eastAsia="方正黑体_GBK" w:cs="Times New Roman"/>
          <w:bCs/>
          <w:sz w:val="28"/>
          <w:szCs w:val="28"/>
        </w:rPr>
        <w:fldChar w:fldCharType="separate"/>
      </w:r>
      <w:r>
        <w:rPr>
          <w:rFonts w:hint="eastAsia" w:ascii="Times New Roman" w:hAnsi="Times New Roman" w:eastAsia="方正黑体_GBK" w:cs="Times New Roman"/>
          <w:bCs/>
          <w:sz w:val="28"/>
          <w:szCs w:val="28"/>
        </w:rPr>
        <w:t>第三篇</w:t>
      </w:r>
      <w:r>
        <w:rPr>
          <w:rFonts w:hint="default" w:ascii="Times New Roman" w:hAnsi="Times New Roman" w:eastAsia="方正黑体_GBK" w:cs="Times New Roman"/>
          <w:bCs/>
          <w:sz w:val="28"/>
          <w:szCs w:val="28"/>
        </w:rPr>
        <w:t xml:space="preserve"> </w:t>
      </w:r>
      <w:r>
        <w:rPr>
          <w:rFonts w:hint="eastAsia" w:ascii="Times New Roman" w:hAnsi="Times New Roman" w:eastAsia="方正黑体_GBK" w:cs="Times New Roman"/>
          <w:bCs/>
          <w:sz w:val="28"/>
          <w:szCs w:val="28"/>
        </w:rPr>
        <w:t>坚持创新驱动发展</w:t>
      </w:r>
      <w:r>
        <w:rPr>
          <w:rFonts w:hint="default" w:ascii="Times New Roman" w:hAnsi="Times New Roman" w:eastAsia="方正黑体_GBK" w:cs="Times New Roman"/>
          <w:bCs/>
          <w:sz w:val="28"/>
          <w:szCs w:val="28"/>
        </w:rPr>
        <w:t xml:space="preserve"> </w:t>
      </w:r>
      <w:r>
        <w:rPr>
          <w:rFonts w:hint="eastAsia" w:ascii="Times New Roman" w:hAnsi="Times New Roman" w:eastAsia="方正黑体_GBK" w:cs="Times New Roman"/>
          <w:bCs/>
          <w:sz w:val="28"/>
          <w:szCs w:val="28"/>
        </w:rPr>
        <w:t>培育高质量发展新动能</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PAGEREF _Toc75285092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- 17 -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方正黑体_GBK" w:cs="Times New Roman"/>
          <w:bCs/>
          <w:sz w:val="28"/>
          <w:szCs w:val="28"/>
        </w:rPr>
        <w:fldChar w:fldCharType="end"/>
      </w:r>
    </w:p>
    <w:p w14:paraId="0AE655D6">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"_Toc75285093"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第一章  优化创新发展布局</w:t>
      </w:r>
      <w:r>
        <w:rPr>
          <w:rFonts w:hint="eastAsia" w:ascii="Times New Roman" w:hAnsi="Times New Roman" w:cs="Times New Roman"/>
          <w:sz w:val="28"/>
          <w:szCs w:val="28"/>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_Toc75285093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- 18 -</w:t>
      </w:r>
      <w:r>
        <w:rPr>
          <w:rFonts w:hint="eastAsia" w:ascii="Times New Roman" w:hAnsi="Times New Roman" w:cs="Times New Roman"/>
          <w:sz w:val="28"/>
          <w:szCs w:val="28"/>
          <w:lang w:val="en-US" w:eastAsia="zh-CN"/>
        </w:rPr>
        <w:fldChar w:fldCharType="end"/>
      </w:r>
      <w:r>
        <w:rPr>
          <w:rFonts w:hint="eastAsia" w:ascii="方正楷体_GBK" w:hAnsi="方正楷体_GBK" w:eastAsia="方正楷体_GBK" w:cs="方正楷体_GBK"/>
          <w:color w:val="000000"/>
          <w:sz w:val="28"/>
          <w:szCs w:val="28"/>
        </w:rPr>
        <w:fldChar w:fldCharType="end"/>
      </w:r>
    </w:p>
    <w:p w14:paraId="66671ABA">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"_Toc75285094"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第二章  推进企业技术创新</w:t>
      </w:r>
      <w:r>
        <w:rPr>
          <w:rFonts w:hint="eastAsia" w:ascii="Times New Roman" w:hAnsi="Times New Roman" w:cs="Times New Roman"/>
          <w:sz w:val="28"/>
          <w:szCs w:val="28"/>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_Toc75285094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- 18 -</w:t>
      </w:r>
      <w:r>
        <w:rPr>
          <w:rFonts w:hint="eastAsia" w:ascii="Times New Roman" w:hAnsi="Times New Roman" w:cs="Times New Roman"/>
          <w:sz w:val="28"/>
          <w:szCs w:val="28"/>
          <w:lang w:val="en-US" w:eastAsia="zh-CN"/>
        </w:rPr>
        <w:fldChar w:fldCharType="end"/>
      </w:r>
      <w:r>
        <w:rPr>
          <w:rFonts w:hint="eastAsia" w:ascii="方正楷体_GBK" w:hAnsi="方正楷体_GBK" w:eastAsia="方正楷体_GBK" w:cs="方正楷体_GBK"/>
          <w:color w:val="000000"/>
          <w:sz w:val="28"/>
          <w:szCs w:val="28"/>
        </w:rPr>
        <w:fldChar w:fldCharType="end"/>
      </w:r>
    </w:p>
    <w:p w14:paraId="4AD8A6C8">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"_Toc75285095"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第三章  实施人才强县战略</w:t>
      </w:r>
      <w:r>
        <w:rPr>
          <w:rFonts w:hint="eastAsia" w:ascii="Times New Roman" w:hAnsi="Times New Roman" w:cs="Times New Roman"/>
          <w:sz w:val="28"/>
          <w:szCs w:val="28"/>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_Toc75285095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- 19 -</w:t>
      </w:r>
      <w:r>
        <w:rPr>
          <w:rFonts w:hint="eastAsia" w:ascii="Times New Roman" w:hAnsi="Times New Roman" w:cs="Times New Roman"/>
          <w:sz w:val="28"/>
          <w:szCs w:val="28"/>
          <w:lang w:val="en-US" w:eastAsia="zh-CN"/>
        </w:rPr>
        <w:fldChar w:fldCharType="end"/>
      </w:r>
      <w:r>
        <w:rPr>
          <w:rFonts w:hint="eastAsia" w:ascii="方正楷体_GBK" w:hAnsi="方正楷体_GBK" w:eastAsia="方正楷体_GBK" w:cs="方正楷体_GBK"/>
          <w:color w:val="000000"/>
          <w:sz w:val="28"/>
          <w:szCs w:val="28"/>
        </w:rPr>
        <w:fldChar w:fldCharType="end"/>
      </w:r>
    </w:p>
    <w:p w14:paraId="1EF199F0">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"_Toc75285096"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第四章  完善科技创新机制</w:t>
      </w:r>
      <w:r>
        <w:rPr>
          <w:rFonts w:hint="eastAsia" w:ascii="Times New Roman" w:hAnsi="Times New Roman" w:cs="Times New Roman"/>
          <w:sz w:val="28"/>
          <w:szCs w:val="28"/>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_Toc75285096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- 20 -</w:t>
      </w:r>
      <w:r>
        <w:rPr>
          <w:rFonts w:hint="eastAsia" w:ascii="Times New Roman" w:hAnsi="Times New Roman" w:cs="Times New Roman"/>
          <w:sz w:val="28"/>
          <w:szCs w:val="28"/>
          <w:lang w:val="en-US" w:eastAsia="zh-CN"/>
        </w:rPr>
        <w:fldChar w:fldCharType="end"/>
      </w:r>
      <w:r>
        <w:rPr>
          <w:rFonts w:hint="eastAsia" w:ascii="方正楷体_GBK" w:hAnsi="方正楷体_GBK" w:eastAsia="方正楷体_GBK" w:cs="方正楷体_GBK"/>
          <w:color w:val="000000"/>
          <w:sz w:val="28"/>
          <w:szCs w:val="28"/>
        </w:rPr>
        <w:fldChar w:fldCharType="end"/>
      </w:r>
    </w:p>
    <w:p w14:paraId="099983D4">
      <w:pPr>
        <w:pStyle w:val="11"/>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bCs/>
          <w:sz w:val="28"/>
          <w:szCs w:val="28"/>
        </w:rPr>
      </w:pPr>
      <w:r>
        <w:rPr>
          <w:rFonts w:hint="default" w:ascii="Times New Roman" w:hAnsi="Times New Roman" w:eastAsia="方正黑体_GBK" w:cs="Times New Roman"/>
          <w:bCs/>
          <w:sz w:val="28"/>
          <w:szCs w:val="28"/>
        </w:rPr>
        <w:fldChar w:fldCharType="begin"/>
      </w:r>
      <w:r>
        <w:rPr>
          <w:rFonts w:hint="default" w:ascii="Times New Roman" w:hAnsi="Times New Roman" w:eastAsia="方正黑体_GBK" w:cs="Times New Roman"/>
          <w:bCs/>
          <w:sz w:val="28"/>
          <w:szCs w:val="28"/>
        </w:rPr>
        <w:instrText xml:space="preserve"> HYPERLINK \l "_Toc75285097" </w:instrText>
      </w:r>
      <w:r>
        <w:rPr>
          <w:rFonts w:hint="default" w:ascii="Times New Roman" w:hAnsi="Times New Roman" w:eastAsia="方正黑体_GBK" w:cs="Times New Roman"/>
          <w:bCs/>
          <w:sz w:val="28"/>
          <w:szCs w:val="28"/>
        </w:rPr>
        <w:fldChar w:fldCharType="separate"/>
      </w:r>
      <w:r>
        <w:rPr>
          <w:rFonts w:hint="eastAsia" w:ascii="Times New Roman" w:hAnsi="Times New Roman" w:eastAsia="方正黑体_GBK" w:cs="Times New Roman"/>
          <w:bCs/>
          <w:sz w:val="28"/>
          <w:szCs w:val="28"/>
        </w:rPr>
        <w:t>第四篇</w:t>
      </w:r>
      <w:r>
        <w:rPr>
          <w:rFonts w:hint="default" w:ascii="Times New Roman" w:hAnsi="Times New Roman" w:eastAsia="方正黑体_GBK" w:cs="Times New Roman"/>
          <w:bCs/>
          <w:sz w:val="28"/>
          <w:szCs w:val="28"/>
        </w:rPr>
        <w:t xml:space="preserve"> </w:t>
      </w:r>
      <w:r>
        <w:rPr>
          <w:rFonts w:hint="eastAsia" w:ascii="Times New Roman" w:hAnsi="Times New Roman" w:eastAsia="方正黑体_GBK" w:cs="Times New Roman"/>
          <w:bCs/>
          <w:sz w:val="28"/>
          <w:szCs w:val="28"/>
        </w:rPr>
        <w:t>优先发展农业农村</w:t>
      </w:r>
      <w:r>
        <w:rPr>
          <w:rFonts w:hint="default" w:ascii="Times New Roman" w:hAnsi="Times New Roman" w:eastAsia="方正黑体_GBK" w:cs="Times New Roman"/>
          <w:bCs/>
          <w:sz w:val="28"/>
          <w:szCs w:val="28"/>
        </w:rPr>
        <w:t xml:space="preserve"> </w:t>
      </w:r>
      <w:r>
        <w:rPr>
          <w:rFonts w:hint="eastAsia" w:ascii="Times New Roman" w:hAnsi="Times New Roman" w:eastAsia="方正黑体_GBK" w:cs="Times New Roman"/>
          <w:bCs/>
          <w:sz w:val="28"/>
          <w:szCs w:val="28"/>
        </w:rPr>
        <w:t>深入推进乡村振兴</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PAGEREF _Toc75285097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- 21 -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方正黑体_GBK" w:cs="Times New Roman"/>
          <w:bCs/>
          <w:sz w:val="28"/>
          <w:szCs w:val="28"/>
        </w:rPr>
        <w:fldChar w:fldCharType="end"/>
      </w:r>
    </w:p>
    <w:p w14:paraId="2B7D5F93">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"_Toc75285098"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第一章  巩固</w:t>
      </w:r>
      <w:r>
        <w:rPr>
          <w:rFonts w:hint="eastAsia" w:ascii="方正楷体_GBK" w:hAnsi="方正楷体_GBK" w:eastAsia="方正楷体_GBK" w:cs="方正楷体_GBK"/>
          <w:color w:val="000000"/>
          <w:sz w:val="28"/>
          <w:szCs w:val="28"/>
          <w:lang w:val="en-US" w:eastAsia="zh-CN"/>
        </w:rPr>
        <w:t>拓展</w:t>
      </w:r>
      <w:r>
        <w:rPr>
          <w:rFonts w:hint="eastAsia" w:ascii="方正楷体_GBK" w:hAnsi="方正楷体_GBK" w:eastAsia="方正楷体_GBK" w:cs="方正楷体_GBK"/>
          <w:color w:val="000000"/>
          <w:sz w:val="28"/>
          <w:szCs w:val="28"/>
        </w:rPr>
        <w:t>脱贫攻坚成果</w:t>
      </w:r>
      <w:r>
        <w:rPr>
          <w:rFonts w:hint="eastAsia" w:ascii="Times New Roman" w:hAnsi="Times New Roman" w:cs="Times New Roman"/>
          <w:sz w:val="28"/>
          <w:szCs w:val="28"/>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_Toc75285098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- 21 -</w:t>
      </w:r>
      <w:r>
        <w:rPr>
          <w:rFonts w:hint="eastAsia" w:ascii="Times New Roman" w:hAnsi="Times New Roman" w:cs="Times New Roman"/>
          <w:sz w:val="28"/>
          <w:szCs w:val="28"/>
          <w:lang w:val="en-US" w:eastAsia="zh-CN"/>
        </w:rPr>
        <w:fldChar w:fldCharType="end"/>
      </w:r>
      <w:r>
        <w:rPr>
          <w:rFonts w:hint="eastAsia" w:ascii="方正楷体_GBK" w:hAnsi="方正楷体_GBK" w:eastAsia="方正楷体_GBK" w:cs="方正楷体_GBK"/>
          <w:color w:val="000000"/>
          <w:sz w:val="28"/>
          <w:szCs w:val="28"/>
        </w:rPr>
        <w:fldChar w:fldCharType="end"/>
      </w:r>
    </w:p>
    <w:p w14:paraId="70EF060B">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"_Toc75285099"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第二章  提高农业质量效益</w:t>
      </w:r>
      <w:r>
        <w:rPr>
          <w:rFonts w:hint="eastAsia" w:ascii="Times New Roman" w:hAnsi="Times New Roman" w:cs="Times New Roman"/>
          <w:sz w:val="28"/>
          <w:szCs w:val="28"/>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_Toc75285099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- 22 -</w:t>
      </w:r>
      <w:r>
        <w:rPr>
          <w:rFonts w:hint="eastAsia" w:ascii="Times New Roman" w:hAnsi="Times New Roman" w:cs="Times New Roman"/>
          <w:sz w:val="28"/>
          <w:szCs w:val="28"/>
          <w:lang w:val="en-US" w:eastAsia="zh-CN"/>
        </w:rPr>
        <w:fldChar w:fldCharType="end"/>
      </w:r>
      <w:r>
        <w:rPr>
          <w:rFonts w:hint="eastAsia" w:ascii="方正楷体_GBK" w:hAnsi="方正楷体_GBK" w:eastAsia="方正楷体_GBK" w:cs="方正楷体_GBK"/>
          <w:color w:val="000000"/>
          <w:sz w:val="28"/>
          <w:szCs w:val="28"/>
        </w:rPr>
        <w:fldChar w:fldCharType="end"/>
      </w:r>
    </w:p>
    <w:p w14:paraId="504604BE">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"_Toc75285100"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第三章  实施乡村建设行动</w:t>
      </w:r>
      <w:r>
        <w:rPr>
          <w:rFonts w:hint="eastAsia" w:ascii="Times New Roman" w:hAnsi="Times New Roman" w:cs="Times New Roman"/>
          <w:sz w:val="28"/>
          <w:szCs w:val="28"/>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_Toc75285100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- 23 -</w:t>
      </w:r>
      <w:r>
        <w:rPr>
          <w:rFonts w:hint="eastAsia" w:ascii="Times New Roman" w:hAnsi="Times New Roman" w:cs="Times New Roman"/>
          <w:sz w:val="28"/>
          <w:szCs w:val="28"/>
          <w:lang w:val="en-US" w:eastAsia="zh-CN"/>
        </w:rPr>
        <w:fldChar w:fldCharType="end"/>
      </w:r>
      <w:r>
        <w:rPr>
          <w:rFonts w:hint="eastAsia" w:ascii="方正楷体_GBK" w:hAnsi="方正楷体_GBK" w:eastAsia="方正楷体_GBK" w:cs="方正楷体_GBK"/>
          <w:color w:val="000000"/>
          <w:sz w:val="28"/>
          <w:szCs w:val="28"/>
        </w:rPr>
        <w:fldChar w:fldCharType="end"/>
      </w:r>
    </w:p>
    <w:p w14:paraId="61A6F237">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"_Toc75285101"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第四章  推进农业产业化发展</w:t>
      </w:r>
      <w:r>
        <w:rPr>
          <w:rFonts w:hint="eastAsia" w:ascii="Times New Roman" w:hAnsi="Times New Roman" w:cs="Times New Roman"/>
          <w:sz w:val="28"/>
          <w:szCs w:val="28"/>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_Toc75285101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- 24 -</w:t>
      </w:r>
      <w:r>
        <w:rPr>
          <w:rFonts w:hint="eastAsia" w:ascii="Times New Roman" w:hAnsi="Times New Roman" w:cs="Times New Roman"/>
          <w:sz w:val="28"/>
          <w:szCs w:val="28"/>
          <w:lang w:val="en-US" w:eastAsia="zh-CN"/>
        </w:rPr>
        <w:fldChar w:fldCharType="end"/>
      </w:r>
      <w:r>
        <w:rPr>
          <w:rFonts w:hint="eastAsia" w:ascii="方正楷体_GBK" w:hAnsi="方正楷体_GBK" w:eastAsia="方正楷体_GBK" w:cs="方正楷体_GBK"/>
          <w:color w:val="000000"/>
          <w:sz w:val="28"/>
          <w:szCs w:val="28"/>
        </w:rPr>
        <w:fldChar w:fldCharType="end"/>
      </w:r>
    </w:p>
    <w:p w14:paraId="1D2F440B">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"_Toc75285102"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第五章  完善农业支持保护制度</w:t>
      </w:r>
      <w:r>
        <w:rPr>
          <w:rFonts w:hint="eastAsia" w:ascii="Times New Roman" w:hAnsi="Times New Roman" w:cs="Times New Roman"/>
          <w:sz w:val="28"/>
          <w:szCs w:val="28"/>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_Toc75285102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- 25 -</w:t>
      </w:r>
      <w:r>
        <w:rPr>
          <w:rFonts w:hint="eastAsia" w:ascii="Times New Roman" w:hAnsi="Times New Roman" w:cs="Times New Roman"/>
          <w:sz w:val="28"/>
          <w:szCs w:val="28"/>
          <w:lang w:val="en-US" w:eastAsia="zh-CN"/>
        </w:rPr>
        <w:fldChar w:fldCharType="end"/>
      </w:r>
      <w:r>
        <w:rPr>
          <w:rFonts w:hint="eastAsia" w:ascii="方正楷体_GBK" w:hAnsi="方正楷体_GBK" w:eastAsia="方正楷体_GBK" w:cs="方正楷体_GBK"/>
          <w:color w:val="000000"/>
          <w:sz w:val="28"/>
          <w:szCs w:val="28"/>
        </w:rPr>
        <w:fldChar w:fldCharType="end"/>
      </w:r>
    </w:p>
    <w:p w14:paraId="46809110">
      <w:pPr>
        <w:pStyle w:val="11"/>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bCs/>
          <w:sz w:val="28"/>
          <w:szCs w:val="28"/>
        </w:rPr>
      </w:pPr>
      <w:r>
        <w:rPr>
          <w:rFonts w:hint="default" w:ascii="Times New Roman" w:hAnsi="Times New Roman" w:eastAsia="方正黑体_GBK" w:cs="Times New Roman"/>
          <w:bCs/>
          <w:sz w:val="28"/>
          <w:szCs w:val="28"/>
        </w:rPr>
        <w:fldChar w:fldCharType="begin"/>
      </w:r>
      <w:r>
        <w:rPr>
          <w:rFonts w:hint="default" w:ascii="Times New Roman" w:hAnsi="Times New Roman" w:eastAsia="方正黑体_GBK" w:cs="Times New Roman"/>
          <w:bCs/>
          <w:sz w:val="28"/>
          <w:szCs w:val="28"/>
        </w:rPr>
        <w:instrText xml:space="preserve"> HYPERLINK \l "_Toc75285103" </w:instrText>
      </w:r>
      <w:r>
        <w:rPr>
          <w:rFonts w:hint="default" w:ascii="Times New Roman" w:hAnsi="Times New Roman" w:eastAsia="方正黑体_GBK" w:cs="Times New Roman"/>
          <w:bCs/>
          <w:sz w:val="28"/>
          <w:szCs w:val="28"/>
        </w:rPr>
        <w:fldChar w:fldCharType="separate"/>
      </w:r>
      <w:r>
        <w:rPr>
          <w:rFonts w:hint="eastAsia" w:ascii="Times New Roman" w:hAnsi="Times New Roman" w:eastAsia="方正黑体_GBK" w:cs="Times New Roman"/>
          <w:bCs/>
          <w:sz w:val="28"/>
          <w:szCs w:val="28"/>
        </w:rPr>
        <w:t>第五篇</w:t>
      </w:r>
      <w:r>
        <w:rPr>
          <w:rFonts w:hint="default" w:ascii="Times New Roman" w:hAnsi="Times New Roman" w:eastAsia="方正黑体_GBK" w:cs="Times New Roman"/>
          <w:bCs/>
          <w:sz w:val="28"/>
          <w:szCs w:val="28"/>
        </w:rPr>
        <w:t xml:space="preserve">  </w:t>
      </w:r>
      <w:r>
        <w:rPr>
          <w:rFonts w:hint="eastAsia" w:ascii="Times New Roman" w:hAnsi="Times New Roman" w:eastAsia="方正黑体_GBK" w:cs="Times New Roman"/>
          <w:bCs/>
          <w:sz w:val="28"/>
          <w:szCs w:val="28"/>
        </w:rPr>
        <w:t>推动工业强基增效和转型升级</w:t>
      </w:r>
      <w:r>
        <w:rPr>
          <w:rFonts w:hint="default" w:ascii="Times New Roman" w:hAnsi="Times New Roman" w:eastAsia="方正黑体_GBK" w:cs="Times New Roman"/>
          <w:bCs/>
          <w:sz w:val="28"/>
          <w:szCs w:val="28"/>
        </w:rPr>
        <w:t xml:space="preserve"> </w:t>
      </w:r>
      <w:r>
        <w:rPr>
          <w:rFonts w:hint="eastAsia" w:ascii="Times New Roman" w:hAnsi="Times New Roman" w:eastAsia="方正黑体_GBK" w:cs="Times New Roman"/>
          <w:bCs/>
          <w:sz w:val="28"/>
          <w:szCs w:val="28"/>
        </w:rPr>
        <w:t>提升新型工业化发展水平</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PAGEREF _Toc75285103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- 25 -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方正黑体_GBK" w:cs="Times New Roman"/>
          <w:bCs/>
          <w:sz w:val="28"/>
          <w:szCs w:val="28"/>
        </w:rPr>
        <w:fldChar w:fldCharType="end"/>
      </w:r>
    </w:p>
    <w:p w14:paraId="62790A4A">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"_Toc75285104"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第一章  推动工业转型升级</w:t>
      </w:r>
      <w:r>
        <w:rPr>
          <w:rFonts w:hint="eastAsia" w:ascii="Times New Roman" w:hAnsi="Times New Roman" w:cs="Times New Roman"/>
          <w:sz w:val="28"/>
          <w:szCs w:val="28"/>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_Toc75285104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- 25 -</w:t>
      </w:r>
      <w:r>
        <w:rPr>
          <w:rFonts w:hint="eastAsia" w:ascii="Times New Roman" w:hAnsi="Times New Roman" w:cs="Times New Roman"/>
          <w:sz w:val="28"/>
          <w:szCs w:val="28"/>
          <w:lang w:val="en-US" w:eastAsia="zh-CN"/>
        </w:rPr>
        <w:fldChar w:fldCharType="end"/>
      </w:r>
      <w:r>
        <w:rPr>
          <w:rFonts w:hint="eastAsia" w:ascii="方正楷体_GBK" w:hAnsi="方正楷体_GBK" w:eastAsia="方正楷体_GBK" w:cs="方正楷体_GBK"/>
          <w:color w:val="000000"/>
          <w:sz w:val="28"/>
          <w:szCs w:val="28"/>
        </w:rPr>
        <w:fldChar w:fldCharType="end"/>
      </w:r>
    </w:p>
    <w:p w14:paraId="597A9F25">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"_Toc75285105"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第二章  积极打造战略性新兴产业龙头企业</w:t>
      </w:r>
      <w:r>
        <w:rPr>
          <w:rFonts w:hint="eastAsia" w:ascii="Times New Roman" w:hAnsi="Times New Roman" w:cs="Times New Roman"/>
          <w:sz w:val="28"/>
          <w:szCs w:val="28"/>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_Toc75285105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- 27 -</w:t>
      </w:r>
      <w:r>
        <w:rPr>
          <w:rFonts w:hint="eastAsia" w:ascii="Times New Roman" w:hAnsi="Times New Roman" w:cs="Times New Roman"/>
          <w:sz w:val="28"/>
          <w:szCs w:val="28"/>
          <w:lang w:val="en-US" w:eastAsia="zh-CN"/>
        </w:rPr>
        <w:fldChar w:fldCharType="end"/>
      </w:r>
      <w:r>
        <w:rPr>
          <w:rFonts w:hint="eastAsia" w:ascii="方正楷体_GBK" w:hAnsi="方正楷体_GBK" w:eastAsia="方正楷体_GBK" w:cs="方正楷体_GBK"/>
          <w:color w:val="000000"/>
          <w:sz w:val="28"/>
          <w:szCs w:val="28"/>
        </w:rPr>
        <w:fldChar w:fldCharType="end"/>
      </w:r>
    </w:p>
    <w:p w14:paraId="425E45B1">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"_Toc75285106"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第三章  着力提升园区产业集聚效益</w:t>
      </w:r>
      <w:r>
        <w:rPr>
          <w:rFonts w:hint="eastAsia" w:ascii="Times New Roman" w:hAnsi="Times New Roman" w:cs="Times New Roman"/>
          <w:sz w:val="28"/>
          <w:szCs w:val="28"/>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_Toc75285106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- 28 -</w:t>
      </w:r>
      <w:r>
        <w:rPr>
          <w:rFonts w:hint="eastAsia" w:ascii="Times New Roman" w:hAnsi="Times New Roman" w:cs="Times New Roman"/>
          <w:sz w:val="28"/>
          <w:szCs w:val="28"/>
          <w:lang w:val="en-US" w:eastAsia="zh-CN"/>
        </w:rPr>
        <w:fldChar w:fldCharType="end"/>
      </w:r>
      <w:r>
        <w:rPr>
          <w:rFonts w:hint="eastAsia" w:ascii="方正楷体_GBK" w:hAnsi="方正楷体_GBK" w:eastAsia="方正楷体_GBK" w:cs="方正楷体_GBK"/>
          <w:color w:val="000000"/>
          <w:sz w:val="28"/>
          <w:szCs w:val="28"/>
        </w:rPr>
        <w:fldChar w:fldCharType="end"/>
      </w:r>
    </w:p>
    <w:p w14:paraId="7F5CE25B">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"_Toc75285107"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第四章  推动产业链供应链优化升级</w:t>
      </w:r>
      <w:r>
        <w:rPr>
          <w:rFonts w:hint="eastAsia" w:ascii="Times New Roman" w:hAnsi="Times New Roman" w:cs="Times New Roman"/>
          <w:sz w:val="28"/>
          <w:szCs w:val="28"/>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_Toc75285107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- 29 -</w:t>
      </w:r>
      <w:r>
        <w:rPr>
          <w:rFonts w:hint="eastAsia" w:ascii="Times New Roman" w:hAnsi="Times New Roman" w:cs="Times New Roman"/>
          <w:sz w:val="28"/>
          <w:szCs w:val="28"/>
          <w:lang w:val="en-US" w:eastAsia="zh-CN"/>
        </w:rPr>
        <w:fldChar w:fldCharType="end"/>
      </w:r>
      <w:r>
        <w:rPr>
          <w:rFonts w:hint="eastAsia" w:ascii="方正楷体_GBK" w:hAnsi="方正楷体_GBK" w:eastAsia="方正楷体_GBK" w:cs="方正楷体_GBK"/>
          <w:color w:val="000000"/>
          <w:sz w:val="28"/>
          <w:szCs w:val="28"/>
        </w:rPr>
        <w:fldChar w:fldCharType="end"/>
      </w:r>
    </w:p>
    <w:p w14:paraId="2BA919C7">
      <w:pPr>
        <w:pStyle w:val="11"/>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bCs/>
          <w:sz w:val="28"/>
          <w:szCs w:val="28"/>
        </w:rPr>
      </w:pPr>
      <w:r>
        <w:rPr>
          <w:rFonts w:hint="default" w:ascii="Times New Roman" w:hAnsi="Times New Roman" w:eastAsia="方正黑体_GBK" w:cs="Times New Roman"/>
          <w:bCs/>
          <w:sz w:val="28"/>
          <w:szCs w:val="28"/>
        </w:rPr>
        <w:fldChar w:fldCharType="begin"/>
      </w:r>
      <w:r>
        <w:rPr>
          <w:rFonts w:hint="default" w:ascii="Times New Roman" w:hAnsi="Times New Roman" w:eastAsia="方正黑体_GBK" w:cs="Times New Roman"/>
          <w:bCs/>
          <w:sz w:val="28"/>
          <w:szCs w:val="28"/>
        </w:rPr>
        <w:instrText xml:space="preserve"> HYPERLINK \l "_Toc75285108" </w:instrText>
      </w:r>
      <w:r>
        <w:rPr>
          <w:rFonts w:hint="default" w:ascii="Times New Roman" w:hAnsi="Times New Roman" w:eastAsia="方正黑体_GBK" w:cs="Times New Roman"/>
          <w:bCs/>
          <w:sz w:val="28"/>
          <w:szCs w:val="28"/>
        </w:rPr>
        <w:fldChar w:fldCharType="separate"/>
      </w:r>
      <w:r>
        <w:rPr>
          <w:rFonts w:hint="eastAsia" w:ascii="Times New Roman" w:hAnsi="Times New Roman" w:eastAsia="方正黑体_GBK" w:cs="Times New Roman"/>
          <w:bCs/>
          <w:sz w:val="28"/>
          <w:szCs w:val="28"/>
        </w:rPr>
        <w:t>第六篇</w:t>
      </w:r>
      <w:r>
        <w:rPr>
          <w:rFonts w:hint="default" w:ascii="Times New Roman" w:hAnsi="Times New Roman" w:eastAsia="方正黑体_GBK" w:cs="Times New Roman"/>
          <w:bCs/>
          <w:sz w:val="28"/>
          <w:szCs w:val="28"/>
        </w:rPr>
        <w:t xml:space="preserve"> </w:t>
      </w:r>
      <w:r>
        <w:rPr>
          <w:rFonts w:hint="eastAsia" w:ascii="Times New Roman" w:hAnsi="Times New Roman" w:eastAsia="方正黑体_GBK" w:cs="Times New Roman"/>
          <w:bCs/>
          <w:sz w:val="28"/>
          <w:szCs w:val="28"/>
        </w:rPr>
        <w:t>实施旅游兴疆战略</w:t>
      </w:r>
      <w:r>
        <w:rPr>
          <w:rFonts w:hint="default" w:ascii="Times New Roman" w:hAnsi="Times New Roman" w:eastAsia="方正黑体_GBK" w:cs="Times New Roman"/>
          <w:bCs/>
          <w:sz w:val="28"/>
          <w:szCs w:val="28"/>
        </w:rPr>
        <w:t xml:space="preserve"> </w:t>
      </w:r>
      <w:r>
        <w:rPr>
          <w:rFonts w:hint="eastAsia" w:ascii="Times New Roman" w:hAnsi="Times New Roman" w:eastAsia="方正黑体_GBK" w:cs="Times New Roman"/>
          <w:bCs/>
          <w:sz w:val="28"/>
          <w:szCs w:val="28"/>
        </w:rPr>
        <w:t>大力发展现代服务业</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PAGEREF _Toc75285108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- 30 -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方正黑体_GBK" w:cs="Times New Roman"/>
          <w:bCs/>
          <w:sz w:val="28"/>
          <w:szCs w:val="28"/>
        </w:rPr>
        <w:fldChar w:fldCharType="end"/>
      </w:r>
    </w:p>
    <w:p w14:paraId="58B2F36E">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"_Toc75285109"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第一章  推动旅游业高质量发展</w:t>
      </w:r>
      <w:r>
        <w:rPr>
          <w:rFonts w:hint="eastAsia" w:ascii="Times New Roman" w:hAnsi="Times New Roman" w:cs="Times New Roman"/>
          <w:sz w:val="28"/>
          <w:szCs w:val="28"/>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_Toc75285109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- 30 -</w:t>
      </w:r>
      <w:r>
        <w:rPr>
          <w:rFonts w:hint="eastAsia" w:ascii="Times New Roman" w:hAnsi="Times New Roman" w:cs="Times New Roman"/>
          <w:sz w:val="28"/>
          <w:szCs w:val="28"/>
          <w:lang w:val="en-US" w:eastAsia="zh-CN"/>
        </w:rPr>
        <w:fldChar w:fldCharType="end"/>
      </w:r>
      <w:r>
        <w:rPr>
          <w:rFonts w:hint="eastAsia" w:ascii="方正楷体_GBK" w:hAnsi="方正楷体_GBK" w:eastAsia="方正楷体_GBK" w:cs="方正楷体_GBK"/>
          <w:color w:val="000000"/>
          <w:sz w:val="28"/>
          <w:szCs w:val="28"/>
        </w:rPr>
        <w:fldChar w:fldCharType="end"/>
      </w:r>
    </w:p>
    <w:p w14:paraId="49E6DB14">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"_Toc75285110"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第二章  促进生产性服务业提档升级</w:t>
      </w:r>
      <w:r>
        <w:rPr>
          <w:rFonts w:hint="eastAsia" w:ascii="Times New Roman" w:hAnsi="Times New Roman" w:cs="Times New Roman"/>
          <w:sz w:val="28"/>
          <w:szCs w:val="28"/>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_Toc75285110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- 33 -</w:t>
      </w:r>
      <w:r>
        <w:rPr>
          <w:rFonts w:hint="eastAsia" w:ascii="Times New Roman" w:hAnsi="Times New Roman" w:cs="Times New Roman"/>
          <w:sz w:val="28"/>
          <w:szCs w:val="28"/>
          <w:lang w:val="en-US" w:eastAsia="zh-CN"/>
        </w:rPr>
        <w:fldChar w:fldCharType="end"/>
      </w:r>
      <w:r>
        <w:rPr>
          <w:rFonts w:hint="eastAsia" w:ascii="方正楷体_GBK" w:hAnsi="方正楷体_GBK" w:eastAsia="方正楷体_GBK" w:cs="方正楷体_GBK"/>
          <w:color w:val="000000"/>
          <w:sz w:val="28"/>
          <w:szCs w:val="28"/>
        </w:rPr>
        <w:fldChar w:fldCharType="end"/>
      </w:r>
    </w:p>
    <w:p w14:paraId="7EDCC031">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"_Toc75285111"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第三章  提升生活性服务业发展质量</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_Toc75285111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- 36 -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1AC5D34E">
      <w:pPr>
        <w:pStyle w:val="11"/>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bCs/>
          <w:sz w:val="28"/>
          <w:szCs w:val="28"/>
        </w:rPr>
      </w:pPr>
      <w:r>
        <w:rPr>
          <w:rFonts w:hint="default" w:ascii="Times New Roman" w:hAnsi="Times New Roman" w:eastAsia="方正黑体_GBK" w:cs="Times New Roman"/>
          <w:bCs/>
          <w:sz w:val="28"/>
          <w:szCs w:val="28"/>
        </w:rPr>
        <w:fldChar w:fldCharType="begin"/>
      </w:r>
      <w:r>
        <w:rPr>
          <w:rFonts w:hint="default" w:ascii="Times New Roman" w:hAnsi="Times New Roman" w:eastAsia="方正黑体_GBK" w:cs="Times New Roman"/>
          <w:bCs/>
          <w:sz w:val="28"/>
          <w:szCs w:val="28"/>
        </w:rPr>
        <w:instrText xml:space="preserve"> HYPERLINK \l "_Toc75285112" </w:instrText>
      </w:r>
      <w:r>
        <w:rPr>
          <w:rFonts w:hint="default" w:ascii="Times New Roman" w:hAnsi="Times New Roman" w:eastAsia="方正黑体_GBK" w:cs="Times New Roman"/>
          <w:bCs/>
          <w:sz w:val="28"/>
          <w:szCs w:val="28"/>
        </w:rPr>
        <w:fldChar w:fldCharType="separate"/>
      </w:r>
      <w:r>
        <w:rPr>
          <w:rFonts w:hint="eastAsia" w:ascii="Times New Roman" w:hAnsi="Times New Roman" w:eastAsia="方正黑体_GBK" w:cs="Times New Roman"/>
          <w:bCs/>
          <w:sz w:val="28"/>
          <w:szCs w:val="28"/>
        </w:rPr>
        <w:t>第七篇</w:t>
      </w:r>
      <w:r>
        <w:rPr>
          <w:rFonts w:hint="default" w:ascii="Times New Roman" w:hAnsi="Times New Roman" w:eastAsia="方正黑体_GBK" w:cs="Times New Roman"/>
          <w:bCs/>
          <w:sz w:val="28"/>
          <w:szCs w:val="28"/>
        </w:rPr>
        <w:t xml:space="preserve">  </w:t>
      </w:r>
      <w:r>
        <w:rPr>
          <w:rFonts w:hint="eastAsia" w:ascii="Times New Roman" w:hAnsi="Times New Roman" w:eastAsia="方正黑体_GBK" w:cs="Times New Roman"/>
          <w:bCs/>
          <w:sz w:val="28"/>
          <w:szCs w:val="28"/>
        </w:rPr>
        <w:t>坚持扩大内需战略基点</w:t>
      </w:r>
      <w:r>
        <w:rPr>
          <w:rFonts w:hint="default" w:ascii="Times New Roman" w:hAnsi="Times New Roman" w:eastAsia="方正黑体_GBK" w:cs="Times New Roman"/>
          <w:bCs/>
          <w:sz w:val="28"/>
          <w:szCs w:val="28"/>
        </w:rPr>
        <w:t xml:space="preserve"> </w:t>
      </w:r>
      <w:r>
        <w:rPr>
          <w:rFonts w:hint="eastAsia" w:ascii="Times New Roman" w:hAnsi="Times New Roman" w:eastAsia="方正黑体_GBK" w:cs="Times New Roman"/>
          <w:bCs/>
          <w:sz w:val="28"/>
          <w:szCs w:val="28"/>
        </w:rPr>
        <w:t>促进形成新发展格局</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PAGEREF _Toc75285112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- 38 -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方正黑体_GBK" w:cs="Times New Roman"/>
          <w:bCs/>
          <w:sz w:val="28"/>
          <w:szCs w:val="28"/>
        </w:rPr>
        <w:fldChar w:fldCharType="end"/>
      </w:r>
    </w:p>
    <w:p w14:paraId="3534159A">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"_Toc75285113"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第一章  加强水利设施建设</w:t>
      </w:r>
      <w:r>
        <w:rPr>
          <w:rFonts w:hint="eastAsia" w:ascii="Times New Roman" w:hAnsi="Times New Roman" w:cs="Times New Roman"/>
          <w:sz w:val="28"/>
          <w:szCs w:val="28"/>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_Toc75285113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- 38 -</w:t>
      </w:r>
      <w:r>
        <w:rPr>
          <w:rFonts w:hint="eastAsia" w:ascii="Times New Roman" w:hAnsi="Times New Roman" w:cs="Times New Roman"/>
          <w:sz w:val="28"/>
          <w:szCs w:val="28"/>
          <w:lang w:val="en-US" w:eastAsia="zh-CN"/>
        </w:rPr>
        <w:fldChar w:fldCharType="end"/>
      </w:r>
      <w:r>
        <w:rPr>
          <w:rFonts w:hint="eastAsia" w:ascii="方正楷体_GBK" w:hAnsi="方正楷体_GBK" w:eastAsia="方正楷体_GBK" w:cs="方正楷体_GBK"/>
          <w:color w:val="000000"/>
          <w:sz w:val="28"/>
          <w:szCs w:val="28"/>
        </w:rPr>
        <w:fldChar w:fldCharType="end"/>
      </w:r>
    </w:p>
    <w:p w14:paraId="6156BD5B">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"_Toc75285114"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第二章  加强交通设施建设</w:t>
      </w:r>
      <w:r>
        <w:rPr>
          <w:rFonts w:hint="eastAsia" w:ascii="Times New Roman" w:hAnsi="Times New Roman" w:cs="Times New Roman"/>
          <w:sz w:val="28"/>
          <w:szCs w:val="28"/>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_Toc75285114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- 39 -</w:t>
      </w:r>
      <w:r>
        <w:rPr>
          <w:rFonts w:hint="eastAsia" w:ascii="Times New Roman" w:hAnsi="Times New Roman" w:cs="Times New Roman"/>
          <w:sz w:val="28"/>
          <w:szCs w:val="28"/>
          <w:lang w:val="en-US" w:eastAsia="zh-CN"/>
        </w:rPr>
        <w:fldChar w:fldCharType="end"/>
      </w:r>
      <w:r>
        <w:rPr>
          <w:rFonts w:hint="eastAsia" w:ascii="方正楷体_GBK" w:hAnsi="方正楷体_GBK" w:eastAsia="方正楷体_GBK" w:cs="方正楷体_GBK"/>
          <w:color w:val="000000"/>
          <w:sz w:val="28"/>
          <w:szCs w:val="28"/>
        </w:rPr>
        <w:fldChar w:fldCharType="end"/>
      </w:r>
    </w:p>
    <w:p w14:paraId="462D725D">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"_Toc75285115"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第四章  加强信息设施建设</w:t>
      </w:r>
      <w:r>
        <w:rPr>
          <w:rFonts w:hint="eastAsia" w:ascii="Times New Roman" w:hAnsi="Times New Roman" w:cs="Times New Roman"/>
          <w:sz w:val="28"/>
          <w:szCs w:val="28"/>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_Toc75285115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- 42 -</w:t>
      </w:r>
      <w:r>
        <w:rPr>
          <w:rFonts w:hint="eastAsia" w:ascii="Times New Roman" w:hAnsi="Times New Roman" w:cs="Times New Roman"/>
          <w:sz w:val="28"/>
          <w:szCs w:val="28"/>
          <w:lang w:val="en-US" w:eastAsia="zh-CN"/>
        </w:rPr>
        <w:fldChar w:fldCharType="end"/>
      </w:r>
      <w:r>
        <w:rPr>
          <w:rFonts w:hint="eastAsia" w:ascii="方正楷体_GBK" w:hAnsi="方正楷体_GBK" w:eastAsia="方正楷体_GBK" w:cs="方正楷体_GBK"/>
          <w:color w:val="000000"/>
          <w:sz w:val="28"/>
          <w:szCs w:val="28"/>
        </w:rPr>
        <w:fldChar w:fldCharType="end"/>
      </w:r>
    </w:p>
    <w:p w14:paraId="62A92994">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"_Toc75285116"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第五章  着力促进消费</w:t>
      </w:r>
      <w:r>
        <w:rPr>
          <w:rFonts w:hint="eastAsia" w:ascii="Times New Roman" w:hAnsi="Times New Roman" w:cs="Times New Roman"/>
          <w:sz w:val="28"/>
          <w:szCs w:val="28"/>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_Toc75285116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- 44 -</w:t>
      </w:r>
      <w:r>
        <w:rPr>
          <w:rFonts w:hint="eastAsia" w:ascii="Times New Roman" w:hAnsi="Times New Roman" w:cs="Times New Roman"/>
          <w:sz w:val="28"/>
          <w:szCs w:val="28"/>
          <w:lang w:val="en-US" w:eastAsia="zh-CN"/>
        </w:rPr>
        <w:fldChar w:fldCharType="end"/>
      </w:r>
      <w:r>
        <w:rPr>
          <w:rFonts w:hint="eastAsia" w:ascii="方正楷体_GBK" w:hAnsi="方正楷体_GBK" w:eastAsia="方正楷体_GBK" w:cs="方正楷体_GBK"/>
          <w:color w:val="000000"/>
          <w:sz w:val="28"/>
          <w:szCs w:val="28"/>
        </w:rPr>
        <w:fldChar w:fldCharType="end"/>
      </w:r>
    </w:p>
    <w:p w14:paraId="7A08392A">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"_Toc75285117"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第六章  积极融入国内大循环和国内国际双循环</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_Toc75285117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- 45 -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5C7E7881">
      <w:pPr>
        <w:pStyle w:val="11"/>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bCs/>
          <w:sz w:val="28"/>
          <w:szCs w:val="28"/>
        </w:rPr>
      </w:pPr>
      <w:r>
        <w:rPr>
          <w:rFonts w:hint="default" w:ascii="Times New Roman" w:hAnsi="Times New Roman" w:eastAsia="方正黑体_GBK" w:cs="Times New Roman"/>
          <w:bCs/>
          <w:sz w:val="28"/>
          <w:szCs w:val="28"/>
        </w:rPr>
        <w:fldChar w:fldCharType="begin"/>
      </w:r>
      <w:r>
        <w:rPr>
          <w:rFonts w:hint="default" w:ascii="Times New Roman" w:hAnsi="Times New Roman" w:eastAsia="方正黑体_GBK" w:cs="Times New Roman"/>
          <w:bCs/>
          <w:sz w:val="28"/>
          <w:szCs w:val="28"/>
        </w:rPr>
        <w:instrText xml:space="preserve"> HYPERLINK \l "_Toc75285118" </w:instrText>
      </w:r>
      <w:r>
        <w:rPr>
          <w:rFonts w:hint="default" w:ascii="Times New Roman" w:hAnsi="Times New Roman" w:eastAsia="方正黑体_GBK" w:cs="Times New Roman"/>
          <w:bCs/>
          <w:sz w:val="28"/>
          <w:szCs w:val="28"/>
        </w:rPr>
        <w:fldChar w:fldCharType="separate"/>
      </w:r>
      <w:r>
        <w:rPr>
          <w:rFonts w:hint="eastAsia" w:ascii="Times New Roman" w:hAnsi="Times New Roman" w:eastAsia="方正黑体_GBK" w:cs="Times New Roman"/>
          <w:bCs/>
          <w:spacing w:val="-17"/>
          <w:sz w:val="28"/>
          <w:szCs w:val="28"/>
        </w:rPr>
        <w:t>第八篇</w:t>
      </w:r>
      <w:r>
        <w:rPr>
          <w:rFonts w:hint="default" w:ascii="Times New Roman" w:hAnsi="Times New Roman" w:eastAsia="方正黑体_GBK" w:cs="Times New Roman"/>
          <w:bCs/>
          <w:spacing w:val="-17"/>
          <w:sz w:val="28"/>
          <w:szCs w:val="28"/>
        </w:rPr>
        <w:t xml:space="preserve"> </w:t>
      </w:r>
      <w:r>
        <w:rPr>
          <w:rFonts w:hint="eastAsia" w:ascii="Times New Roman" w:hAnsi="Times New Roman" w:eastAsia="方正黑体_GBK" w:cs="Times New Roman"/>
          <w:bCs/>
          <w:spacing w:val="-17"/>
          <w:sz w:val="28"/>
          <w:szCs w:val="28"/>
        </w:rPr>
        <w:t>加快建设丝绸之路经济带核心区</w:t>
      </w:r>
      <w:r>
        <w:rPr>
          <w:rFonts w:hint="default" w:ascii="Times New Roman" w:hAnsi="Times New Roman" w:eastAsia="方正黑体_GBK" w:cs="Times New Roman"/>
          <w:bCs/>
          <w:spacing w:val="-17"/>
          <w:sz w:val="28"/>
          <w:szCs w:val="28"/>
        </w:rPr>
        <w:t xml:space="preserve">  </w:t>
      </w:r>
      <w:r>
        <w:rPr>
          <w:rFonts w:hint="eastAsia" w:ascii="Times New Roman" w:hAnsi="Times New Roman" w:eastAsia="方正黑体_GBK" w:cs="Times New Roman"/>
          <w:bCs/>
          <w:spacing w:val="-17"/>
          <w:sz w:val="28"/>
          <w:szCs w:val="28"/>
        </w:rPr>
        <w:t>打造我国内陆开放和沿边开放高地</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PAGEREF _Toc75285118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- 46 -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方正黑体_GBK" w:cs="Times New Roman"/>
          <w:bCs/>
          <w:sz w:val="28"/>
          <w:szCs w:val="28"/>
        </w:rPr>
        <w:fldChar w:fldCharType="end"/>
      </w:r>
    </w:p>
    <w:p w14:paraId="79C622EB">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"_Toc75285119"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第一章  加强联通基础平台建设</w:t>
      </w:r>
      <w:r>
        <w:rPr>
          <w:rFonts w:hint="eastAsia" w:ascii="Times New Roman" w:hAnsi="Times New Roman" w:cs="Times New Roman"/>
          <w:sz w:val="28"/>
          <w:szCs w:val="28"/>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_Toc75285119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- 46 -</w:t>
      </w:r>
      <w:r>
        <w:rPr>
          <w:rFonts w:hint="eastAsia" w:ascii="Times New Roman" w:hAnsi="Times New Roman" w:cs="Times New Roman"/>
          <w:sz w:val="28"/>
          <w:szCs w:val="28"/>
          <w:lang w:val="en-US" w:eastAsia="zh-CN"/>
        </w:rPr>
        <w:fldChar w:fldCharType="end"/>
      </w:r>
      <w:r>
        <w:rPr>
          <w:rFonts w:hint="eastAsia" w:ascii="方正楷体_GBK" w:hAnsi="方正楷体_GBK" w:eastAsia="方正楷体_GBK" w:cs="方正楷体_GBK"/>
          <w:color w:val="000000"/>
          <w:sz w:val="28"/>
          <w:szCs w:val="28"/>
        </w:rPr>
        <w:fldChar w:fldCharType="end"/>
      </w:r>
    </w:p>
    <w:p w14:paraId="488C7AC2">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"_Toc75285120"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第二章  加强国际经贸领域交流互动</w:t>
      </w:r>
      <w:r>
        <w:rPr>
          <w:rFonts w:hint="eastAsia" w:ascii="Times New Roman" w:hAnsi="Times New Roman" w:cs="Times New Roman"/>
          <w:sz w:val="28"/>
          <w:szCs w:val="28"/>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_Toc75285120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- 46 -</w:t>
      </w:r>
      <w:r>
        <w:rPr>
          <w:rFonts w:hint="eastAsia" w:ascii="Times New Roman" w:hAnsi="Times New Roman" w:cs="Times New Roman"/>
          <w:sz w:val="28"/>
          <w:szCs w:val="28"/>
          <w:lang w:val="en-US" w:eastAsia="zh-CN"/>
        </w:rPr>
        <w:fldChar w:fldCharType="end"/>
      </w:r>
      <w:r>
        <w:rPr>
          <w:rFonts w:hint="eastAsia" w:ascii="方正楷体_GBK" w:hAnsi="方正楷体_GBK" w:eastAsia="方正楷体_GBK" w:cs="方正楷体_GBK"/>
          <w:color w:val="000000"/>
          <w:sz w:val="28"/>
          <w:szCs w:val="28"/>
        </w:rPr>
        <w:fldChar w:fldCharType="end"/>
      </w:r>
    </w:p>
    <w:p w14:paraId="78E66B39">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"_Toc75285121"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第三章  发挥园区开放引领作用</w:t>
      </w:r>
      <w:r>
        <w:rPr>
          <w:rFonts w:hint="eastAsia" w:ascii="Times New Roman" w:hAnsi="Times New Roman" w:cs="Times New Roman"/>
          <w:sz w:val="28"/>
          <w:szCs w:val="28"/>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_Toc75285121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- 47 -</w:t>
      </w:r>
      <w:r>
        <w:rPr>
          <w:rFonts w:hint="eastAsia" w:ascii="Times New Roman" w:hAnsi="Times New Roman" w:cs="Times New Roman"/>
          <w:sz w:val="28"/>
          <w:szCs w:val="28"/>
          <w:lang w:val="en-US" w:eastAsia="zh-CN"/>
        </w:rPr>
        <w:fldChar w:fldCharType="end"/>
      </w:r>
      <w:r>
        <w:rPr>
          <w:rFonts w:hint="eastAsia" w:ascii="方正楷体_GBK" w:hAnsi="方正楷体_GBK" w:eastAsia="方正楷体_GBK" w:cs="方正楷体_GBK"/>
          <w:color w:val="000000"/>
          <w:sz w:val="28"/>
          <w:szCs w:val="28"/>
        </w:rPr>
        <w:fldChar w:fldCharType="end"/>
      </w:r>
    </w:p>
    <w:p w14:paraId="179AEE5C">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"_Toc75285122"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第四章  培育外贸增长新动能</w:t>
      </w:r>
      <w:r>
        <w:rPr>
          <w:rFonts w:hint="eastAsia" w:ascii="Times New Roman" w:hAnsi="Times New Roman" w:cs="Times New Roman"/>
          <w:sz w:val="28"/>
          <w:szCs w:val="28"/>
        </w:rPr>
        <w:tab/>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PAGEREF _Toc75285122 \h </w:instrText>
      </w:r>
      <w:r>
        <w:rPr>
          <w:rFonts w:hint="eastAsia" w:ascii="Times New Roman" w:hAnsi="Times New Roman" w:cs="Times New Roman"/>
          <w:sz w:val="28"/>
          <w:szCs w:val="28"/>
          <w:lang w:val="en-US" w:eastAsia="zh-CN"/>
        </w:rPr>
        <w:fldChar w:fldCharType="separate"/>
      </w:r>
      <w:r>
        <w:rPr>
          <w:rFonts w:hint="eastAsia" w:ascii="Times New Roman" w:hAnsi="Times New Roman" w:cs="Times New Roman"/>
          <w:sz w:val="28"/>
          <w:szCs w:val="28"/>
          <w:lang w:val="en-US" w:eastAsia="zh-CN"/>
        </w:rPr>
        <w:t>- 47 -</w:t>
      </w:r>
      <w:r>
        <w:rPr>
          <w:rFonts w:hint="eastAsia" w:ascii="Times New Roman" w:hAnsi="Times New Roman" w:cs="Times New Roman"/>
          <w:sz w:val="28"/>
          <w:szCs w:val="28"/>
          <w:lang w:val="en-US" w:eastAsia="zh-CN"/>
        </w:rPr>
        <w:fldChar w:fldCharType="end"/>
      </w:r>
      <w:r>
        <w:rPr>
          <w:rFonts w:hint="eastAsia" w:ascii="方正楷体_GBK" w:hAnsi="方正楷体_GBK" w:eastAsia="方正楷体_GBK" w:cs="方正楷体_GBK"/>
          <w:color w:val="000000"/>
          <w:sz w:val="28"/>
          <w:szCs w:val="28"/>
        </w:rPr>
        <w:fldChar w:fldCharType="end"/>
      </w:r>
    </w:p>
    <w:p w14:paraId="276250C6">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"_Toc75285123"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第五章   提高对内对外开放水平</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_Toc75285123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- 48 -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7E6D9845">
      <w:pPr>
        <w:pStyle w:val="11"/>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ascii="Times New Roman" w:hAnsi="Times New Roman"/>
          <w:sz w:val="28"/>
          <w:szCs w:val="28"/>
        </w:rPr>
      </w:pPr>
      <w:r>
        <w:rPr>
          <w:rFonts w:hint="default" w:ascii="Times New Roman" w:hAnsi="Times New Roman" w:eastAsia="方正黑体_GBK" w:cs="Times New Roman"/>
          <w:bCs/>
          <w:sz w:val="28"/>
          <w:szCs w:val="28"/>
        </w:rPr>
        <w:fldChar w:fldCharType="begin"/>
      </w:r>
      <w:r>
        <w:rPr>
          <w:rFonts w:hint="default" w:ascii="Times New Roman" w:hAnsi="Times New Roman" w:eastAsia="方正黑体_GBK" w:cs="Times New Roman"/>
          <w:bCs/>
          <w:sz w:val="28"/>
          <w:szCs w:val="28"/>
        </w:rPr>
        <w:instrText xml:space="preserve"> HYPERLINK \l "_Toc75285124" </w:instrText>
      </w:r>
      <w:r>
        <w:rPr>
          <w:rFonts w:hint="default" w:ascii="Times New Roman" w:hAnsi="Times New Roman" w:eastAsia="方正黑体_GBK" w:cs="Times New Roman"/>
          <w:bCs/>
          <w:sz w:val="28"/>
          <w:szCs w:val="28"/>
        </w:rPr>
        <w:fldChar w:fldCharType="separate"/>
      </w:r>
      <w:r>
        <w:rPr>
          <w:rFonts w:hint="eastAsia" w:ascii="Times New Roman" w:hAnsi="Times New Roman" w:eastAsia="方正黑体_GBK" w:cs="Times New Roman"/>
          <w:bCs/>
          <w:sz w:val="28"/>
          <w:szCs w:val="28"/>
        </w:rPr>
        <w:t>第九篇</w:t>
      </w:r>
      <w:r>
        <w:rPr>
          <w:rFonts w:hint="default" w:ascii="Times New Roman" w:hAnsi="Times New Roman" w:eastAsia="方正黑体_GBK" w:cs="Times New Roman"/>
          <w:bCs/>
          <w:sz w:val="28"/>
          <w:szCs w:val="28"/>
        </w:rPr>
        <w:t xml:space="preserve">  </w:t>
      </w:r>
      <w:r>
        <w:rPr>
          <w:rFonts w:hint="eastAsia" w:ascii="Times New Roman" w:hAnsi="Times New Roman" w:eastAsia="方正黑体_GBK" w:cs="Times New Roman"/>
          <w:bCs/>
          <w:sz w:val="28"/>
          <w:szCs w:val="28"/>
        </w:rPr>
        <w:t>全面深化改革</w:t>
      </w:r>
      <w:r>
        <w:rPr>
          <w:rFonts w:hint="default" w:ascii="Times New Roman" w:hAnsi="Times New Roman" w:eastAsia="方正黑体_GBK" w:cs="Times New Roman"/>
          <w:bCs/>
          <w:sz w:val="28"/>
          <w:szCs w:val="28"/>
        </w:rPr>
        <w:t xml:space="preserve"> </w:t>
      </w:r>
      <w:r>
        <w:rPr>
          <w:rFonts w:hint="eastAsia" w:ascii="Times New Roman" w:hAnsi="Times New Roman" w:eastAsia="方正黑体_GBK" w:cs="Times New Roman"/>
          <w:bCs/>
          <w:sz w:val="28"/>
          <w:szCs w:val="28"/>
        </w:rPr>
        <w:t>增强经济发展的动力活力</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PAGEREF _Toc75285124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- 48 -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方正黑体_GBK" w:cs="Times New Roman"/>
          <w:bCs/>
          <w:sz w:val="28"/>
          <w:szCs w:val="28"/>
        </w:rPr>
        <w:fldChar w:fldCharType="end"/>
      </w:r>
    </w:p>
    <w:p w14:paraId="75877262">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"_Toc75285125"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第一章  坚持和完善社会主义基本经济制度</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_Toc75285125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- 48 -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7AE5F9A9">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"_Toc75285126"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第二章  深化财税金融体制改革</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_Toc75285126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- 49 -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340CD917">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"_Toc75285127"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第三章  深化投融资体制改革</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_Toc75285127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- 50 -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2E9F5FC6">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"_Toc75285128"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第四章  推进高标准市场体系建设</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_Toc75285128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- 50 -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1778A1A5">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"_Toc75285129"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第五章  着力优化营商环境</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_Toc75285129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- 51 -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6BC59662">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"_Toc75285130"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第六章  深化农村改革</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_Toc75285130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- 52 -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14FBA9FD">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"_Toc75285131"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第七章  深化社会事业改革</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_Toc75285131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- 52 -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37381627">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"_Toc75285132"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第八章  深化收入分配制度改革</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_Toc75285132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- 53 -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1498BDBE">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"_Toc75285133"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第九章  深化人才发展体制机制改革</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_Toc75285133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- 53 -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5FD12F8C">
      <w:pPr>
        <w:pStyle w:val="11"/>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bCs/>
          <w:sz w:val="28"/>
          <w:szCs w:val="28"/>
        </w:rPr>
      </w:pPr>
      <w:r>
        <w:rPr>
          <w:rFonts w:hint="default" w:ascii="Times New Roman" w:hAnsi="Times New Roman" w:eastAsia="方正黑体_GBK" w:cs="Times New Roman"/>
          <w:bCs/>
          <w:sz w:val="28"/>
          <w:szCs w:val="28"/>
        </w:rPr>
        <w:fldChar w:fldCharType="begin"/>
      </w:r>
      <w:r>
        <w:rPr>
          <w:rFonts w:hint="default" w:ascii="Times New Roman" w:hAnsi="Times New Roman" w:eastAsia="方正黑体_GBK" w:cs="Times New Roman"/>
          <w:bCs/>
          <w:sz w:val="28"/>
          <w:szCs w:val="28"/>
        </w:rPr>
        <w:instrText xml:space="preserve"> HYPERLINK \l "_Toc75285134" </w:instrText>
      </w:r>
      <w:r>
        <w:rPr>
          <w:rFonts w:hint="default" w:ascii="Times New Roman" w:hAnsi="Times New Roman" w:eastAsia="方正黑体_GBK" w:cs="Times New Roman"/>
          <w:bCs/>
          <w:sz w:val="28"/>
          <w:szCs w:val="28"/>
        </w:rPr>
        <w:fldChar w:fldCharType="separate"/>
      </w:r>
      <w:r>
        <w:rPr>
          <w:rFonts w:hint="eastAsia" w:ascii="Times New Roman" w:hAnsi="Times New Roman" w:eastAsia="方正黑体_GBK" w:cs="Times New Roman"/>
          <w:bCs/>
          <w:sz w:val="28"/>
          <w:szCs w:val="28"/>
        </w:rPr>
        <w:t>第十篇</w:t>
      </w:r>
      <w:r>
        <w:rPr>
          <w:rFonts w:hint="default" w:ascii="Times New Roman" w:hAnsi="Times New Roman" w:eastAsia="方正黑体_GBK" w:cs="Times New Roman"/>
          <w:bCs/>
          <w:sz w:val="28"/>
          <w:szCs w:val="28"/>
        </w:rPr>
        <w:t xml:space="preserve"> </w:t>
      </w:r>
      <w:r>
        <w:rPr>
          <w:rFonts w:hint="eastAsia" w:ascii="Times New Roman" w:hAnsi="Times New Roman" w:eastAsia="方正黑体_GBK" w:cs="Times New Roman"/>
          <w:bCs/>
          <w:sz w:val="28"/>
          <w:szCs w:val="28"/>
        </w:rPr>
        <w:t>加快推进新型城镇化</w:t>
      </w:r>
      <w:r>
        <w:rPr>
          <w:rFonts w:hint="default" w:ascii="Times New Roman" w:hAnsi="Times New Roman" w:eastAsia="方正黑体_GBK" w:cs="Times New Roman"/>
          <w:bCs/>
          <w:sz w:val="28"/>
          <w:szCs w:val="28"/>
        </w:rPr>
        <w:t xml:space="preserve"> </w:t>
      </w:r>
      <w:r>
        <w:rPr>
          <w:rFonts w:hint="eastAsia" w:ascii="Times New Roman" w:hAnsi="Times New Roman" w:eastAsia="方正黑体_GBK" w:cs="Times New Roman"/>
          <w:bCs/>
          <w:sz w:val="28"/>
          <w:szCs w:val="28"/>
        </w:rPr>
        <w:t>全面提升城镇化质量</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PAGEREF _Toc75285134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- 54 -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方正黑体_GBK" w:cs="Times New Roman"/>
          <w:bCs/>
          <w:sz w:val="28"/>
          <w:szCs w:val="28"/>
        </w:rPr>
        <w:fldChar w:fldCharType="end"/>
      </w:r>
    </w:p>
    <w:p w14:paraId="491F97AC">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"_Toc75285135"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第一章  促进城乡融合发展</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_Toc75285135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- 54 -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2AD1B11B">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"_Toc75285136"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第二章  增强城区管理系统性</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_Toc75285136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- 56 -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7AC1A926">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"_Toc75285137"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第三章  着力推动现代城市高质量发展</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_Toc75285137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- 57 -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760AB60F">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"_Toc75285138"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第四章  积极发展特色小城镇</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_Toc75285138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- 57 -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052E4F56">
      <w:pPr>
        <w:pStyle w:val="11"/>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bCs/>
          <w:sz w:val="28"/>
          <w:szCs w:val="28"/>
        </w:rPr>
      </w:pPr>
      <w:r>
        <w:rPr>
          <w:rFonts w:hint="default" w:ascii="Times New Roman" w:hAnsi="Times New Roman" w:eastAsia="方正黑体_GBK" w:cs="Times New Roman"/>
          <w:bCs/>
          <w:sz w:val="28"/>
          <w:szCs w:val="28"/>
        </w:rPr>
        <w:fldChar w:fldCharType="begin"/>
      </w:r>
      <w:r>
        <w:rPr>
          <w:rFonts w:hint="default" w:ascii="Times New Roman" w:hAnsi="Times New Roman" w:eastAsia="方正黑体_GBK" w:cs="Times New Roman"/>
          <w:bCs/>
          <w:sz w:val="28"/>
          <w:szCs w:val="28"/>
        </w:rPr>
        <w:instrText xml:space="preserve"> HYPERLINK \l "_Toc75285139" </w:instrText>
      </w:r>
      <w:r>
        <w:rPr>
          <w:rFonts w:hint="default" w:ascii="Times New Roman" w:hAnsi="Times New Roman" w:eastAsia="方正黑体_GBK" w:cs="Times New Roman"/>
          <w:bCs/>
          <w:sz w:val="28"/>
          <w:szCs w:val="28"/>
        </w:rPr>
        <w:fldChar w:fldCharType="separate"/>
      </w:r>
      <w:r>
        <w:rPr>
          <w:rFonts w:hint="eastAsia" w:ascii="Times New Roman" w:hAnsi="Times New Roman" w:eastAsia="方正黑体_GBK" w:cs="Times New Roman"/>
          <w:bCs/>
          <w:sz w:val="28"/>
          <w:szCs w:val="28"/>
        </w:rPr>
        <w:t>第十一篇</w:t>
      </w:r>
      <w:r>
        <w:rPr>
          <w:rFonts w:hint="default" w:ascii="Times New Roman" w:hAnsi="Times New Roman" w:eastAsia="方正黑体_GBK" w:cs="Times New Roman"/>
          <w:bCs/>
          <w:sz w:val="28"/>
          <w:szCs w:val="28"/>
        </w:rPr>
        <w:t xml:space="preserve"> </w:t>
      </w:r>
      <w:r>
        <w:rPr>
          <w:rFonts w:hint="eastAsia" w:ascii="Times New Roman" w:hAnsi="Times New Roman" w:eastAsia="方正黑体_GBK" w:cs="Times New Roman"/>
          <w:bCs/>
          <w:sz w:val="28"/>
          <w:szCs w:val="28"/>
        </w:rPr>
        <w:t>推进文化润疆</w:t>
      </w:r>
      <w:r>
        <w:rPr>
          <w:rFonts w:hint="default" w:ascii="Times New Roman" w:hAnsi="Times New Roman" w:eastAsia="方正黑体_GBK" w:cs="Times New Roman"/>
          <w:bCs/>
          <w:sz w:val="28"/>
          <w:szCs w:val="28"/>
        </w:rPr>
        <w:t xml:space="preserve"> </w:t>
      </w:r>
      <w:r>
        <w:rPr>
          <w:rFonts w:hint="eastAsia" w:ascii="Times New Roman" w:hAnsi="Times New Roman" w:eastAsia="方正黑体_GBK" w:cs="Times New Roman"/>
          <w:bCs/>
          <w:sz w:val="28"/>
          <w:szCs w:val="28"/>
        </w:rPr>
        <w:t>筑牢共同团结奋斗的思想基础</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PAGEREF _Toc75285139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- 58 -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方正黑体_GBK" w:cs="Times New Roman"/>
          <w:bCs/>
          <w:sz w:val="28"/>
          <w:szCs w:val="28"/>
        </w:rPr>
        <w:fldChar w:fldCharType="end"/>
      </w:r>
    </w:p>
    <w:p w14:paraId="70FA4524">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"_Toc75285140"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第一章  铸牢中华民族共同体意识</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_Toc75285140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- 58 -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43A23600">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"_Toc75285141"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第二章  深入实施文化润疆工程</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_Toc75285141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- 59 -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6D770155">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"_Toc75285142"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第三章  提高社会文明程度</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_Toc75285142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- 60 -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36314F58">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"_Toc75285143"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第四章  提升公共文化服务水平</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_Toc75285143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- 61 -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48F0C731">
      <w:pPr>
        <w:pStyle w:val="11"/>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bCs/>
          <w:sz w:val="28"/>
          <w:szCs w:val="28"/>
        </w:rPr>
      </w:pPr>
      <w:r>
        <w:rPr>
          <w:rFonts w:hint="default" w:ascii="Times New Roman" w:hAnsi="Times New Roman" w:eastAsia="方正黑体_GBK" w:cs="Times New Roman"/>
          <w:bCs/>
          <w:sz w:val="28"/>
          <w:szCs w:val="28"/>
        </w:rPr>
        <w:fldChar w:fldCharType="begin"/>
      </w:r>
      <w:r>
        <w:rPr>
          <w:rFonts w:hint="default" w:ascii="Times New Roman" w:hAnsi="Times New Roman" w:eastAsia="方正黑体_GBK" w:cs="Times New Roman"/>
          <w:bCs/>
          <w:sz w:val="28"/>
          <w:szCs w:val="28"/>
        </w:rPr>
        <w:instrText xml:space="preserve"> HYPERLINK \l "_Toc75285144" </w:instrText>
      </w:r>
      <w:r>
        <w:rPr>
          <w:rFonts w:hint="default" w:ascii="Times New Roman" w:hAnsi="Times New Roman" w:eastAsia="方正黑体_GBK" w:cs="Times New Roman"/>
          <w:bCs/>
          <w:sz w:val="28"/>
          <w:szCs w:val="28"/>
        </w:rPr>
        <w:fldChar w:fldCharType="separate"/>
      </w:r>
      <w:r>
        <w:rPr>
          <w:rFonts w:hint="eastAsia" w:ascii="Times New Roman" w:hAnsi="Times New Roman" w:eastAsia="方正黑体_GBK" w:cs="Times New Roman"/>
          <w:bCs/>
          <w:sz w:val="28"/>
          <w:szCs w:val="28"/>
        </w:rPr>
        <w:t>第十二篇</w:t>
      </w:r>
      <w:r>
        <w:rPr>
          <w:rFonts w:hint="default" w:ascii="Times New Roman" w:hAnsi="Times New Roman" w:eastAsia="方正黑体_GBK" w:cs="Times New Roman"/>
          <w:bCs/>
          <w:sz w:val="28"/>
          <w:szCs w:val="28"/>
        </w:rPr>
        <w:t xml:space="preserve">  </w:t>
      </w:r>
      <w:r>
        <w:rPr>
          <w:rFonts w:hint="eastAsia" w:ascii="Times New Roman" w:hAnsi="Times New Roman" w:eastAsia="方正黑体_GBK" w:cs="Times New Roman"/>
          <w:bCs/>
          <w:sz w:val="28"/>
          <w:szCs w:val="28"/>
        </w:rPr>
        <w:t>加强生态文明建设</w:t>
      </w:r>
      <w:r>
        <w:rPr>
          <w:rFonts w:hint="default" w:ascii="Times New Roman" w:hAnsi="Times New Roman" w:eastAsia="方正黑体_GBK" w:cs="Times New Roman"/>
          <w:bCs/>
          <w:sz w:val="28"/>
          <w:szCs w:val="28"/>
        </w:rPr>
        <w:t xml:space="preserve"> </w:t>
      </w:r>
      <w:r>
        <w:rPr>
          <w:rFonts w:hint="eastAsia" w:ascii="Times New Roman" w:hAnsi="Times New Roman" w:eastAsia="方正黑体_GBK" w:cs="Times New Roman"/>
          <w:bCs/>
          <w:sz w:val="28"/>
          <w:szCs w:val="28"/>
        </w:rPr>
        <w:t>努力建设美丽伊吾</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PAGEREF _Toc75285144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- 62 -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方正黑体_GBK" w:cs="Times New Roman"/>
          <w:bCs/>
          <w:sz w:val="28"/>
          <w:szCs w:val="28"/>
        </w:rPr>
        <w:fldChar w:fldCharType="end"/>
      </w:r>
    </w:p>
    <w:p w14:paraId="05C1A00A">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"_Toc75285145"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第一章  健全生态环境保护机制</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_Toc75285145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- 62 -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2E458BF4">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"_Toc75285146"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第二章  推动绿色低碳循环发展</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_Toc75285146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- 63 -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51AB5B48">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"_Toc75285147"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第三章  持续推进污染防治</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_Toc75285147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- 64 -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3D94FFBD">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"_Toc75285148"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第四章  加强生态系统保护修复</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_Toc75285148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- 67 -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63CAB212">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"_Toc75285149"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第五章  强化资源节约利用</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_Toc75285149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- 68 -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76763B27">
      <w:pPr>
        <w:pStyle w:val="11"/>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bCs/>
          <w:sz w:val="28"/>
          <w:szCs w:val="28"/>
        </w:rPr>
      </w:pPr>
      <w:r>
        <w:rPr>
          <w:rFonts w:hint="default" w:ascii="Times New Roman" w:hAnsi="Times New Roman" w:eastAsia="方正黑体_GBK" w:cs="Times New Roman"/>
          <w:bCs/>
          <w:sz w:val="28"/>
          <w:szCs w:val="28"/>
        </w:rPr>
        <w:fldChar w:fldCharType="begin"/>
      </w:r>
      <w:r>
        <w:rPr>
          <w:rFonts w:hint="default" w:ascii="Times New Roman" w:hAnsi="Times New Roman" w:eastAsia="方正黑体_GBK" w:cs="Times New Roman"/>
          <w:bCs/>
          <w:sz w:val="28"/>
          <w:szCs w:val="28"/>
        </w:rPr>
        <w:instrText xml:space="preserve"> HYPERLINK \l "_Toc75285150" </w:instrText>
      </w:r>
      <w:r>
        <w:rPr>
          <w:rFonts w:hint="default" w:ascii="Times New Roman" w:hAnsi="Times New Roman" w:eastAsia="方正黑体_GBK" w:cs="Times New Roman"/>
          <w:bCs/>
          <w:sz w:val="28"/>
          <w:szCs w:val="28"/>
        </w:rPr>
        <w:fldChar w:fldCharType="separate"/>
      </w:r>
      <w:r>
        <w:rPr>
          <w:rFonts w:hint="eastAsia" w:ascii="Times New Roman" w:hAnsi="Times New Roman" w:eastAsia="方正黑体_GBK" w:cs="Times New Roman"/>
          <w:bCs/>
          <w:sz w:val="28"/>
          <w:szCs w:val="28"/>
        </w:rPr>
        <w:t>第十三篇</w:t>
      </w:r>
      <w:r>
        <w:rPr>
          <w:rFonts w:hint="default" w:ascii="Times New Roman" w:hAnsi="Times New Roman" w:eastAsia="方正黑体_GBK" w:cs="Times New Roman"/>
          <w:bCs/>
          <w:sz w:val="28"/>
          <w:szCs w:val="28"/>
        </w:rPr>
        <w:t xml:space="preserve"> </w:t>
      </w:r>
      <w:r>
        <w:rPr>
          <w:rFonts w:hint="eastAsia" w:ascii="Times New Roman" w:hAnsi="Times New Roman" w:eastAsia="方正黑体_GBK" w:cs="Times New Roman"/>
          <w:bCs/>
          <w:sz w:val="28"/>
          <w:szCs w:val="28"/>
        </w:rPr>
        <w:t>大力保障和改善民生</w:t>
      </w:r>
      <w:r>
        <w:rPr>
          <w:rFonts w:hint="default" w:ascii="Times New Roman" w:hAnsi="Times New Roman" w:eastAsia="方正黑体_GBK" w:cs="Times New Roman"/>
          <w:bCs/>
          <w:sz w:val="28"/>
          <w:szCs w:val="28"/>
        </w:rPr>
        <w:t xml:space="preserve"> </w:t>
      </w:r>
      <w:r>
        <w:rPr>
          <w:rFonts w:hint="eastAsia" w:ascii="Times New Roman" w:hAnsi="Times New Roman" w:eastAsia="方正黑体_GBK" w:cs="Times New Roman"/>
          <w:bCs/>
          <w:sz w:val="28"/>
          <w:szCs w:val="28"/>
        </w:rPr>
        <w:t>增进各族群众福祉</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PAGEREF _Toc75285150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- 70 -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方正黑体_GBK" w:cs="Times New Roman"/>
          <w:bCs/>
          <w:sz w:val="28"/>
          <w:szCs w:val="28"/>
        </w:rPr>
        <w:fldChar w:fldCharType="end"/>
      </w:r>
    </w:p>
    <w:p w14:paraId="2E4FF50F">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"_Toc75285151"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第一章  实施就业优先战略</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_Toc75285151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- 71 -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12EB6B37">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"_Toc75285152"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第二章  加快提升教育质量水平</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_Toc75285152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- 72 -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2F7AEB2A">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"_Toc75285153"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第三章  提升医疗卫生水平</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_Toc75285153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- 73 -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52DD883B">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"_Toc75285154"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第四章  完善住房保障制度</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_Toc75285154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- 75 -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6C784089">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"_Toc75285155"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第五章  健全完善社会保障制度</w:t>
      </w:r>
      <w:r>
        <w:rPr>
          <w:rFonts w:hint="eastAsia" w:ascii="方正楷体_GBK" w:hAnsi="方正楷体_GBK" w:eastAsia="方正楷体_GBK" w:cs="方正楷体_GBK"/>
          <w:color w:val="000000"/>
          <w:sz w:val="28"/>
          <w:szCs w:val="28"/>
          <w:lang w:val="en-US" w:eastAsia="zh-CN"/>
        </w:rPr>
        <w:t>体系</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_Toc75285155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- 76 -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0C25D85F">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"_Toc75285156"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第六章  健全完善公共安全体系</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_Toc75285156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- 77 -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68C452C7">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"_Toc75285157"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第七章  实施稳定惠民工程</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_Toc75285157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- 78 -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4E3C80EE">
      <w:pPr>
        <w:pStyle w:val="11"/>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bCs/>
          <w:sz w:val="28"/>
          <w:szCs w:val="28"/>
        </w:rPr>
      </w:pPr>
      <w:r>
        <w:rPr>
          <w:rFonts w:hint="default" w:ascii="Times New Roman" w:hAnsi="Times New Roman" w:eastAsia="方正黑体_GBK" w:cs="Times New Roman"/>
          <w:bCs/>
          <w:sz w:val="28"/>
          <w:szCs w:val="28"/>
        </w:rPr>
        <w:fldChar w:fldCharType="begin"/>
      </w:r>
      <w:r>
        <w:rPr>
          <w:rFonts w:hint="default" w:ascii="Times New Roman" w:hAnsi="Times New Roman" w:eastAsia="方正黑体_GBK" w:cs="Times New Roman"/>
          <w:bCs/>
          <w:sz w:val="28"/>
          <w:szCs w:val="28"/>
        </w:rPr>
        <w:instrText xml:space="preserve"> HYPERLINK \l "_Toc75285158" </w:instrText>
      </w:r>
      <w:r>
        <w:rPr>
          <w:rFonts w:hint="default" w:ascii="Times New Roman" w:hAnsi="Times New Roman" w:eastAsia="方正黑体_GBK" w:cs="Times New Roman"/>
          <w:bCs/>
          <w:sz w:val="28"/>
          <w:szCs w:val="28"/>
        </w:rPr>
        <w:fldChar w:fldCharType="separate"/>
      </w:r>
      <w:r>
        <w:rPr>
          <w:rFonts w:hint="eastAsia" w:ascii="Times New Roman" w:hAnsi="Times New Roman" w:eastAsia="方正黑体_GBK" w:cs="Times New Roman"/>
          <w:bCs/>
          <w:spacing w:val="-23"/>
          <w:sz w:val="28"/>
          <w:szCs w:val="28"/>
        </w:rPr>
        <w:t>第十四篇</w:t>
      </w:r>
      <w:r>
        <w:rPr>
          <w:rFonts w:hint="default" w:ascii="Times New Roman" w:hAnsi="Times New Roman" w:eastAsia="方正黑体_GBK" w:cs="Times New Roman"/>
          <w:bCs/>
          <w:spacing w:val="-23"/>
          <w:sz w:val="28"/>
          <w:szCs w:val="28"/>
        </w:rPr>
        <w:t xml:space="preserve">  </w:t>
      </w:r>
      <w:r>
        <w:rPr>
          <w:rFonts w:hint="eastAsia" w:ascii="Times New Roman" w:hAnsi="Times New Roman" w:eastAsia="方正黑体_GBK" w:cs="Times New Roman"/>
          <w:bCs/>
          <w:spacing w:val="-23"/>
          <w:sz w:val="28"/>
          <w:szCs w:val="28"/>
        </w:rPr>
        <w:t>推进伊吾社会治理体系和治理能力现代化</w:t>
      </w:r>
      <w:r>
        <w:rPr>
          <w:rFonts w:hint="default" w:ascii="Times New Roman" w:hAnsi="Times New Roman" w:eastAsia="方正黑体_GBK" w:cs="Times New Roman"/>
          <w:bCs/>
          <w:spacing w:val="-23"/>
          <w:sz w:val="28"/>
          <w:szCs w:val="28"/>
        </w:rPr>
        <w:t xml:space="preserve"> </w:t>
      </w:r>
      <w:r>
        <w:rPr>
          <w:rFonts w:hint="eastAsia" w:ascii="Times New Roman" w:hAnsi="Times New Roman" w:eastAsia="方正黑体_GBK" w:cs="Times New Roman"/>
          <w:bCs/>
          <w:spacing w:val="-23"/>
          <w:sz w:val="28"/>
          <w:szCs w:val="28"/>
        </w:rPr>
        <w:t>建设更高水平的平安伊吾</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PAGEREF _Toc75285158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- 78 -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方正黑体_GBK" w:cs="Times New Roman"/>
          <w:bCs/>
          <w:sz w:val="28"/>
          <w:szCs w:val="28"/>
        </w:rPr>
        <w:fldChar w:fldCharType="end"/>
      </w:r>
    </w:p>
    <w:p w14:paraId="43C7D1CA">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"_Toc75285159"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第一章  加强法治伊吾建设</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_Toc75285159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- 79 -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654DA034">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"_Toc75285160"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第二章  加强和创新社会治理</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_Toc75285160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- 79 -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68C891B3">
      <w:pPr>
        <w:pStyle w:val="11"/>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ascii="Times New Roman" w:hAnsi="Times New Roman"/>
          <w:sz w:val="28"/>
          <w:szCs w:val="28"/>
        </w:rPr>
      </w:pPr>
      <w:r>
        <w:rPr>
          <w:rFonts w:hint="default" w:ascii="Times New Roman" w:hAnsi="Times New Roman" w:eastAsia="方正黑体_GBK" w:cs="Times New Roman"/>
          <w:bCs/>
          <w:sz w:val="28"/>
          <w:szCs w:val="28"/>
        </w:rPr>
        <w:fldChar w:fldCharType="begin"/>
      </w:r>
      <w:r>
        <w:rPr>
          <w:rFonts w:hint="default" w:ascii="Times New Roman" w:hAnsi="Times New Roman" w:eastAsia="方正黑体_GBK" w:cs="Times New Roman"/>
          <w:bCs/>
          <w:sz w:val="28"/>
          <w:szCs w:val="28"/>
        </w:rPr>
        <w:instrText xml:space="preserve"> HYPERLINK \l "_Toc75285161" </w:instrText>
      </w:r>
      <w:r>
        <w:rPr>
          <w:rFonts w:hint="default" w:ascii="Times New Roman" w:hAnsi="Times New Roman" w:eastAsia="方正黑体_GBK" w:cs="Times New Roman"/>
          <w:bCs/>
          <w:sz w:val="28"/>
          <w:szCs w:val="28"/>
        </w:rPr>
        <w:fldChar w:fldCharType="separate"/>
      </w:r>
      <w:r>
        <w:rPr>
          <w:rFonts w:hint="eastAsia" w:ascii="Times New Roman" w:hAnsi="Times New Roman" w:eastAsia="方正黑体_GBK" w:cs="Times New Roman"/>
          <w:bCs/>
          <w:sz w:val="28"/>
          <w:szCs w:val="28"/>
        </w:rPr>
        <w:t>第十五篇</w:t>
      </w:r>
      <w:r>
        <w:rPr>
          <w:rFonts w:hint="default" w:ascii="Times New Roman" w:hAnsi="Times New Roman" w:eastAsia="方正黑体_GBK" w:cs="Times New Roman"/>
          <w:bCs/>
          <w:sz w:val="28"/>
          <w:szCs w:val="28"/>
        </w:rPr>
        <w:t xml:space="preserve">  </w:t>
      </w:r>
      <w:r>
        <w:rPr>
          <w:rFonts w:hint="eastAsia" w:ascii="Times New Roman" w:hAnsi="Times New Roman" w:eastAsia="方正黑体_GBK" w:cs="Times New Roman"/>
          <w:bCs/>
          <w:sz w:val="28"/>
          <w:szCs w:val="28"/>
        </w:rPr>
        <w:t>深化对口援疆战略</w:t>
      </w:r>
      <w:r>
        <w:rPr>
          <w:rFonts w:hint="default" w:ascii="Times New Roman" w:hAnsi="Times New Roman" w:eastAsia="方正黑体_GBK" w:cs="Times New Roman"/>
          <w:bCs/>
          <w:sz w:val="28"/>
          <w:szCs w:val="28"/>
        </w:rPr>
        <w:t xml:space="preserve"> </w:t>
      </w:r>
      <w:r>
        <w:rPr>
          <w:rFonts w:hint="eastAsia" w:ascii="Times New Roman" w:hAnsi="Times New Roman" w:eastAsia="方正黑体_GBK" w:cs="Times New Roman"/>
          <w:bCs/>
          <w:sz w:val="28"/>
          <w:szCs w:val="28"/>
        </w:rPr>
        <w:t>提高援伊综合效益</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PAGEREF _Toc75285161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- 80 -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方正黑体_GBK" w:cs="Times New Roman"/>
          <w:bCs/>
          <w:sz w:val="28"/>
          <w:szCs w:val="28"/>
        </w:rPr>
        <w:fldChar w:fldCharType="end"/>
      </w:r>
    </w:p>
    <w:p w14:paraId="15061156">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"_Toc75285162"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第一章  突出抓好干部人才援疆</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_Toc75285162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- 80 -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25B0C292">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"_Toc75285163"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第二章  务实推进产业援疆</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_Toc75285163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- 81 -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30B8C2F2">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"_Toc75285164"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第三章  持续保障和改善民生</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_Toc75285164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- 81 -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6279F3F0">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"_Toc75285165"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第四章  着力促进各民族交往交流交融</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_Toc75285165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- 82 -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30CDABBB">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"_Toc75285166"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第五章  扎实推进科技教育文化卫生援疆</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_Toc75285166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- 82 -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1192E770">
      <w:pPr>
        <w:pStyle w:val="11"/>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bCs/>
          <w:sz w:val="28"/>
          <w:szCs w:val="28"/>
        </w:rPr>
      </w:pPr>
      <w:r>
        <w:rPr>
          <w:rFonts w:hint="default" w:ascii="Times New Roman" w:hAnsi="Times New Roman" w:eastAsia="方正黑体_GBK" w:cs="Times New Roman"/>
          <w:bCs/>
          <w:sz w:val="28"/>
          <w:szCs w:val="28"/>
        </w:rPr>
        <w:fldChar w:fldCharType="begin"/>
      </w:r>
      <w:r>
        <w:rPr>
          <w:rFonts w:hint="default" w:ascii="Times New Roman" w:hAnsi="Times New Roman" w:eastAsia="方正黑体_GBK" w:cs="Times New Roman"/>
          <w:bCs/>
          <w:sz w:val="28"/>
          <w:szCs w:val="28"/>
        </w:rPr>
        <w:instrText xml:space="preserve"> HYPERLINK \l "_Toc75285167" </w:instrText>
      </w:r>
      <w:r>
        <w:rPr>
          <w:rFonts w:hint="default" w:ascii="Times New Roman" w:hAnsi="Times New Roman" w:eastAsia="方正黑体_GBK" w:cs="Times New Roman"/>
          <w:bCs/>
          <w:sz w:val="28"/>
          <w:szCs w:val="28"/>
        </w:rPr>
        <w:fldChar w:fldCharType="separate"/>
      </w:r>
      <w:r>
        <w:rPr>
          <w:rFonts w:hint="eastAsia" w:ascii="Times New Roman" w:hAnsi="Times New Roman" w:eastAsia="方正黑体_GBK" w:cs="Times New Roman"/>
          <w:bCs/>
          <w:sz w:val="28"/>
          <w:szCs w:val="28"/>
        </w:rPr>
        <w:t>第十六篇</w:t>
      </w:r>
      <w:r>
        <w:rPr>
          <w:rFonts w:hint="default" w:ascii="Times New Roman" w:hAnsi="Times New Roman" w:eastAsia="方正黑体_GBK" w:cs="Times New Roman"/>
          <w:bCs/>
          <w:sz w:val="28"/>
          <w:szCs w:val="28"/>
        </w:rPr>
        <w:t xml:space="preserve"> </w:t>
      </w:r>
      <w:r>
        <w:rPr>
          <w:rFonts w:hint="eastAsia" w:ascii="Times New Roman" w:hAnsi="Times New Roman" w:eastAsia="方正黑体_GBK" w:cs="Times New Roman"/>
          <w:bCs/>
          <w:sz w:val="28"/>
          <w:szCs w:val="28"/>
        </w:rPr>
        <w:t>支持兵团深化改革</w:t>
      </w:r>
      <w:r>
        <w:rPr>
          <w:rFonts w:hint="default" w:ascii="Times New Roman" w:hAnsi="Times New Roman" w:eastAsia="方正黑体_GBK" w:cs="Times New Roman"/>
          <w:bCs/>
          <w:sz w:val="28"/>
          <w:szCs w:val="28"/>
        </w:rPr>
        <w:t xml:space="preserve"> </w:t>
      </w:r>
      <w:r>
        <w:rPr>
          <w:rFonts w:hint="eastAsia" w:ascii="Times New Roman" w:hAnsi="Times New Roman" w:eastAsia="方正黑体_GBK" w:cs="Times New Roman"/>
          <w:bCs/>
          <w:sz w:val="28"/>
          <w:szCs w:val="28"/>
        </w:rPr>
        <w:t>发挥兵团特殊作用</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PAGEREF _Toc75285167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- 82 -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方正黑体_GBK" w:cs="Times New Roman"/>
          <w:bCs/>
          <w:sz w:val="28"/>
          <w:szCs w:val="28"/>
        </w:rPr>
        <w:fldChar w:fldCharType="end"/>
      </w:r>
    </w:p>
    <w:p w14:paraId="0F24B3C9">
      <w:pPr>
        <w:pStyle w:val="11"/>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bCs/>
          <w:sz w:val="28"/>
          <w:szCs w:val="28"/>
        </w:rPr>
      </w:pPr>
      <w:r>
        <w:rPr>
          <w:rFonts w:hint="default" w:ascii="Times New Roman" w:hAnsi="Times New Roman" w:eastAsia="方正黑体_GBK" w:cs="Times New Roman"/>
          <w:bCs/>
          <w:sz w:val="28"/>
          <w:szCs w:val="28"/>
        </w:rPr>
        <w:fldChar w:fldCharType="begin"/>
      </w:r>
      <w:r>
        <w:rPr>
          <w:rFonts w:hint="default" w:ascii="Times New Roman" w:hAnsi="Times New Roman" w:eastAsia="方正黑体_GBK" w:cs="Times New Roman"/>
          <w:bCs/>
          <w:sz w:val="28"/>
          <w:szCs w:val="28"/>
        </w:rPr>
        <w:instrText xml:space="preserve"> HYPERLINK \l "_Toc75285168" </w:instrText>
      </w:r>
      <w:r>
        <w:rPr>
          <w:rFonts w:hint="default" w:ascii="Times New Roman" w:hAnsi="Times New Roman" w:eastAsia="方正黑体_GBK" w:cs="Times New Roman"/>
          <w:bCs/>
          <w:sz w:val="28"/>
          <w:szCs w:val="28"/>
        </w:rPr>
        <w:fldChar w:fldCharType="separate"/>
      </w:r>
      <w:r>
        <w:rPr>
          <w:rFonts w:hint="eastAsia" w:ascii="Times New Roman" w:hAnsi="Times New Roman" w:eastAsia="方正黑体_GBK" w:cs="Times New Roman"/>
          <w:bCs/>
          <w:sz w:val="28"/>
          <w:szCs w:val="28"/>
        </w:rPr>
        <w:t>第十七篇</w:t>
      </w:r>
      <w:r>
        <w:rPr>
          <w:rFonts w:hint="default" w:ascii="Times New Roman" w:hAnsi="Times New Roman" w:eastAsia="方正黑体_GBK" w:cs="Times New Roman"/>
          <w:bCs/>
          <w:sz w:val="28"/>
          <w:szCs w:val="28"/>
        </w:rPr>
        <w:t xml:space="preserve">  </w:t>
      </w:r>
      <w:r>
        <w:rPr>
          <w:rFonts w:hint="eastAsia" w:ascii="Times New Roman" w:hAnsi="Times New Roman" w:eastAsia="方正黑体_GBK" w:cs="Times New Roman"/>
          <w:bCs/>
          <w:sz w:val="28"/>
          <w:szCs w:val="28"/>
        </w:rPr>
        <w:t>加强党的领导</w:t>
      </w:r>
      <w:r>
        <w:rPr>
          <w:rFonts w:hint="default" w:ascii="Times New Roman" w:hAnsi="Times New Roman" w:eastAsia="方正黑体_GBK" w:cs="Times New Roman"/>
          <w:bCs/>
          <w:sz w:val="28"/>
          <w:szCs w:val="28"/>
        </w:rPr>
        <w:t xml:space="preserve"> </w:t>
      </w:r>
      <w:r>
        <w:rPr>
          <w:rFonts w:hint="eastAsia" w:ascii="Times New Roman" w:hAnsi="Times New Roman" w:eastAsia="方正黑体_GBK" w:cs="Times New Roman"/>
          <w:bCs/>
          <w:sz w:val="28"/>
          <w:szCs w:val="28"/>
        </w:rPr>
        <w:t>保证规划顺利实施</w:t>
      </w:r>
      <w:r>
        <w:rPr>
          <w:rFonts w:hint="default" w:ascii="Times New Roman" w:hAnsi="Times New Roman" w:eastAsia="宋体" w:cs="Times New Roman"/>
          <w:kern w:val="2"/>
          <w:sz w:val="28"/>
          <w:szCs w:val="28"/>
          <w:lang w:val="en-US" w:eastAsia="zh-CN" w:bidi="ar-SA"/>
        </w:rPr>
        <w:tab/>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PAGEREF _Toc75285168 \h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- 83 -</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方正黑体_GBK" w:cs="Times New Roman"/>
          <w:bCs/>
          <w:sz w:val="28"/>
          <w:szCs w:val="28"/>
        </w:rPr>
        <w:fldChar w:fldCharType="end"/>
      </w:r>
    </w:p>
    <w:p w14:paraId="0AABCB14">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"_Toc75285169"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第一章  坚持和加强党的全面领导</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_Toc75285169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- 83 -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56AC04CB">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"_Toc75285170"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第二章  推进社会主义政治建设</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_Toc75285170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- 85 -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5173E824">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28"/>
          <w:szCs w:val="28"/>
        </w:rPr>
      </w:pPr>
      <w:r>
        <w:rPr>
          <w:rFonts w:hint="eastAsia" w:ascii="方正楷体_GBK" w:hAnsi="方正楷体_GBK" w:eastAsia="方正楷体_GBK" w:cs="方正楷体_GBK"/>
          <w:color w:val="000000"/>
          <w:sz w:val="28"/>
          <w:szCs w:val="28"/>
        </w:rPr>
        <w:fldChar w:fldCharType="begin"/>
      </w:r>
      <w:r>
        <w:rPr>
          <w:rFonts w:hint="eastAsia" w:ascii="方正楷体_GBK" w:hAnsi="方正楷体_GBK" w:eastAsia="方正楷体_GBK" w:cs="方正楷体_GBK"/>
          <w:color w:val="000000"/>
          <w:sz w:val="28"/>
          <w:szCs w:val="28"/>
        </w:rPr>
        <w:instrText xml:space="preserve"> HYPERLINK \l "_Toc75285171" </w:instrText>
      </w:r>
      <w:r>
        <w:rPr>
          <w:rFonts w:hint="eastAsia" w:ascii="方正楷体_GBK" w:hAnsi="方正楷体_GBK" w:eastAsia="方正楷体_GBK" w:cs="方正楷体_GBK"/>
          <w:color w:val="000000"/>
          <w:sz w:val="28"/>
          <w:szCs w:val="28"/>
        </w:rPr>
        <w:fldChar w:fldCharType="separate"/>
      </w:r>
      <w:r>
        <w:rPr>
          <w:rFonts w:hint="eastAsia" w:ascii="方正楷体_GBK" w:hAnsi="方正楷体_GBK" w:eastAsia="方正楷体_GBK" w:cs="方正楷体_GBK"/>
          <w:color w:val="000000"/>
          <w:sz w:val="28"/>
          <w:szCs w:val="28"/>
        </w:rPr>
        <w:t>第三章  健全规划制定和落实机制</w:t>
      </w:r>
      <w:r>
        <w:rPr>
          <w:rFonts w:hint="eastAsia" w:ascii="Times New Roman" w:hAnsi="Times New Roman" w:cs="Times New Roman"/>
          <w:sz w:val="28"/>
          <w:szCs w:val="28"/>
        </w:rPr>
        <w:tab/>
      </w:r>
      <w:r>
        <w:rPr>
          <w:rFonts w:hint="eastAsia" w:ascii="Times New Roman" w:hAnsi="Times New Roman" w:cs="Times New Roman"/>
          <w:sz w:val="28"/>
          <w:szCs w:val="28"/>
        </w:rPr>
        <w:fldChar w:fldCharType="begin"/>
      </w:r>
      <w:r>
        <w:rPr>
          <w:rFonts w:hint="eastAsia" w:ascii="Times New Roman" w:hAnsi="Times New Roman" w:cs="Times New Roman"/>
          <w:sz w:val="28"/>
          <w:szCs w:val="28"/>
        </w:rPr>
        <w:instrText xml:space="preserve"> PAGEREF _Toc75285171 \h </w:instrText>
      </w:r>
      <w:r>
        <w:rPr>
          <w:rFonts w:hint="eastAsia" w:ascii="Times New Roman" w:hAnsi="Times New Roman" w:cs="Times New Roman"/>
          <w:sz w:val="28"/>
          <w:szCs w:val="28"/>
        </w:rPr>
        <w:fldChar w:fldCharType="separate"/>
      </w:r>
      <w:r>
        <w:rPr>
          <w:rFonts w:hint="eastAsia" w:ascii="Times New Roman" w:hAnsi="Times New Roman" w:cs="Times New Roman"/>
          <w:sz w:val="28"/>
          <w:szCs w:val="28"/>
        </w:rPr>
        <w:t>- 85 -</w:t>
      </w:r>
      <w:r>
        <w:rPr>
          <w:rFonts w:hint="eastAsia" w:ascii="Times New Roman" w:hAnsi="Times New Roman" w:cs="Times New Roman"/>
          <w:sz w:val="28"/>
          <w:szCs w:val="28"/>
        </w:rPr>
        <w:fldChar w:fldCharType="end"/>
      </w:r>
      <w:r>
        <w:rPr>
          <w:rFonts w:hint="eastAsia" w:ascii="方正楷体_GBK" w:hAnsi="方正楷体_GBK" w:eastAsia="方正楷体_GBK" w:cs="方正楷体_GBK"/>
          <w:color w:val="000000"/>
          <w:sz w:val="28"/>
          <w:szCs w:val="28"/>
        </w:rPr>
        <w:fldChar w:fldCharType="end"/>
      </w:r>
    </w:p>
    <w:p w14:paraId="1A3B7893">
      <w:pPr>
        <w:pStyle w:val="12"/>
        <w:keepNext w:val="0"/>
        <w:keepLines w:val="0"/>
        <w:pageBreakBefore w:val="0"/>
        <w:widowControl w:val="0"/>
        <w:tabs>
          <w:tab w:val="right" w:leader="dot" w:pos="9070"/>
        </w:tabs>
        <w:kinsoku/>
        <w:wordWrap/>
        <w:overflowPunct/>
        <w:topLinePunct w:val="0"/>
        <w:autoSpaceDE/>
        <w:autoSpaceDN/>
        <w:bidi w:val="0"/>
        <w:adjustRightInd/>
        <w:snapToGrid/>
        <w:spacing w:line="560" w:lineRule="exact"/>
        <w:textAlignment w:val="auto"/>
        <w:rPr>
          <w:rFonts w:ascii="Times New Roman" w:hAnsi="Times New Roman" w:eastAsia="仿宋"/>
          <w:sz w:val="28"/>
          <w:szCs w:val="28"/>
        </w:rPr>
      </w:pPr>
      <w:r>
        <w:rPr>
          <w:rFonts w:ascii="Times New Roman" w:hAnsi="Times New Roman" w:eastAsia="仿宋"/>
          <w:sz w:val="28"/>
          <w:szCs w:val="28"/>
        </w:rPr>
        <w:fldChar w:fldCharType="end"/>
      </w:r>
    </w:p>
    <w:p w14:paraId="25744DB9">
      <w:pPr>
        <w:rPr>
          <w:rFonts w:ascii="Times New Roman" w:hAnsi="Times New Roman" w:eastAsia="仿宋"/>
          <w:sz w:val="28"/>
          <w:szCs w:val="28"/>
        </w:rPr>
      </w:pPr>
    </w:p>
    <w:p w14:paraId="776BBEA2">
      <w:pPr>
        <w:rPr>
          <w:rFonts w:ascii="Times New Roman" w:hAnsi="Times New Roman" w:eastAsia="仿宋"/>
          <w:sz w:val="28"/>
          <w:szCs w:val="28"/>
        </w:rPr>
      </w:pPr>
    </w:p>
    <w:p w14:paraId="6159DCED">
      <w:pPr>
        <w:pStyle w:val="2"/>
        <w:rPr>
          <w:rFonts w:ascii="Times New Roman" w:hAnsi="Times New Roman" w:eastAsia="仿宋"/>
          <w:sz w:val="28"/>
          <w:szCs w:val="28"/>
        </w:rPr>
      </w:pPr>
    </w:p>
    <w:p w14:paraId="39556996">
      <w:pPr>
        <w:sectPr>
          <w:footerReference r:id="rId4" w:type="default"/>
          <w:pgSz w:w="11906" w:h="16838"/>
          <w:pgMar w:top="1440" w:right="1800" w:bottom="1440" w:left="1800" w:header="851" w:footer="992" w:gutter="0"/>
          <w:pgNumType w:fmt="numberInDash" w:start="1"/>
          <w:cols w:space="720" w:num="1"/>
          <w:docGrid w:type="lines" w:linePitch="312" w:charSpace="0"/>
        </w:sectPr>
      </w:pPr>
    </w:p>
    <w:p w14:paraId="29B5E1DF">
      <w:pPr>
        <w:spacing w:line="560" w:lineRule="exact"/>
        <w:ind w:firstLine="640" w:firstLineChars="200"/>
        <w:rPr>
          <w:rFonts w:ascii="Times New Roman" w:hAnsi="Times New Roman" w:eastAsia="方正仿宋_GBK"/>
          <w:color w:val="000000"/>
          <w:sz w:val="32"/>
          <w:szCs w:val="32"/>
          <w:highlight w:val="none"/>
        </w:rPr>
      </w:pPr>
      <w:r>
        <w:rPr>
          <w:rFonts w:ascii="Times New Roman" w:hAnsi="Times New Roman" w:eastAsia="方正仿宋_GBK"/>
          <w:color w:val="000000"/>
          <w:sz w:val="32"/>
          <w:szCs w:val="32"/>
        </w:rPr>
        <w:t>“十四五”时期，是伊吾县全面建成小康社会、实现第一个百年奋斗目标之后，开启全面建设社会主义现代化国家新征程、向第二个百年奋斗目标进军的第一个五年。科学编制实施《伊吾县国民经济和社会发展第十四个五年规划纲要》，对于深入</w:t>
      </w:r>
      <w:r>
        <w:rPr>
          <w:rFonts w:ascii="Times New Roman" w:hAnsi="Times New Roman" w:eastAsia="方正仿宋_GBK"/>
          <w:color w:val="000000"/>
          <w:sz w:val="32"/>
          <w:szCs w:val="32"/>
          <w:highlight w:val="none"/>
        </w:rPr>
        <w:t>贯彻新时代党的治疆方略、特别是社会稳定和长治久安总目标，</w:t>
      </w:r>
      <w:r>
        <w:rPr>
          <w:rFonts w:hint="eastAsia" w:ascii="Times New Roman" w:hAnsi="Times New Roman" w:eastAsia="方正仿宋_GBK"/>
          <w:color w:val="000000"/>
          <w:sz w:val="32"/>
          <w:szCs w:val="32"/>
          <w:highlight w:val="none"/>
          <w:lang w:eastAsia="zh-CN"/>
        </w:rPr>
        <w:t>在新时代新征程上奋力</w:t>
      </w:r>
      <w:r>
        <w:rPr>
          <w:rFonts w:ascii="Times New Roman" w:hAnsi="Times New Roman" w:eastAsia="方正仿宋_GBK"/>
          <w:color w:val="000000"/>
          <w:sz w:val="32"/>
          <w:szCs w:val="32"/>
          <w:highlight w:val="none"/>
        </w:rPr>
        <w:t>建设团结和谐、繁荣富裕、文明进步、安居乐业、生态良好的中国特色社会主义伊吾，具有十分重要的意义。</w:t>
      </w:r>
    </w:p>
    <w:p w14:paraId="3A7C7BC8">
      <w:pPr>
        <w:pStyle w:val="3"/>
        <w:spacing w:line="560" w:lineRule="exact"/>
        <w:jc w:val="center"/>
        <w:rPr>
          <w:rFonts w:eastAsia="方正黑体_GBK"/>
          <w:b w:val="0"/>
          <w:bCs/>
          <w:color w:val="000000"/>
          <w:sz w:val="36"/>
          <w:szCs w:val="36"/>
        </w:rPr>
      </w:pPr>
      <w:bookmarkStart w:id="34" w:name="_Toc75285084"/>
      <w:r>
        <w:rPr>
          <w:rFonts w:eastAsia="方正黑体_GBK"/>
          <w:b w:val="0"/>
          <w:bCs/>
          <w:color w:val="000000"/>
          <w:sz w:val="36"/>
          <w:szCs w:val="36"/>
        </w:rPr>
        <w:t>第一篇  发展的基础和环境</w:t>
      </w:r>
      <w:bookmarkEnd w:id="34"/>
    </w:p>
    <w:p w14:paraId="319EFAAF">
      <w:pPr>
        <w:pStyle w:val="2"/>
        <w:spacing w:line="540" w:lineRule="exact"/>
        <w:jc w:val="center"/>
        <w:rPr>
          <w:rFonts w:hint="default" w:ascii="Times New Roman" w:hAnsi="Times New Roman" w:eastAsia="方正楷体_GBK" w:cs="Times New Roman"/>
          <w:b w:val="0"/>
          <w:bCs w:val="0"/>
          <w:color w:val="000000"/>
          <w:kern w:val="0"/>
          <w:sz w:val="32"/>
        </w:rPr>
      </w:pPr>
      <w:bookmarkStart w:id="35" w:name="_Toc75285085"/>
      <w:r>
        <w:rPr>
          <w:rFonts w:hint="default" w:ascii="Times New Roman" w:hAnsi="Times New Roman" w:eastAsia="方正楷体_GBK" w:cs="Times New Roman"/>
          <w:b w:val="0"/>
          <w:bCs w:val="0"/>
          <w:color w:val="000000"/>
          <w:kern w:val="0"/>
          <w:sz w:val="32"/>
        </w:rPr>
        <w:t>第一章  发展基础</w:t>
      </w:r>
      <w:bookmarkEnd w:id="35"/>
    </w:p>
    <w:p w14:paraId="4BC81B45">
      <w:pPr>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十三五”时期是伊吾县发展史上极不平凡、具有里程碑意义的五年。面对错综复杂的国际环境和艰巨繁重的改革发展稳定任务，在以习近平同志为核心的党中央坚强领导下，伊吾县委、人民政府坚决贯彻自治区党委、哈密市委各项决策部署，团结带领全县各族群众，坚持以习近平新时代中国特色社会主义思想为指导，认真贯彻党的十八大、十九大和十九届二中、三中、四中、五中全会精神，贯彻落实第二次、第三次中央新疆工作座谈会精神，贯彻落实新时代党的治疆方略，聚焦实现社会稳定和长治久安总目标，统筹推进“五位一体”总体布局、协调推进“四个全面”战略布局，坚持新发展理念，坚持稳中求进工作总基调，坚持以供给侧结构性改革为主线，坚持高质量发展，经过各方面艰辛努力，伊吾县工作取得了重大成效，新时代党的治疆方略在伊吾县得到成功实践，“十三五”规划目标任务基本完成，全面建成小康社会胜利在望，经济社会发展和民生改善取得了前所未有的成就，各族群众的获得感、幸福感、安全感不断增强，呈现出社会稳定、人民安居乐业的良好局面，为实现社会稳定和长治久安总目标奠定了坚实基础。</w:t>
      </w:r>
    </w:p>
    <w:p w14:paraId="4D070022">
      <w:pPr>
        <w:spacing w:line="560" w:lineRule="exact"/>
        <w:ind w:firstLine="643" w:firstLineChars="200"/>
        <w:rPr>
          <w:rFonts w:ascii="Times New Roman" w:hAnsi="Times New Roman" w:eastAsia="方正仿宋_GBK"/>
          <w:color w:val="000000"/>
          <w:sz w:val="32"/>
          <w:szCs w:val="32"/>
        </w:rPr>
      </w:pPr>
      <w:r>
        <w:rPr>
          <w:rFonts w:ascii="Times New Roman" w:hAnsi="Times New Roman" w:eastAsia="方正楷体_GBK"/>
          <w:b/>
          <w:bCs/>
          <w:color w:val="000000"/>
          <w:sz w:val="32"/>
          <w:szCs w:val="32"/>
        </w:rPr>
        <w:t>——综合实力明显增强。</w:t>
      </w:r>
      <w:r>
        <w:rPr>
          <w:rFonts w:ascii="Times New Roman" w:hAnsi="Times New Roman" w:eastAsia="方正仿宋_GBK"/>
          <w:color w:val="000000"/>
          <w:sz w:val="32"/>
          <w:szCs w:val="32"/>
        </w:rPr>
        <w:t>坚持一产上水平、二产抓重点、三产大发展，加快构建现代化经济体系，保持了经济健康较快发展。地区生产总值提高到2020年的76.5亿元，年均增长9.82%。投资需求有效扩大。全社会固定资产投资累积达到254亿元，补短板、添动能成效显著。消费拉动持续增强，社会消费品零售总额达到2.7亿元，年均增长3.03%。地方公共财政预算收入由3.9亿元增加到8亿元，年均增长15.4%。农村居民可支配收入20478元，年均增长7.4%，城乡收入差距逐步缩小。</w:t>
      </w:r>
    </w:p>
    <w:p w14:paraId="09ECC229">
      <w:pPr>
        <w:spacing w:line="560" w:lineRule="exact"/>
        <w:ind w:firstLine="643" w:firstLineChars="200"/>
        <w:rPr>
          <w:rFonts w:ascii="Times New Roman" w:hAnsi="Times New Roman" w:eastAsia="方正仿宋_GBK"/>
          <w:color w:val="000000"/>
          <w:sz w:val="32"/>
          <w:szCs w:val="32"/>
        </w:rPr>
      </w:pPr>
      <w:r>
        <w:rPr>
          <w:rFonts w:ascii="Times New Roman" w:hAnsi="Times New Roman" w:eastAsia="方正楷体_GBK"/>
          <w:b/>
          <w:bCs/>
          <w:color w:val="000000"/>
          <w:sz w:val="32"/>
          <w:szCs w:val="32"/>
        </w:rPr>
        <w:t>——三大攻坚战扎实推进。</w:t>
      </w:r>
      <w:r>
        <w:rPr>
          <w:rFonts w:ascii="Times New Roman" w:hAnsi="Times New Roman" w:eastAsia="方正仿宋_GBK"/>
          <w:color w:val="000000"/>
          <w:sz w:val="32"/>
          <w:szCs w:val="32"/>
        </w:rPr>
        <w:t>深入推进“六个精准”“七个一批”“三个加大力度”脱贫举措，始终保持攻坚态势，加快补齐精神贫困短板，持续巩固脱贫攻坚成果。以实现高质量就业为重点提升脱贫质量，2017年实现符合条件的建档立卡家庭“一户一就业”目标的基础上，部分家庭达到了“一户多就业”。截止2019年底，全县“两不愁、三保障”目标均已实现。污染防治成效显著。牢固树立“绿水青山就是金山银山”的发展理念，坚持山水林田湖草综合治理、系统治理、源头治理，深入开展大气、水、土壤污染防治行动。不断加大喀尔里克冰川保护力度。坚决抓好中央</w:t>
      </w:r>
      <w:r>
        <w:rPr>
          <w:rFonts w:hint="eastAsia" w:ascii="Times New Roman" w:hAnsi="Times New Roman" w:eastAsia="方正仿宋_GBK"/>
          <w:color w:val="000000"/>
          <w:sz w:val="32"/>
          <w:szCs w:val="32"/>
          <w:lang w:eastAsia="zh-CN"/>
        </w:rPr>
        <w:t>生态</w:t>
      </w:r>
      <w:r>
        <w:rPr>
          <w:rFonts w:ascii="Times New Roman" w:hAnsi="Times New Roman" w:eastAsia="方正仿宋_GBK"/>
          <w:color w:val="000000"/>
          <w:sz w:val="32"/>
          <w:szCs w:val="32"/>
        </w:rPr>
        <w:t>环保督察反馈问题的整改工作。扎实推进幻彩湖生态修复工程。完成了县城污水处理厂提标改造、淖毛湖污水处理厂改扩建和工业园区污水处理厂建设。严格落实《大气污染防治行动计划》，在全疆率先开展煤化工领域无组织排放与VOCs治理。持续提升伊吾工业园区环保管理水平，园区化工企业环保手续合规率提升至100%，绿色发展成效明显，2019年空气质量优良率达97%。全面落实河（湖）长制，深入推进河湖水域岸线管理和保护范围划界工作，让伊吾山更青水更绿。全面贯彻落实自治区党委、市委和县委关于防范政府债务风险的各项决策部署，全力争取自治区新增地方政府债券，强化监督问责，严格规范政府举债行为，确保零违规举债，牢牢守住了不发生政府债务风险的底线。</w:t>
      </w:r>
    </w:p>
    <w:p w14:paraId="04F03E29">
      <w:pPr>
        <w:spacing w:line="560" w:lineRule="exact"/>
        <w:ind w:firstLine="643" w:firstLineChars="200"/>
        <w:rPr>
          <w:rFonts w:ascii="Times New Roman" w:hAnsi="Times New Roman" w:eastAsia="方正仿宋_GBK"/>
          <w:color w:val="000000"/>
          <w:sz w:val="32"/>
          <w:szCs w:val="32"/>
        </w:rPr>
      </w:pPr>
      <w:r>
        <w:rPr>
          <w:rFonts w:ascii="Times New Roman" w:hAnsi="Times New Roman" w:eastAsia="方正楷体_GBK"/>
          <w:b/>
          <w:bCs/>
          <w:color w:val="000000"/>
          <w:sz w:val="32"/>
          <w:szCs w:val="32"/>
        </w:rPr>
        <w:t>——人民生活明显改善。</w:t>
      </w:r>
      <w:r>
        <w:rPr>
          <w:rFonts w:ascii="Times New Roman" w:hAnsi="Times New Roman" w:eastAsia="方正仿宋_GBK"/>
          <w:color w:val="000000"/>
          <w:sz w:val="32"/>
          <w:szCs w:val="32"/>
        </w:rPr>
        <w:t>始终坚持以人民为中心的发展思想，深入推进九大惠民工程，就业、教育、医疗、社会保障等各项惠民工作取得积极成效。积极顺应社会主要矛盾变化，以人民对美好生活的向往为奋斗目标，深入推进九大惠民工程，就业、教育、扶贫、医疗、社会保障等各项惠民工作取得积极成效。坚持一般公共预算支出的75%以上用于保障和改善民生。全县1267户3607名建档立卡贫困人口已于2016年人均收入全部超过国家贫困线标准，完成22个贫困村整村推进，在全疆率先完成脱贫目标，顺利通过自治区贫困退出验收核查和自治区第三方评估验收，成为全疆首批两个摘帽县之一。全县所有建制村实现通硬化路、</w:t>
      </w:r>
      <w:r>
        <w:rPr>
          <w:rFonts w:hint="eastAsia" w:ascii="Times New Roman" w:hAnsi="Times New Roman" w:eastAsia="方正仿宋_GBK"/>
          <w:color w:val="000000"/>
          <w:sz w:val="32"/>
          <w:szCs w:val="32"/>
          <w:lang w:eastAsia="zh-CN"/>
        </w:rPr>
        <w:t>通</w:t>
      </w:r>
      <w:r>
        <w:rPr>
          <w:rFonts w:ascii="Times New Roman" w:hAnsi="Times New Roman" w:eastAsia="方正仿宋_GBK"/>
          <w:color w:val="000000"/>
          <w:sz w:val="32"/>
          <w:szCs w:val="32"/>
        </w:rPr>
        <w:t>动力电，广大人民群众获得感、幸福感、安全感显著增强。坚持把稳定就业摆在更加突出的位置，城镇登记失业率稳定控制在2.5%以内。城乡劳动力免费培训实现全覆盖，培训就业率达到79%。大力实施全民参保计划，全县城乡居民</w:t>
      </w:r>
      <w:r>
        <w:rPr>
          <w:rFonts w:hint="eastAsia" w:ascii="Times New Roman" w:hAnsi="Times New Roman" w:eastAsia="方正仿宋_GBK"/>
          <w:color w:val="000000"/>
          <w:sz w:val="32"/>
          <w:szCs w:val="32"/>
          <w:lang w:eastAsia="zh-CN"/>
        </w:rPr>
        <w:t>基本</w:t>
      </w:r>
      <w:r>
        <w:rPr>
          <w:rFonts w:ascii="Times New Roman" w:hAnsi="Times New Roman" w:eastAsia="方正仿宋_GBK"/>
          <w:color w:val="000000"/>
          <w:sz w:val="32"/>
          <w:szCs w:val="32"/>
        </w:rPr>
        <w:t>医疗保险参保率达99.7%。持续落实农村低保户、特困人员救助、临时救助、70周岁以上老年人高龄津贴及残疾人“两项补贴”等制度。扎实推进实施十五年免费教育、“免费阳光午餐”等教育优惠政策落地。义务教育均衡发展成果显著，顺利通过自治区义务教育均衡发展复验的评估认定。全面提升医疗机构基础设施建设和设备配置，医疗系统“一卡通”信息化建设基本完成。开展全民免费健康体检惠民工程，户籍人口体检率达100%。</w:t>
      </w:r>
    </w:p>
    <w:p w14:paraId="5847C89B">
      <w:pPr>
        <w:spacing w:line="560" w:lineRule="exact"/>
        <w:ind w:firstLine="643" w:firstLineChars="200"/>
        <w:rPr>
          <w:rFonts w:hint="eastAsia" w:ascii="Times New Roman" w:hAnsi="Times New Roman" w:eastAsia="方正仿宋_GBK"/>
          <w:color w:val="000000"/>
          <w:sz w:val="32"/>
          <w:szCs w:val="32"/>
        </w:rPr>
      </w:pPr>
      <w:r>
        <w:rPr>
          <w:rFonts w:ascii="Times New Roman" w:hAnsi="Times New Roman" w:eastAsia="方正楷体_GBK"/>
          <w:b/>
          <w:bCs/>
          <w:color w:val="000000"/>
          <w:sz w:val="32"/>
          <w:szCs w:val="32"/>
        </w:rPr>
        <w:t>——民族团结巩固发展。</w:t>
      </w:r>
      <w:r>
        <w:rPr>
          <w:rFonts w:ascii="Times New Roman" w:hAnsi="Times New Roman" w:eastAsia="方正仿宋_GBK"/>
          <w:color w:val="000000"/>
          <w:sz w:val="32"/>
          <w:szCs w:val="32"/>
        </w:rPr>
        <w:t>全面贯彻党的民族理论和民族政策，认真落实民族区域自治制度，依法保护各民族的合法权益，广泛开展民族团结进步宣传教育，“三个离不开”“五个认同”和中华民族共同体意识不断增强。常态化开展“民族团结一家亲”，“三进两联一交友”活动。民族团结进步创建活动扎实有效，相互嵌入式的社会结构和社区环境加快形成，各民族之间的情感联系纽带逐步加强。</w:t>
      </w:r>
    </w:p>
    <w:p w14:paraId="00B78845">
      <w:pPr>
        <w:spacing w:line="560" w:lineRule="exact"/>
        <w:ind w:firstLine="643" w:firstLineChars="200"/>
        <w:rPr>
          <w:rFonts w:ascii="Times New Roman" w:hAnsi="Times New Roman" w:eastAsia="方正仿宋_GBK"/>
          <w:color w:val="000000"/>
          <w:sz w:val="32"/>
          <w:szCs w:val="32"/>
        </w:rPr>
      </w:pPr>
      <w:r>
        <w:rPr>
          <w:rFonts w:ascii="Times New Roman" w:hAnsi="Times New Roman" w:eastAsia="方正楷体_GBK"/>
          <w:b/>
          <w:bCs/>
          <w:color w:val="000000"/>
          <w:sz w:val="32"/>
          <w:szCs w:val="32"/>
        </w:rPr>
        <w:t>——改革开放步伐加快。</w:t>
      </w:r>
      <w:r>
        <w:rPr>
          <w:rFonts w:ascii="Times New Roman" w:hAnsi="Times New Roman" w:eastAsia="方正仿宋_GBK"/>
          <w:color w:val="000000"/>
          <w:sz w:val="32"/>
          <w:szCs w:val="32"/>
        </w:rPr>
        <w:t>始终贯彻党中央改革开放的重大决策，关键性、基础性改革取得突破。坚持推动机构职能优化协同高效，厘清职责边界、理顺权责关系，全面完成伊吾县党政机构改革工作任务。事业单位改革、综合行政执法队伍改革、乡镇及其站所改革稳步推进，机构运行更加顺畅高效。水权水价改革取得初步成效。累计发放水权证1290本，实现休耕退水18023亩，农业节余水量约616万方。2021年继续实施行政许可事项321项，取消无法律依据申报材料20项，进一步精简了审批程序；持续深化商事制度改革，“二十六证合一”改革全面完成。农村集体产权制度改革和土地确权登记颁证工作已完成。全面完成了农村集体资产清产核资工作，完成率100%；产权制度改革家庭承包确权面积2.17万亩，颁证率99%。</w:t>
      </w:r>
    </w:p>
    <w:p w14:paraId="0634C7A6">
      <w:pPr>
        <w:spacing w:line="560" w:lineRule="exact"/>
        <w:ind w:firstLine="643" w:firstLineChars="200"/>
        <w:rPr>
          <w:rFonts w:ascii="Times New Roman" w:hAnsi="Times New Roman" w:eastAsia="方正仿宋_GBK"/>
          <w:color w:val="000000"/>
          <w:sz w:val="32"/>
          <w:szCs w:val="32"/>
        </w:rPr>
      </w:pPr>
      <w:r>
        <w:rPr>
          <w:rFonts w:ascii="Times New Roman" w:hAnsi="Times New Roman" w:eastAsia="方正楷体_GBK"/>
          <w:b/>
          <w:bCs/>
          <w:color w:val="000000"/>
          <w:sz w:val="32"/>
          <w:szCs w:val="32"/>
        </w:rPr>
        <w:t>——党的建设全面加强。</w:t>
      </w:r>
      <w:r>
        <w:rPr>
          <w:rFonts w:ascii="Times New Roman" w:hAnsi="Times New Roman" w:eastAsia="方正仿宋_GBK"/>
          <w:color w:val="000000"/>
          <w:sz w:val="32"/>
          <w:szCs w:val="32"/>
        </w:rPr>
        <w:t>全县上下始终贯彻新时代党的建设总要求，坚持把党的政治建设摆在首位，</w:t>
      </w:r>
      <w:r>
        <w:rPr>
          <w:rFonts w:hint="eastAsia" w:ascii="Times New Roman" w:hAnsi="Times New Roman" w:eastAsia="方正仿宋_GBK"/>
          <w:color w:val="000000"/>
          <w:sz w:val="32"/>
          <w:szCs w:val="32"/>
        </w:rPr>
        <w:t>增强“四个意识”</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坚定“四个自信”</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做到“两个维护”</w:t>
      </w:r>
      <w:r>
        <w:rPr>
          <w:rFonts w:hint="eastAsia" w:ascii="Times New Roman" w:hAnsi="Times New Roman" w:eastAsia="方正仿宋_GBK"/>
          <w:color w:val="000000"/>
          <w:sz w:val="32"/>
          <w:szCs w:val="32"/>
          <w:lang w:eastAsia="zh-CN"/>
        </w:rPr>
        <w:t>，</w:t>
      </w:r>
      <w:r>
        <w:rPr>
          <w:rFonts w:ascii="Times New Roman" w:hAnsi="Times New Roman" w:eastAsia="方正仿宋_GBK"/>
          <w:color w:val="000000"/>
          <w:sz w:val="32"/>
          <w:szCs w:val="32"/>
        </w:rPr>
        <w:t>深入开展“两学一做”“三严三实”“不忘初心、牢记使命”主题教育，坚决在思想上政治上行动上同以习近平同志为核心的党中央保持高度一致。持续开展“访惠聚”驻村工作，推动干部下沉基层、走进群众，形成了新时代新疆的“枫桥经验”。深入推进党风廉政建设和反腐败斗争，严格落实中央八项规定及其实施细则精神，持之以恒整治“四风”“四气”，营造了风清气正的政治生态。</w:t>
      </w:r>
    </w:p>
    <w:p w14:paraId="21399504">
      <w:pPr>
        <w:spacing w:line="560" w:lineRule="atLeas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2020年，突如其来的新冠疫情对人民生命安全构成严重威胁，对经济社会发展造成巨大冲击。在党中央、自治区党委、哈密市委的坚强领导下，伊吾县委坚持把人民生命安全和身体健康放在第一位，深入贯彻“坚定信心、同舟共济、科学防治、精准施策”总要求，狠抓“外防输入、内防反弹”，坚决打好抗击疫情的人民战争、总体战、阻击战、攻坚战，疫情防控取得重大战略成果。统筹常态化疫情防控和经济社会发展，扎实做好“六稳”工作、全面落实“六保”任务，经济呈现恢复性增长态势，社会大局总体稳定，为如期打赢脱贫攻坚战、决战决胜全面建成小康社会提供了坚强保障。</w:t>
      </w:r>
    </w:p>
    <w:p w14:paraId="499564CD">
      <w:pPr>
        <w:pStyle w:val="2"/>
        <w:spacing w:line="540" w:lineRule="exact"/>
        <w:jc w:val="center"/>
        <w:rPr>
          <w:rFonts w:hint="default" w:ascii="Times New Roman" w:hAnsi="Times New Roman" w:eastAsia="方正楷体_GBK" w:cs="Times New Roman"/>
          <w:b w:val="0"/>
          <w:bCs w:val="0"/>
          <w:color w:val="000000"/>
          <w:kern w:val="0"/>
          <w:sz w:val="32"/>
        </w:rPr>
      </w:pPr>
      <w:bookmarkStart w:id="36" w:name="_Toc75285086"/>
      <w:r>
        <w:rPr>
          <w:rFonts w:hint="default" w:ascii="Times New Roman" w:hAnsi="Times New Roman" w:eastAsia="方正楷体_GBK" w:cs="Times New Roman"/>
          <w:b w:val="0"/>
          <w:bCs w:val="0"/>
          <w:color w:val="000000"/>
          <w:kern w:val="0"/>
          <w:sz w:val="32"/>
        </w:rPr>
        <w:t>第二章  发展环境</w:t>
      </w:r>
      <w:bookmarkEnd w:id="36"/>
    </w:p>
    <w:p w14:paraId="46E88CCB">
      <w:pPr>
        <w:spacing w:line="560" w:lineRule="atLeas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当前和今后一个时期，伊吾县经济社会发展面临重要机遇，同时也存在一些问题和挑战。从国际看，当今世界正经历百年未有之大变局，国际环境日趋复杂，不稳定性不确定性明显增加，新冠疫情影响广泛深远，经济全球化遭遇逆流，世界进入动荡变革期，但和平与发展仍然是时代主题。从国内看，我国已转向高质量发展阶段，制度优势显著，治理效能提升，经济长期向好，物质基础雄厚，人力资源丰富，市场空间广阔，发展韧性强劲，正在形成以国内大循环为主体、国内国际双循环相互促进的新发展格局，继续发展具有多方面优势和条件。</w:t>
      </w:r>
    </w:p>
    <w:p w14:paraId="4354AD66">
      <w:pPr>
        <w:spacing w:line="560" w:lineRule="atLeas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从区内看，新疆经济社会发展具有重要机遇和优势：一是党中央重视关心关怀。以习近平同志为核心的党中央高度重视新疆工作，把新疆工作摆在事关党和国家工作全局的重要位置，召开第三次中央新疆工作座谈会，习近平总书记在座谈会上发表重要讲话，为做好新时代新疆工作指明了方向、提供了根本遵循。二是各类政策叠加增效。党中央在统筹推进全国改革发展的进程中，把新疆作为我国西北的战略屏障、丝绸之路经济带核心区、西部大开发重点地区、向西开放桥头堡、“三基地一通道”，给予一系列特殊支持政策，为推进我区经济社会发展注入了动力。三是对口援疆优势独特。全国19个省市、中央和国家机关、中央企业对口支援新疆，形成了新时代全国一盘棋、各方力量对口援疆的工作格局，为援受双方加强产业合作、畅通经济循环奠定了基础。四是区域优势明显。随着扩大对外开放、西部大开发、共建“一带一路”等不断推进，新疆从相对封闭的内陆变成对外开放的前沿，有利于加快构建新发展格局、融入国内国际双循环。五是资源转化潜力巨大。新疆地域辽阔，矿产资源丰富，旅游资源富集，土地、电力、劳动力成本低等优势明显，具有较强的潜在竞争力。六是稳定红利充分释放。综合施策、标本兼治，保持了社会大局持续稳定，为促进经济高质量发展营造了良好环境。七是人心凝聚提振预期。坚持以人民为中心的发展思想，坚持把发展落实到改善民生上、落实到惠及当地上、落实到增进团结上，各族群众的获得感、幸福感、安全感不断增强，聚精会神搞建设、一心一意谋发展的愿望更加强烈。</w:t>
      </w:r>
    </w:p>
    <w:p w14:paraId="355947E2">
      <w:pPr>
        <w:spacing w:line="560" w:lineRule="atLeas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发展机遇方面：进入新时代，伊吾县面临诸多机遇和优势。</w:t>
      </w:r>
      <w:r>
        <w:rPr>
          <w:rFonts w:ascii="Times New Roman" w:hAnsi="Times New Roman" w:eastAsia="方正仿宋_GBK"/>
          <w:b/>
          <w:color w:val="000000"/>
          <w:sz w:val="32"/>
          <w:szCs w:val="32"/>
        </w:rPr>
        <w:t>一是稳定红利释放带来的机遇。</w:t>
      </w:r>
      <w:r>
        <w:rPr>
          <w:rFonts w:ascii="Times New Roman" w:hAnsi="Times New Roman" w:eastAsia="方正仿宋_GBK"/>
          <w:color w:val="000000"/>
          <w:sz w:val="32"/>
          <w:szCs w:val="32"/>
        </w:rPr>
        <w:t>稳定红利充分释放，人心凝聚提振预期，各族干部群众团结一心，民族团结情感融入血脉、浸入骨髓、铸入灵魂、齐心协力搞建设、一心一意谋发展的愿望更加强烈。</w:t>
      </w:r>
      <w:r>
        <w:rPr>
          <w:rFonts w:ascii="Times New Roman" w:hAnsi="Times New Roman" w:eastAsia="方正仿宋_GBK"/>
          <w:b/>
          <w:color w:val="000000"/>
          <w:sz w:val="32"/>
          <w:szCs w:val="32"/>
        </w:rPr>
        <w:t>二是打造新疆高质量发展增长极的机遇。</w:t>
      </w:r>
      <w:r>
        <w:rPr>
          <w:rFonts w:ascii="Times New Roman" w:hAnsi="Times New Roman" w:eastAsia="方正仿宋_GBK"/>
          <w:color w:val="000000"/>
          <w:sz w:val="32"/>
          <w:szCs w:val="32"/>
        </w:rPr>
        <w:t>自治区党委对哈密提出了发挥“一个优势”、建设“三基地、三中心、三区”、打造新疆高质量发展重要增长极的科学定位，为伊吾打造新疆高质量发展重要增长极的重要组成部分提供了强力政策支撑。</w:t>
      </w:r>
      <w:r>
        <w:rPr>
          <w:rFonts w:ascii="Times New Roman" w:hAnsi="Times New Roman" w:eastAsia="方正仿宋_GBK"/>
          <w:b/>
          <w:color w:val="000000"/>
          <w:sz w:val="32"/>
          <w:szCs w:val="32"/>
        </w:rPr>
        <w:t>三是区位交通优势显现的机遇。</w:t>
      </w:r>
      <w:r>
        <w:rPr>
          <w:rFonts w:ascii="Times New Roman" w:hAnsi="Times New Roman" w:eastAsia="方正仿宋_GBK"/>
          <w:color w:val="000000"/>
          <w:sz w:val="32"/>
          <w:szCs w:val="32"/>
        </w:rPr>
        <w:t>全国首条民营铁路红淖铁路开通运营，国道G335、京新高速（G7）、烟淖公路建成，国道G331加快建设，凸显丝绸之路北通道的优势。</w:t>
      </w:r>
      <w:r>
        <w:rPr>
          <w:rFonts w:ascii="Times New Roman" w:hAnsi="Times New Roman" w:eastAsia="方正仿宋_GBK"/>
          <w:b/>
          <w:color w:val="000000"/>
          <w:sz w:val="32"/>
          <w:szCs w:val="32"/>
        </w:rPr>
        <w:t>四是深化对口援疆战略的机遇。</w:t>
      </w:r>
      <w:r>
        <w:rPr>
          <w:rFonts w:ascii="Times New Roman" w:hAnsi="Times New Roman" w:eastAsia="方正仿宋_GBK"/>
          <w:color w:val="000000"/>
          <w:sz w:val="32"/>
          <w:szCs w:val="32"/>
        </w:rPr>
        <w:t>全国19个省市、中央和国家部委、中央企业对口支持新疆，在干部人才、产业援疆、改善民生、民族团结上聚焦发力，促进各民族交往</w:t>
      </w:r>
      <w:r>
        <w:rPr>
          <w:rFonts w:hint="eastAsia" w:ascii="Times New Roman" w:hAnsi="Times New Roman" w:eastAsia="方正仿宋_GBK"/>
          <w:color w:val="000000"/>
          <w:sz w:val="32"/>
          <w:szCs w:val="32"/>
          <w:lang w:eastAsia="zh-CN"/>
        </w:rPr>
        <w:t>交流</w:t>
      </w:r>
      <w:r>
        <w:rPr>
          <w:rFonts w:ascii="Times New Roman" w:hAnsi="Times New Roman" w:eastAsia="方正仿宋_GBK"/>
          <w:color w:val="000000"/>
          <w:sz w:val="32"/>
          <w:szCs w:val="32"/>
        </w:rPr>
        <w:t>交融，形成了新时代全国一盘棋、各方力量对口援疆的工作格局，为推动新疆经济社会发展提供强大动力。</w:t>
      </w:r>
      <w:r>
        <w:rPr>
          <w:rFonts w:ascii="Times New Roman" w:hAnsi="Times New Roman" w:eastAsia="方正仿宋_GBK"/>
          <w:b/>
          <w:color w:val="000000"/>
          <w:sz w:val="32"/>
          <w:szCs w:val="32"/>
        </w:rPr>
        <w:t>五是人心凝聚民心所向的机遇。</w:t>
      </w:r>
      <w:r>
        <w:rPr>
          <w:rFonts w:ascii="Times New Roman" w:hAnsi="Times New Roman" w:eastAsia="方正仿宋_GBK"/>
          <w:color w:val="000000"/>
          <w:sz w:val="32"/>
          <w:szCs w:val="32"/>
        </w:rPr>
        <w:t>在以习近平同志为核心的党中央坚强领导下，伊吾社会大局持续稳定，发展质量显著提高，群众生活极大改善，基层基础不断增强，全区各族人民凝心聚力、相向而行，为推进伊吾社会稳定和长治久安奠定了坚实的群众基础，汇集了全面推进社会主义现代化建设的磅礴力量。</w:t>
      </w:r>
      <w:r>
        <w:rPr>
          <w:rFonts w:ascii="Times New Roman" w:hAnsi="Times New Roman" w:eastAsia="方正仿宋_GBK"/>
          <w:b/>
          <w:color w:val="000000"/>
          <w:sz w:val="32"/>
          <w:szCs w:val="32"/>
        </w:rPr>
        <w:t>六是历史文化底蕴深厚的机遇。</w:t>
      </w:r>
      <w:r>
        <w:rPr>
          <w:rFonts w:ascii="Times New Roman" w:hAnsi="Times New Roman" w:eastAsia="方正仿宋_GBK"/>
          <w:color w:val="000000"/>
          <w:sz w:val="32"/>
          <w:szCs w:val="32"/>
        </w:rPr>
        <w:t>丝路文化、草原文化、红色文化、民俗文化构成了特色鲜明的地域文化，伊吾四十天保卫战传承着红色历史基因，巩固共同奋斗的思想基石，为稳定发展改革铸就持久强大的精神动力。</w:t>
      </w:r>
    </w:p>
    <w:p w14:paraId="6BEB1A42">
      <w:pPr>
        <w:spacing w:line="560" w:lineRule="atLeas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风险挑战和瓶颈短板方面：</w:t>
      </w:r>
      <w:r>
        <w:rPr>
          <w:rFonts w:hint="eastAsia" w:ascii="Times New Roman" w:hAnsi="Times New Roman" w:eastAsia="方正仿宋_GBK"/>
          <w:b/>
          <w:color w:val="000000"/>
          <w:sz w:val="32"/>
          <w:szCs w:val="32"/>
        </w:rPr>
        <w:t>一</w:t>
      </w:r>
      <w:r>
        <w:rPr>
          <w:rFonts w:ascii="Times New Roman" w:hAnsi="Times New Roman" w:eastAsia="方正仿宋_GBK"/>
          <w:b/>
          <w:color w:val="000000"/>
          <w:sz w:val="32"/>
          <w:szCs w:val="32"/>
        </w:rPr>
        <w:t>是基础设施有待加强。</w:t>
      </w:r>
      <w:r>
        <w:rPr>
          <w:rFonts w:ascii="Times New Roman" w:hAnsi="Times New Roman" w:eastAsia="方正仿宋_GBK"/>
          <w:color w:val="000000"/>
          <w:sz w:val="32"/>
          <w:szCs w:val="32"/>
        </w:rPr>
        <w:t>水资源综合利用效率有待提升，公路、铁路密度均低于全国平均水平，且伊吾县没有机场，基础设施仍是制约伊吾县经济社会发展的重要瓶颈。</w:t>
      </w:r>
      <w:r>
        <w:rPr>
          <w:rFonts w:hint="eastAsia" w:ascii="Times New Roman" w:hAnsi="Times New Roman" w:eastAsia="方正仿宋_GBK"/>
          <w:b/>
          <w:color w:val="000000"/>
          <w:sz w:val="32"/>
          <w:szCs w:val="32"/>
        </w:rPr>
        <w:t>二</w:t>
      </w:r>
      <w:r>
        <w:rPr>
          <w:rFonts w:ascii="Times New Roman" w:hAnsi="Times New Roman" w:eastAsia="方正仿宋_GBK"/>
          <w:b/>
          <w:color w:val="000000"/>
          <w:sz w:val="32"/>
          <w:szCs w:val="32"/>
        </w:rPr>
        <w:t>是生态环境保护力度需进一步加大。</w:t>
      </w:r>
      <w:r>
        <w:rPr>
          <w:rFonts w:ascii="Times New Roman" w:hAnsi="Times New Roman" w:eastAsia="方正仿宋_GBK"/>
          <w:color w:val="000000"/>
          <w:sz w:val="32"/>
          <w:szCs w:val="32"/>
        </w:rPr>
        <w:t>伊吾县区域生态环境总体比较脆弱，经济发展对能源资源的依赖性较强，依靠能源资源加工转换带动经济发展的县情在短时间内无法根本改变，生态环境保护任重道远。</w:t>
      </w:r>
      <w:r>
        <w:rPr>
          <w:rFonts w:hint="eastAsia" w:ascii="Times New Roman" w:hAnsi="Times New Roman" w:eastAsia="方正仿宋_GBK"/>
          <w:b/>
          <w:color w:val="000000"/>
          <w:sz w:val="32"/>
          <w:szCs w:val="32"/>
        </w:rPr>
        <w:t>三</w:t>
      </w:r>
      <w:r>
        <w:rPr>
          <w:rFonts w:ascii="Times New Roman" w:hAnsi="Times New Roman" w:eastAsia="方正仿宋_GBK"/>
          <w:b/>
          <w:color w:val="000000"/>
          <w:sz w:val="32"/>
          <w:szCs w:val="32"/>
        </w:rPr>
        <w:t>是民生保障任务繁重。</w:t>
      </w:r>
      <w:r>
        <w:rPr>
          <w:rFonts w:ascii="Times New Roman" w:hAnsi="Times New Roman" w:eastAsia="方正仿宋_GBK"/>
          <w:color w:val="000000"/>
          <w:sz w:val="32"/>
          <w:szCs w:val="32"/>
        </w:rPr>
        <w:t>城乡区域发展和收入分配差距仍然较大，教育、医疗、文化体育等公共服务供给质量满足不了经济社会发展的需要，社会文明程度有待提高。</w:t>
      </w:r>
      <w:r>
        <w:rPr>
          <w:rFonts w:hint="eastAsia" w:ascii="Times New Roman" w:hAnsi="Times New Roman" w:eastAsia="方正仿宋_GBK"/>
          <w:b/>
          <w:color w:val="000000"/>
          <w:sz w:val="32"/>
          <w:szCs w:val="32"/>
        </w:rPr>
        <w:t>四</w:t>
      </w:r>
      <w:r>
        <w:rPr>
          <w:rFonts w:ascii="Times New Roman" w:hAnsi="Times New Roman" w:eastAsia="方正仿宋_GBK"/>
          <w:b/>
          <w:color w:val="000000"/>
          <w:sz w:val="32"/>
          <w:szCs w:val="32"/>
        </w:rPr>
        <w:t>是各类人才严重匮乏。</w:t>
      </w:r>
      <w:r>
        <w:rPr>
          <w:rFonts w:ascii="Times New Roman" w:hAnsi="Times New Roman" w:eastAsia="方正仿宋_GBK"/>
          <w:color w:val="000000"/>
          <w:sz w:val="32"/>
          <w:szCs w:val="32"/>
        </w:rPr>
        <w:t>人才总量不足特别是高层次人才缺乏，面对各地争相吸引人才的激烈形势，人才开发水平和能力低，存在人才流失的问题。</w:t>
      </w:r>
    </w:p>
    <w:p w14:paraId="0F692FF1">
      <w:pPr>
        <w:spacing w:line="560" w:lineRule="atLeas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在新的形势下，全县各级各部门和全体党员干部必须深刻认识我国将进入开启全面建设社会主义现代化国家新征程、向第二个百年奋斗目标进军的新发展阶段，深刻认识社会主要矛盾变化带来的新特征新要求，深刻认识错综复杂的国际环境带来的新矛盾新挑战，增强机遇意识和忧患意识，保持战略定力、树立底线思维，发挥优势、用好机遇，乘势而上、积极作为，奋力开创新时代伊吾工作新局面。</w:t>
      </w:r>
    </w:p>
    <w:p w14:paraId="24F75E1C">
      <w:pPr>
        <w:pStyle w:val="3"/>
        <w:spacing w:line="560" w:lineRule="exact"/>
        <w:jc w:val="center"/>
        <w:rPr>
          <w:rFonts w:eastAsia="方正黑体_GBK"/>
          <w:b w:val="0"/>
          <w:bCs/>
          <w:color w:val="000000"/>
          <w:sz w:val="36"/>
          <w:szCs w:val="36"/>
        </w:rPr>
      </w:pPr>
      <w:bookmarkStart w:id="37" w:name="_Toc75285087"/>
      <w:r>
        <w:rPr>
          <w:rFonts w:eastAsia="方正黑体_GBK"/>
          <w:b w:val="0"/>
          <w:bCs/>
          <w:color w:val="000000"/>
          <w:sz w:val="36"/>
          <w:szCs w:val="36"/>
        </w:rPr>
        <w:t>第二篇  “十四五”经济社会发展总体要求</w:t>
      </w:r>
      <w:bookmarkEnd w:id="37"/>
    </w:p>
    <w:p w14:paraId="74445354">
      <w:pPr>
        <w:pStyle w:val="2"/>
        <w:spacing w:line="540" w:lineRule="exact"/>
        <w:jc w:val="center"/>
        <w:rPr>
          <w:rFonts w:hint="default" w:ascii="Times New Roman" w:hAnsi="Times New Roman" w:eastAsia="方正楷体_GBK" w:cs="Times New Roman"/>
          <w:b w:val="0"/>
          <w:bCs w:val="0"/>
          <w:color w:val="000000"/>
          <w:kern w:val="0"/>
          <w:sz w:val="32"/>
        </w:rPr>
      </w:pPr>
      <w:bookmarkStart w:id="38" w:name="_Toc75285088"/>
      <w:r>
        <w:rPr>
          <w:rFonts w:hint="default" w:ascii="Times New Roman" w:hAnsi="Times New Roman" w:eastAsia="方正楷体_GBK" w:cs="Times New Roman"/>
          <w:b w:val="0"/>
          <w:bCs w:val="0"/>
          <w:color w:val="000000"/>
          <w:kern w:val="0"/>
          <w:sz w:val="32"/>
        </w:rPr>
        <w:t>第一章  指导思想</w:t>
      </w:r>
      <w:bookmarkEnd w:id="38"/>
    </w:p>
    <w:p w14:paraId="161813BC">
      <w:pPr>
        <w:spacing w:line="560" w:lineRule="atLeas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高举中国特色社会主义伟大旗帜，坚持以马克思列宁主义、毛泽东思想、邓小平理论、“三个代表”重要思想、科学发展观、习近平新时代中国特色社会主义思想为指导，深入贯彻党的十九大和十九届二中、三中、四中、五中全会精神，贯彻落实第三次中央新疆工作座谈会精神，增强“四个意识”、坚定“四个自信”、做到“两个维护”，全面贯彻党的基本理论、基本路线、基本方略，</w:t>
      </w:r>
      <w:r>
        <w:rPr>
          <w:rFonts w:hint="eastAsia" w:ascii="Times New Roman" w:hAnsi="Times New Roman" w:eastAsia="方正仿宋_GBK"/>
          <w:color w:val="000000"/>
          <w:sz w:val="32"/>
          <w:szCs w:val="32"/>
        </w:rPr>
        <w:t>完整准确全面贯彻新时代党的治疆方略</w:t>
      </w:r>
      <w:r>
        <w:rPr>
          <w:rFonts w:hint="eastAsia" w:ascii="Times New Roman" w:hAnsi="Times New Roman" w:eastAsia="方正仿宋_GBK"/>
          <w:color w:val="000000"/>
          <w:sz w:val="32"/>
          <w:szCs w:val="32"/>
          <w:lang w:eastAsia="zh-CN"/>
        </w:rPr>
        <w:t>，</w:t>
      </w:r>
      <w:r>
        <w:rPr>
          <w:rFonts w:ascii="Times New Roman" w:hAnsi="Times New Roman" w:eastAsia="方正仿宋_GBK"/>
          <w:color w:val="000000"/>
          <w:sz w:val="32"/>
          <w:szCs w:val="32"/>
        </w:rPr>
        <w:t>牢牢扭住社会稳定和长治久安总目标，统筹推进“五位一体”总体布局，协调推进“四个全面”战略布局，坚持依法治疆、团结稳疆、文化润疆、富民兴疆、长期建疆，坚持稳中求进工作总基调，立足新发展阶段、贯彻新发展理念、构建新发展格局，以推动高质量发展为主题，以深化供给侧结构性改革为主线，以改革创新为根本动力，以满足人民日益增长的美好生活需要为根本目的，以</w:t>
      </w:r>
      <w:r>
        <w:rPr>
          <w:rFonts w:hint="eastAsia" w:ascii="Times New Roman" w:hAnsi="Times New Roman" w:eastAsia="方正仿宋_GBK"/>
          <w:color w:val="000000"/>
          <w:sz w:val="32"/>
          <w:szCs w:val="32"/>
        </w:rPr>
        <w:t>推进国家治理体系和治理能力现代化</w:t>
      </w:r>
      <w:r>
        <w:rPr>
          <w:rFonts w:ascii="Times New Roman" w:hAnsi="Times New Roman" w:eastAsia="方正仿宋_GBK"/>
          <w:color w:val="000000"/>
          <w:sz w:val="32"/>
          <w:szCs w:val="32"/>
        </w:rPr>
        <w:t>为保障，统筹发展和安全，加快建设现代化经济体系，实现经济行稳致远、社会安定和谐，</w:t>
      </w:r>
      <w:r>
        <w:rPr>
          <w:rFonts w:hint="eastAsia" w:ascii="Times New Roman" w:hAnsi="Times New Roman" w:eastAsia="方正仿宋_GBK"/>
          <w:color w:val="000000"/>
          <w:sz w:val="32"/>
          <w:szCs w:val="32"/>
          <w:lang w:eastAsia="zh-CN"/>
        </w:rPr>
        <w:t>在新时代新征程上</w:t>
      </w:r>
      <w:r>
        <w:rPr>
          <w:rFonts w:ascii="Times New Roman" w:hAnsi="Times New Roman" w:eastAsia="方正仿宋_GBK"/>
          <w:color w:val="000000"/>
          <w:sz w:val="32"/>
          <w:szCs w:val="32"/>
        </w:rPr>
        <w:t>努力建设团结和谐、繁荣富裕、文明进步、安居乐业、生态良好的中国特色社会主义伊吾。</w:t>
      </w:r>
    </w:p>
    <w:p w14:paraId="305788FE">
      <w:pPr>
        <w:pStyle w:val="2"/>
        <w:spacing w:line="540" w:lineRule="exact"/>
        <w:jc w:val="center"/>
        <w:rPr>
          <w:rFonts w:hint="default" w:ascii="Times New Roman" w:hAnsi="Times New Roman" w:eastAsia="方正楷体_GBK" w:cs="Times New Roman"/>
          <w:b w:val="0"/>
          <w:bCs w:val="0"/>
          <w:color w:val="000000"/>
          <w:kern w:val="0"/>
          <w:sz w:val="32"/>
        </w:rPr>
      </w:pPr>
      <w:bookmarkStart w:id="39" w:name="_Toc75285089"/>
      <w:r>
        <w:rPr>
          <w:rFonts w:hint="default" w:ascii="Times New Roman" w:hAnsi="Times New Roman" w:eastAsia="方正楷体_GBK" w:cs="Times New Roman"/>
          <w:b w:val="0"/>
          <w:bCs w:val="0"/>
          <w:color w:val="000000"/>
          <w:kern w:val="0"/>
          <w:sz w:val="32"/>
        </w:rPr>
        <w:t>第二章  基本原则</w:t>
      </w:r>
      <w:bookmarkEnd w:id="39"/>
    </w:p>
    <w:p w14:paraId="744BFE53">
      <w:pPr>
        <w:spacing w:line="560" w:lineRule="atLeas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立足全面建成小康社会基础，着眼2035年与全国同步基本实现社会主义现代化，新疆经济社会发展应遵循以下原则：</w:t>
      </w:r>
    </w:p>
    <w:p w14:paraId="63CCC37C">
      <w:pPr>
        <w:spacing w:line="560" w:lineRule="atLeast"/>
        <w:ind w:firstLine="643" w:firstLineChars="200"/>
        <w:rPr>
          <w:rFonts w:ascii="Times New Roman" w:hAnsi="Times New Roman" w:eastAsia="方正仿宋_GBK"/>
          <w:color w:val="000000"/>
          <w:sz w:val="32"/>
          <w:szCs w:val="32"/>
        </w:rPr>
      </w:pPr>
      <w:r>
        <w:rPr>
          <w:rFonts w:ascii="Times New Roman" w:hAnsi="Times New Roman" w:eastAsia="方正楷体_GBK"/>
          <w:b/>
          <w:bCs/>
          <w:color w:val="000000"/>
          <w:sz w:val="32"/>
          <w:szCs w:val="32"/>
        </w:rPr>
        <w:t>——坚持党的全面领导。</w:t>
      </w:r>
      <w:r>
        <w:rPr>
          <w:rFonts w:ascii="Times New Roman" w:hAnsi="Times New Roman" w:eastAsia="方正仿宋_GBK"/>
          <w:color w:val="000000"/>
          <w:sz w:val="32"/>
          <w:szCs w:val="32"/>
        </w:rPr>
        <w:t>坚持和完善党领导经济社会发展的体制机制，坚持和完善中国特色社会主义制度，不断提高贯彻新发展理念、构建新发展格局的能力和水平，为实现高质量发展提供根本保证。</w:t>
      </w:r>
    </w:p>
    <w:p w14:paraId="0A45EB11">
      <w:pPr>
        <w:spacing w:line="560" w:lineRule="atLeast"/>
        <w:ind w:firstLine="643" w:firstLineChars="200"/>
        <w:rPr>
          <w:rFonts w:ascii="Times New Roman" w:hAnsi="Times New Roman" w:eastAsia="方正仿宋_GBK"/>
          <w:color w:val="000000"/>
          <w:sz w:val="32"/>
          <w:szCs w:val="32"/>
        </w:rPr>
      </w:pPr>
      <w:r>
        <w:rPr>
          <w:rFonts w:ascii="Times New Roman" w:hAnsi="Times New Roman" w:eastAsia="方正楷体_GBK"/>
          <w:b/>
          <w:bCs/>
          <w:color w:val="000000"/>
          <w:sz w:val="32"/>
          <w:szCs w:val="32"/>
        </w:rPr>
        <w:t>——坚持新时代党的治疆方略。</w:t>
      </w:r>
      <w:r>
        <w:rPr>
          <w:rFonts w:ascii="Times New Roman" w:hAnsi="Times New Roman" w:eastAsia="方正仿宋_GBK"/>
          <w:color w:val="000000"/>
          <w:sz w:val="32"/>
          <w:szCs w:val="32"/>
        </w:rPr>
        <w:t>坚持从战略上审视和谋划新疆工作，坚持把社会稳定和长治久安作为新疆工作的总目标，坚持以凝聚人心为根本，坚持铸牢中华民族共同体意识，坚持我国宗教中国化方向，坚持弘扬和培育社会主义核心价值观，坚持紧贴民生推动高质量发展，坚持加强党对新疆工作的领导，确保新疆工作始终保持正确政治方向。</w:t>
      </w:r>
    </w:p>
    <w:p w14:paraId="3FC663AA">
      <w:pPr>
        <w:spacing w:line="560" w:lineRule="atLeast"/>
        <w:ind w:firstLine="643" w:firstLineChars="200"/>
        <w:rPr>
          <w:rFonts w:ascii="Times New Roman" w:hAnsi="Times New Roman" w:eastAsia="方正仿宋_GBK"/>
          <w:color w:val="000000"/>
          <w:sz w:val="32"/>
          <w:szCs w:val="32"/>
        </w:rPr>
      </w:pPr>
      <w:r>
        <w:rPr>
          <w:rFonts w:ascii="Times New Roman" w:hAnsi="Times New Roman" w:eastAsia="方正楷体_GBK"/>
          <w:b/>
          <w:bCs/>
          <w:color w:val="000000"/>
          <w:sz w:val="32"/>
          <w:szCs w:val="32"/>
        </w:rPr>
        <w:t>——坚持以人民为中心。</w:t>
      </w:r>
      <w:r>
        <w:rPr>
          <w:rFonts w:ascii="Times New Roman" w:hAnsi="Times New Roman" w:eastAsia="方正仿宋_GBK"/>
          <w:color w:val="000000"/>
          <w:sz w:val="32"/>
          <w:szCs w:val="32"/>
        </w:rPr>
        <w:t>坚持人民主体地位，坚持共同富裕方向，始终做到发展为了人民、发展依靠人民、发展成果由人民共享，维护人民根本利益，激发各族群众积极性、主动性、创造性，促进社会公平，增进民生福祉，不断实现人民对美好生活的向往。</w:t>
      </w:r>
    </w:p>
    <w:p w14:paraId="1188C99C">
      <w:pPr>
        <w:spacing w:line="560" w:lineRule="atLeast"/>
        <w:ind w:firstLine="643" w:firstLineChars="200"/>
        <w:rPr>
          <w:rFonts w:ascii="Times New Roman" w:hAnsi="Times New Roman" w:eastAsia="方正仿宋_GBK"/>
          <w:color w:val="000000"/>
          <w:sz w:val="32"/>
          <w:szCs w:val="32"/>
        </w:rPr>
      </w:pPr>
      <w:r>
        <w:rPr>
          <w:rFonts w:ascii="Times New Roman" w:hAnsi="Times New Roman" w:eastAsia="方正楷体_GBK"/>
          <w:b/>
          <w:bCs/>
          <w:color w:val="000000"/>
          <w:sz w:val="32"/>
          <w:szCs w:val="32"/>
        </w:rPr>
        <w:t>——坚持新发展理念。</w:t>
      </w:r>
      <w:r>
        <w:rPr>
          <w:rFonts w:ascii="Times New Roman" w:hAnsi="Times New Roman" w:eastAsia="方正仿宋_GBK"/>
          <w:color w:val="000000"/>
          <w:sz w:val="32"/>
          <w:szCs w:val="32"/>
        </w:rPr>
        <w:t>立足新发展阶段，把新发展理念贯穿于发展全过程和各领域，加快构建新发展格局，切实转变发展方式，推动质量变革、效率变革、动力变革，实现更高质量、更有效率、更加公平、更可持续、更为安全的发展。</w:t>
      </w:r>
    </w:p>
    <w:p w14:paraId="1349A677">
      <w:pPr>
        <w:spacing w:line="560" w:lineRule="atLeast"/>
        <w:ind w:firstLine="643" w:firstLineChars="200"/>
        <w:rPr>
          <w:rFonts w:ascii="Times New Roman" w:hAnsi="Times New Roman" w:eastAsia="方正仿宋_GBK"/>
          <w:color w:val="000000"/>
          <w:sz w:val="32"/>
          <w:szCs w:val="32"/>
        </w:rPr>
      </w:pPr>
      <w:r>
        <w:rPr>
          <w:rFonts w:ascii="Times New Roman" w:hAnsi="Times New Roman" w:eastAsia="方正楷体_GBK"/>
          <w:b/>
          <w:bCs/>
          <w:color w:val="000000"/>
          <w:sz w:val="32"/>
          <w:szCs w:val="32"/>
        </w:rPr>
        <w:t>——坚持深化改革开放。</w:t>
      </w:r>
      <w:r>
        <w:rPr>
          <w:rFonts w:ascii="Times New Roman" w:hAnsi="Times New Roman" w:eastAsia="方正仿宋_GBK"/>
          <w:color w:val="000000"/>
          <w:sz w:val="32"/>
          <w:szCs w:val="32"/>
        </w:rPr>
        <w:t>解放思想、更新观念，坚定不移推进改革，坚定不移扩大开放，加强治理体系和治理能力现代化建设，破除制约高质量发展、高品质生活的体制机制障碍，强化有利于提高资源配置效率、有利于调动全社会积极性的重大改革开放举措，持续增强发展动力和活力。</w:t>
      </w:r>
    </w:p>
    <w:p w14:paraId="6DD17253">
      <w:pPr>
        <w:spacing w:line="560" w:lineRule="atLeast"/>
        <w:ind w:firstLine="643" w:firstLineChars="200"/>
        <w:rPr>
          <w:rFonts w:ascii="Times New Roman" w:hAnsi="Times New Roman" w:eastAsia="方正仿宋_GBK"/>
          <w:color w:val="000000"/>
          <w:sz w:val="32"/>
          <w:szCs w:val="32"/>
        </w:rPr>
      </w:pPr>
      <w:r>
        <w:rPr>
          <w:rFonts w:ascii="Times New Roman" w:hAnsi="Times New Roman" w:eastAsia="方正楷体_GBK"/>
          <w:b/>
          <w:bCs/>
          <w:color w:val="000000"/>
          <w:sz w:val="32"/>
          <w:szCs w:val="32"/>
        </w:rPr>
        <w:t>——坚持系统观念。</w:t>
      </w:r>
      <w:r>
        <w:rPr>
          <w:rFonts w:ascii="Times New Roman" w:hAnsi="Times New Roman" w:eastAsia="方正仿宋_GBK"/>
          <w:color w:val="000000"/>
          <w:sz w:val="32"/>
          <w:szCs w:val="32"/>
        </w:rPr>
        <w:t>坚持全国一盘棋，服务国家大局，加强前瞻性思考、全局性谋划、战略性布局、整体性推进，统筹国内国际两个大局，办好发展安全两件大事，把中央支持、对口支援与发挥自身优势有机结合起来，着力固根基、扬优势、补短板、强弱项，注重防范化解重大风险挑战，实现发展质量、结构、规模、速度、效益、安全相统一。</w:t>
      </w:r>
    </w:p>
    <w:p w14:paraId="14E12196">
      <w:pPr>
        <w:spacing w:line="560" w:lineRule="atLeast"/>
        <w:ind w:firstLine="643" w:firstLineChars="200"/>
        <w:rPr>
          <w:rFonts w:ascii="Times New Roman" w:hAnsi="Times New Roman" w:eastAsia="方正仿宋_GBK"/>
          <w:color w:val="000000"/>
          <w:sz w:val="32"/>
          <w:szCs w:val="32"/>
        </w:rPr>
      </w:pPr>
      <w:r>
        <w:rPr>
          <w:rFonts w:ascii="Times New Roman" w:hAnsi="Times New Roman" w:eastAsia="方正楷体_GBK"/>
          <w:b/>
          <w:bCs/>
          <w:color w:val="000000"/>
          <w:sz w:val="32"/>
          <w:szCs w:val="32"/>
        </w:rPr>
        <w:t>——坚持从伊吾实际出发。</w:t>
      </w:r>
      <w:r>
        <w:rPr>
          <w:rFonts w:ascii="Times New Roman" w:hAnsi="Times New Roman" w:eastAsia="方正仿宋_GBK"/>
          <w:color w:val="000000"/>
          <w:sz w:val="32"/>
          <w:szCs w:val="32"/>
        </w:rPr>
        <w:t>把握市委赋予伊吾的科学定位和目标要求，结合伊吾面临的形势环境、优势条件，坚持顶层设计与问计于民、吃透政策、摸透实情相统一，认识和把握发展规律，因时因势因地制宜，发掘优势潜力，补齐短板弱项，找准支撑点增长点，务实创新，凸显特色、注重实效。</w:t>
      </w:r>
    </w:p>
    <w:p w14:paraId="40E45A85">
      <w:pPr>
        <w:pStyle w:val="2"/>
        <w:spacing w:line="540" w:lineRule="exact"/>
        <w:jc w:val="center"/>
        <w:rPr>
          <w:rFonts w:hint="default" w:ascii="Times New Roman" w:hAnsi="Times New Roman" w:eastAsia="方正楷体_GBK" w:cs="Times New Roman"/>
          <w:b w:val="0"/>
          <w:bCs w:val="0"/>
          <w:color w:val="000000"/>
          <w:kern w:val="0"/>
          <w:sz w:val="32"/>
        </w:rPr>
      </w:pPr>
      <w:bookmarkStart w:id="40" w:name="_Toc75285090"/>
      <w:r>
        <w:rPr>
          <w:rFonts w:hint="default" w:ascii="Times New Roman" w:hAnsi="Times New Roman" w:eastAsia="方正楷体_GBK" w:cs="Times New Roman"/>
          <w:b w:val="0"/>
          <w:bCs w:val="0"/>
          <w:color w:val="000000"/>
          <w:kern w:val="0"/>
          <w:sz w:val="32"/>
        </w:rPr>
        <w:t>第三章  2035年远景目标</w:t>
      </w:r>
      <w:bookmarkEnd w:id="40"/>
    </w:p>
    <w:p w14:paraId="55D00B38">
      <w:pPr>
        <w:spacing w:line="560" w:lineRule="atLeas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按照党中央对2035年远景目标的战略安排，从伊吾实际出发，提出与全国、全疆同步基本实现社会主义现代化远景目标。主要目标是：综合实力大幅跃升，经济总量和城乡居民人均收入迈上新台阶，创新能力显著提高；基本实现新型工业化、信息化、城镇化、农业现代化，建成现代化经济体系；文化润疆取得重大成效，中华民族共同体意识深入人心，国民素质和社会文明程度达到新高度；生态环境持续改善，广泛形成绿色生产生活方式；对内对外开放水平显著提升，丝绸之路经济带核心区建设成效明显；城乡区域发展差距和居民生活水平差距显著缩小，基本公共服务实现均等化；法治伊吾建设全面推进，社会大局持续稳定长期稳定，基本实现社会治理体系和治理能力现代化，长治久安基础更加坚实；人民生活更加美好，人的全面发展、全体人民共同富裕取得更为明显的实质性进展；平安伊吾、健康伊吾、文明伊吾、富裕伊吾、幸福伊吾、美丽伊吾建设达到更高水平。</w:t>
      </w:r>
    </w:p>
    <w:p w14:paraId="7491FD13">
      <w:pPr>
        <w:pStyle w:val="2"/>
        <w:spacing w:line="540" w:lineRule="exact"/>
        <w:jc w:val="center"/>
        <w:rPr>
          <w:rFonts w:hint="default" w:ascii="Times New Roman" w:hAnsi="Times New Roman" w:eastAsia="方正楷体_GBK" w:cs="Times New Roman"/>
          <w:b w:val="0"/>
          <w:bCs w:val="0"/>
          <w:color w:val="000000"/>
          <w:kern w:val="0"/>
          <w:sz w:val="32"/>
        </w:rPr>
      </w:pPr>
      <w:bookmarkStart w:id="41" w:name="_Toc75285091"/>
      <w:r>
        <w:rPr>
          <w:rFonts w:hint="default" w:ascii="Times New Roman" w:hAnsi="Times New Roman" w:eastAsia="方正楷体_GBK" w:cs="Times New Roman"/>
          <w:b w:val="0"/>
          <w:bCs w:val="0"/>
          <w:color w:val="000000"/>
          <w:kern w:val="0"/>
          <w:sz w:val="32"/>
        </w:rPr>
        <w:t>第四章  发展目标</w:t>
      </w:r>
      <w:bookmarkEnd w:id="41"/>
    </w:p>
    <w:p w14:paraId="317A8F25">
      <w:pPr>
        <w:spacing w:line="560" w:lineRule="atLeas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着眼2035年基本实现社会主义现代化远景目标，综合考虑国内外发展趋势和伊吾发展条件，坚持目标导向和问题导向相结合，切实落实自治区关于建设“三基地、三中心、三区”、着力做好“十篇文章”、打造“一个增长极”的战略部署，以“一个率先、四个建成、三个翻番”为目标，通过全县人民共同努力，经济增长速度高于全区平均水平，转型发展成效全区领先；从实际出发，着力打造国家煤电油气风光储一体化示范基地、生态文明建设样板区，成为新疆高质量发展重要增长极的重要组成部分。伊吾工业园区环境治理成效明显，空气质量明显改善，初步建成“大美新疆第一站”门户型地标城市。</w:t>
      </w:r>
    </w:p>
    <w:p w14:paraId="0A152579">
      <w:pPr>
        <w:spacing w:line="560" w:lineRule="atLeas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一个率先”，即2030年率先实现社会主义现代化，“四个建成”，即2025年建成宜居宜业宜游宜养的花园城市、具有“大美新疆”特质的国家级休闲度假区、自治区生态文明建设的样板区、自治区制造业高质量发展的示范区；“三个翻番”，即经济总量、地方财政收入、五年全社会固定资产投资翻一番。</w:t>
      </w:r>
    </w:p>
    <w:p w14:paraId="2C34EE5C">
      <w:pPr>
        <w:spacing w:line="560" w:lineRule="atLeast"/>
        <w:ind w:firstLine="643" w:firstLineChars="200"/>
        <w:rPr>
          <w:rFonts w:ascii="Times New Roman" w:hAnsi="Times New Roman" w:eastAsia="方正仿宋_GBK"/>
          <w:color w:val="000000"/>
          <w:sz w:val="32"/>
          <w:szCs w:val="32"/>
        </w:rPr>
      </w:pPr>
      <w:r>
        <w:rPr>
          <w:rFonts w:ascii="Times New Roman" w:hAnsi="Times New Roman" w:eastAsia="方正楷体_GBK"/>
          <w:b/>
          <w:bCs/>
          <w:color w:val="000000"/>
          <w:sz w:val="32"/>
          <w:szCs w:val="32"/>
        </w:rPr>
        <w:t>——经济发展取得新成效。</w:t>
      </w:r>
      <w:r>
        <w:rPr>
          <w:rFonts w:ascii="Times New Roman" w:hAnsi="Times New Roman" w:eastAsia="方正仿宋_GBK"/>
          <w:color w:val="000000"/>
          <w:sz w:val="32"/>
          <w:szCs w:val="32"/>
        </w:rPr>
        <w:t>坚持新发展理念，在质量效益明显提升的基础上实现经济持续健康发展，增长潜力充分发挥，综合经济实力进一步提升，经济结构更加优化，产业链现代化不断延伸，城乡区域发展协调性明显增强，现代化经济体系建设取得重大进展。</w:t>
      </w:r>
    </w:p>
    <w:p w14:paraId="1B9C3A90">
      <w:pPr>
        <w:spacing w:line="560" w:lineRule="atLeast"/>
        <w:ind w:firstLine="643" w:firstLineChars="200"/>
        <w:rPr>
          <w:rFonts w:ascii="Times New Roman" w:hAnsi="Times New Roman" w:eastAsia="方正仿宋_GBK"/>
          <w:color w:val="000000"/>
          <w:sz w:val="32"/>
          <w:szCs w:val="32"/>
        </w:rPr>
      </w:pPr>
      <w:r>
        <w:rPr>
          <w:rFonts w:ascii="Times New Roman" w:hAnsi="Times New Roman" w:eastAsia="方正楷体_GBK"/>
          <w:b/>
          <w:bCs/>
          <w:color w:val="000000"/>
          <w:sz w:val="32"/>
          <w:szCs w:val="32"/>
        </w:rPr>
        <w:t>——改革开放迈出新步伐。</w:t>
      </w:r>
      <w:r>
        <w:rPr>
          <w:rFonts w:ascii="Times New Roman" w:hAnsi="Times New Roman" w:eastAsia="方正仿宋_GBK"/>
          <w:color w:val="000000"/>
          <w:sz w:val="32"/>
          <w:szCs w:val="32"/>
        </w:rPr>
        <w:t>全面完成中央、自治区、哈密市确定的改革任务，社会主义市场经济体制不断完善，市场主体更加充满活力，产权制度改革和要素市场化配置改革加快推进，丝绸之路经济带核心区建设取得重要进展，开放型经济体制初步建立，向西开放力度持续加大，对外开放形成新格局。</w:t>
      </w:r>
    </w:p>
    <w:p w14:paraId="6DB5639A">
      <w:pPr>
        <w:spacing w:line="560" w:lineRule="atLeast"/>
        <w:ind w:firstLine="643" w:firstLineChars="200"/>
        <w:rPr>
          <w:rFonts w:ascii="Times New Roman" w:hAnsi="Times New Roman" w:eastAsia="方正仿宋_GBK"/>
          <w:color w:val="000000"/>
          <w:sz w:val="32"/>
          <w:szCs w:val="32"/>
        </w:rPr>
      </w:pPr>
      <w:r>
        <w:rPr>
          <w:rFonts w:ascii="Times New Roman" w:hAnsi="Times New Roman" w:eastAsia="方正楷体_GBK"/>
          <w:b/>
          <w:bCs/>
          <w:color w:val="000000"/>
          <w:sz w:val="32"/>
          <w:szCs w:val="32"/>
        </w:rPr>
        <w:t>——民族团结实现新加强。</w:t>
      </w:r>
      <w:r>
        <w:rPr>
          <w:rFonts w:ascii="Times New Roman" w:hAnsi="Times New Roman" w:eastAsia="方正仿宋_GBK"/>
          <w:color w:val="000000"/>
          <w:sz w:val="32"/>
          <w:szCs w:val="32"/>
        </w:rPr>
        <w:t>文化润疆扎实推进，社会主义核心价值观深入人心，正确的国家观、历史观、民族观、文化观、宗教观牢固树立，公共文化服务体系和文化产业体系不断健全，群众精神文化生活更加丰富，中华文化主体地位切实巩固，各族群众思想道德素质、科学文化素质和身心健康素质明显提高。</w:t>
      </w:r>
    </w:p>
    <w:p w14:paraId="58455A50">
      <w:pPr>
        <w:spacing w:line="560" w:lineRule="atLeast"/>
        <w:ind w:firstLine="643" w:firstLineChars="200"/>
        <w:rPr>
          <w:rFonts w:ascii="Times New Roman" w:hAnsi="Times New Roman" w:eastAsia="方正仿宋_GBK"/>
          <w:color w:val="000000"/>
          <w:sz w:val="32"/>
          <w:szCs w:val="32"/>
        </w:rPr>
      </w:pPr>
      <w:r>
        <w:rPr>
          <w:rFonts w:ascii="Times New Roman" w:hAnsi="Times New Roman" w:eastAsia="方正楷体_GBK"/>
          <w:b/>
          <w:bCs/>
          <w:color w:val="000000"/>
          <w:sz w:val="32"/>
          <w:szCs w:val="32"/>
        </w:rPr>
        <w:t>——社会文明程度实现新提升。</w:t>
      </w:r>
      <w:r>
        <w:rPr>
          <w:rFonts w:ascii="Times New Roman" w:hAnsi="Times New Roman" w:eastAsia="方正仿宋_GBK"/>
          <w:color w:val="000000"/>
          <w:sz w:val="32"/>
          <w:szCs w:val="32"/>
        </w:rPr>
        <w:t>社会主义核心价值观更加深入人心，公民思想道德素质、科学文化素质、法治素质和社会文明程度显著提高。公共文化服务体系和文化产业体系更加健全，人民精神文化生活日益丰富。</w:t>
      </w:r>
    </w:p>
    <w:p w14:paraId="7CEDD24C">
      <w:pPr>
        <w:spacing w:line="560" w:lineRule="atLeast"/>
        <w:ind w:firstLine="643" w:firstLineChars="200"/>
        <w:rPr>
          <w:rFonts w:ascii="Times New Roman" w:hAnsi="Times New Roman" w:eastAsia="方正仿宋_GBK"/>
          <w:color w:val="000000"/>
          <w:sz w:val="32"/>
          <w:szCs w:val="32"/>
        </w:rPr>
      </w:pPr>
      <w:r>
        <w:rPr>
          <w:rFonts w:ascii="Times New Roman" w:hAnsi="Times New Roman" w:eastAsia="方正楷体_GBK"/>
          <w:b/>
          <w:bCs/>
          <w:color w:val="000000"/>
          <w:sz w:val="32"/>
          <w:szCs w:val="32"/>
        </w:rPr>
        <w:t>——生态文明建设取得新成效。</w:t>
      </w:r>
      <w:r>
        <w:rPr>
          <w:rFonts w:ascii="Times New Roman" w:hAnsi="Times New Roman" w:eastAsia="方正仿宋_GBK"/>
          <w:color w:val="000000"/>
          <w:sz w:val="32"/>
          <w:szCs w:val="32"/>
        </w:rPr>
        <w:t>国土空间开发保护格局得到优化，生产生活方式绿色转型成效显著，能源资源开发利用效率大幅提升，能耗和水资源消耗、建设用地得到有效控制，生态保护和修复机制基本形成，生态环境持续改善，生态安全屏障更加牢固，城乡人居环境明显改善，大美伊吾天更蓝、山更绿、水更清。</w:t>
      </w:r>
    </w:p>
    <w:p w14:paraId="1EB1CBAD">
      <w:pPr>
        <w:spacing w:line="560" w:lineRule="atLeast"/>
        <w:ind w:firstLine="643" w:firstLineChars="200"/>
        <w:rPr>
          <w:rFonts w:ascii="Times New Roman" w:hAnsi="Times New Roman" w:eastAsia="方正仿宋_GBK"/>
          <w:color w:val="000000"/>
          <w:sz w:val="32"/>
          <w:szCs w:val="32"/>
        </w:rPr>
      </w:pPr>
      <w:r>
        <w:rPr>
          <w:rFonts w:ascii="Times New Roman" w:hAnsi="Times New Roman" w:eastAsia="方正楷体_GBK"/>
          <w:b/>
          <w:bCs/>
          <w:color w:val="000000"/>
          <w:sz w:val="32"/>
          <w:szCs w:val="32"/>
        </w:rPr>
        <w:t>——民生福祉达到新水平。</w:t>
      </w:r>
      <w:r>
        <w:rPr>
          <w:rFonts w:ascii="Times New Roman" w:hAnsi="Times New Roman" w:eastAsia="方正仿宋_GBK"/>
          <w:color w:val="000000"/>
          <w:sz w:val="32"/>
          <w:szCs w:val="32"/>
        </w:rPr>
        <w:t>实现更加充分更高质量就业，分配结构明显改善，基本公共服务均等化水平明显提高，全民受教育程度不断提升，多层次社会保障体系更加健全，卫生健康体系更加完善，脱贫攻坚成果巩固拓展，乡村振兴战略全面推进，人民共同富裕迈出坚实步伐。</w:t>
      </w:r>
    </w:p>
    <w:p w14:paraId="55415C6D">
      <w:pPr>
        <w:spacing w:line="560" w:lineRule="atLeast"/>
        <w:ind w:firstLine="643" w:firstLineChars="200"/>
        <w:rPr>
          <w:rFonts w:ascii="Times New Roman" w:hAnsi="Times New Roman" w:eastAsia="方正仿宋_GBK"/>
          <w:color w:val="000000"/>
          <w:sz w:val="32"/>
          <w:szCs w:val="32"/>
        </w:rPr>
      </w:pPr>
      <w:r>
        <w:rPr>
          <w:rFonts w:ascii="Times New Roman" w:hAnsi="Times New Roman" w:eastAsia="方正楷体_GBK"/>
          <w:b/>
          <w:bCs/>
          <w:color w:val="000000"/>
          <w:sz w:val="32"/>
          <w:szCs w:val="32"/>
        </w:rPr>
        <w:t>——社会治理效能得到新提升。</w:t>
      </w:r>
      <w:r>
        <w:rPr>
          <w:rFonts w:ascii="Times New Roman" w:hAnsi="Times New Roman" w:eastAsia="方正仿宋_GBK"/>
          <w:color w:val="000000"/>
          <w:sz w:val="32"/>
          <w:szCs w:val="32"/>
        </w:rPr>
        <w:t>依法治县任务全面落实，社会主义民主法治更加健全，法治政府和法治社会建设取得积极进展，社会公平正义进一步彰显，政府作用更好发挥，行政效率和公信力显著提升，社会治理法治化、现代化水平显著提升，防范化解重大风险体制机制不断健全，突发公共事件应急能力显著增强，自然灾害防御水平明显提升，发展安全保障更加有力。</w:t>
      </w:r>
    </w:p>
    <w:p w14:paraId="25DE8EED">
      <w:pPr>
        <w:pStyle w:val="15"/>
        <w:spacing w:after="0" w:line="400" w:lineRule="exact"/>
        <w:ind w:left="0" w:leftChars="0" w:firstLine="0" w:firstLineChars="0"/>
        <w:jc w:val="both"/>
        <w:rPr>
          <w:rFonts w:hint="eastAsia" w:ascii="黑体" w:hAnsi="黑体" w:eastAsia="黑体" w:cs="黑体"/>
          <w:b w:val="0"/>
          <w:bCs/>
          <w:sz w:val="24"/>
          <w:szCs w:val="24"/>
        </w:rPr>
      </w:pPr>
      <w:r>
        <w:rPr>
          <w:rFonts w:hint="eastAsia" w:ascii="Times New Roman" w:hAnsi="Times New Roman" w:eastAsia="仿宋_GB2312"/>
          <w:b/>
          <w:sz w:val="32"/>
          <w:szCs w:val="32"/>
          <w:lang w:val="en-US" w:eastAsia="zh-CN"/>
        </w:rPr>
        <w:t xml:space="preserve">   </w:t>
      </w:r>
    </w:p>
    <w:tbl>
      <w:tblPr>
        <w:tblStyle w:val="16"/>
        <w:tblpPr w:leftFromText="180" w:rightFromText="180" w:vertAnchor="text" w:horzAnchor="page" w:tblpXSpec="center" w:tblpY="210"/>
        <w:tblOverlap w:val="never"/>
        <w:tblW w:w="10148" w:type="dxa"/>
        <w:jc w:val="center"/>
        <w:tblLayout w:type="fixed"/>
        <w:tblCellMar>
          <w:top w:w="0" w:type="dxa"/>
          <w:left w:w="108" w:type="dxa"/>
          <w:bottom w:w="0" w:type="dxa"/>
          <w:right w:w="108" w:type="dxa"/>
        </w:tblCellMar>
      </w:tblPr>
      <w:tblGrid>
        <w:gridCol w:w="750"/>
        <w:gridCol w:w="4283"/>
        <w:gridCol w:w="916"/>
        <w:gridCol w:w="1301"/>
        <w:gridCol w:w="1983"/>
        <w:gridCol w:w="915"/>
      </w:tblGrid>
      <w:tr w14:paraId="3E6AAE69">
        <w:tblPrEx>
          <w:tblCellMar>
            <w:top w:w="0" w:type="dxa"/>
            <w:left w:w="108" w:type="dxa"/>
            <w:bottom w:w="0" w:type="dxa"/>
            <w:right w:w="108" w:type="dxa"/>
          </w:tblCellMar>
        </w:tblPrEx>
        <w:trPr>
          <w:trHeight w:val="655" w:hRule="atLeast"/>
          <w:jc w:val="center"/>
        </w:trPr>
        <w:tc>
          <w:tcPr>
            <w:tcW w:w="10148" w:type="dxa"/>
            <w:gridSpan w:val="6"/>
            <w:tcBorders>
              <w:top w:val="single" w:color="000000" w:sz="4" w:space="0"/>
              <w:left w:val="single" w:color="000000" w:sz="4" w:space="0"/>
              <w:bottom w:val="single" w:color="000000" w:sz="4" w:space="0"/>
              <w:right w:val="single" w:color="000000" w:sz="4" w:space="0"/>
            </w:tcBorders>
            <w:noWrap/>
            <w:vAlign w:val="center"/>
          </w:tcPr>
          <w:p w14:paraId="1465E18F">
            <w:pPr>
              <w:widowControl/>
              <w:spacing w:line="280" w:lineRule="exact"/>
              <w:jc w:val="both"/>
              <w:textAlignment w:val="center"/>
              <w:rPr>
                <w:rFonts w:hint="eastAsia" w:ascii="黑体" w:hAnsi="黑体" w:eastAsia="黑体" w:cs="黑体"/>
                <w:b w:val="0"/>
                <w:bCs w:val="0"/>
                <w:sz w:val="21"/>
                <w:szCs w:val="21"/>
              </w:rPr>
            </w:pPr>
            <w:r>
              <w:rPr>
                <w:rFonts w:hint="eastAsia" w:ascii="黑体" w:hAnsi="黑体" w:eastAsia="黑体" w:cs="黑体"/>
                <w:b w:val="0"/>
                <w:bCs/>
                <w:sz w:val="24"/>
                <w:szCs w:val="24"/>
              </w:rPr>
              <w:t>专栏</w:t>
            </w:r>
            <w:r>
              <w:rPr>
                <w:rStyle w:val="26"/>
                <w:rFonts w:hint="eastAsia" w:ascii="Times New Roman" w:hAnsi="Times New Roman" w:eastAsia="黑体" w:cs="Times New Roman"/>
                <w:lang w:bidi="ar"/>
              </w:rPr>
              <w:t xml:space="preserve">1 </w:t>
            </w:r>
            <w:r>
              <w:rPr>
                <w:rStyle w:val="26"/>
                <w:rFonts w:hint="eastAsia" w:ascii="Times New Roman" w:hAnsi="Times New Roman" w:eastAsia="黑体" w:cs="Times New Roman"/>
                <w:lang w:val="en-US" w:eastAsia="zh-CN" w:bidi="ar"/>
              </w:rPr>
              <w:t xml:space="preserve">                   </w:t>
            </w:r>
            <w:r>
              <w:rPr>
                <w:rStyle w:val="26"/>
                <w:rFonts w:hint="default" w:ascii="Times New Roman" w:hAnsi="Times New Roman" w:eastAsia="黑体" w:cs="Times New Roman"/>
                <w:lang w:bidi="ar"/>
              </w:rPr>
              <w:t>“</w:t>
            </w:r>
            <w:r>
              <w:rPr>
                <w:rFonts w:hint="eastAsia" w:ascii="黑体" w:hAnsi="黑体" w:eastAsia="黑体" w:cs="黑体"/>
                <w:b w:val="0"/>
                <w:bCs/>
                <w:sz w:val="24"/>
                <w:szCs w:val="24"/>
              </w:rPr>
              <w:t>十四五</w:t>
            </w:r>
            <w:r>
              <w:rPr>
                <w:rStyle w:val="26"/>
                <w:rFonts w:hint="default" w:ascii="Times New Roman" w:hAnsi="Times New Roman" w:eastAsia="黑体" w:cs="Times New Roman"/>
                <w:lang w:bidi="ar"/>
              </w:rPr>
              <w:t>”</w:t>
            </w:r>
            <w:r>
              <w:rPr>
                <w:rFonts w:hint="eastAsia" w:ascii="黑体" w:hAnsi="黑体" w:eastAsia="黑体" w:cs="黑体"/>
                <w:b w:val="0"/>
                <w:bCs/>
                <w:sz w:val="24"/>
                <w:szCs w:val="24"/>
              </w:rPr>
              <w:t>期间经济社会发展主要指标</w:t>
            </w:r>
          </w:p>
        </w:tc>
      </w:tr>
      <w:tr w14:paraId="20C15D18">
        <w:tblPrEx>
          <w:tblCellMar>
            <w:top w:w="0" w:type="dxa"/>
            <w:left w:w="108" w:type="dxa"/>
            <w:bottom w:w="0" w:type="dxa"/>
            <w:right w:w="108" w:type="dxa"/>
          </w:tblCellMar>
        </w:tblPrEx>
        <w:trPr>
          <w:trHeight w:val="655"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249B8B2">
            <w:pPr>
              <w:widowControl/>
              <w:spacing w:line="280" w:lineRule="exact"/>
              <w:jc w:val="center"/>
              <w:textAlignment w:val="center"/>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0"/>
                <w:sz w:val="21"/>
                <w:szCs w:val="21"/>
              </w:rPr>
              <w:t>类别</w:t>
            </w:r>
          </w:p>
        </w:tc>
        <w:tc>
          <w:tcPr>
            <w:tcW w:w="4283" w:type="dxa"/>
            <w:tcBorders>
              <w:top w:val="single" w:color="000000" w:sz="4" w:space="0"/>
              <w:left w:val="single" w:color="000000" w:sz="4" w:space="0"/>
              <w:bottom w:val="single" w:color="000000" w:sz="4" w:space="0"/>
              <w:right w:val="single" w:color="000000" w:sz="4" w:space="0"/>
            </w:tcBorders>
            <w:noWrap/>
            <w:vAlign w:val="center"/>
          </w:tcPr>
          <w:p w14:paraId="3EA5D20D">
            <w:pPr>
              <w:widowControl/>
              <w:spacing w:line="280" w:lineRule="exact"/>
              <w:jc w:val="center"/>
              <w:textAlignment w:val="center"/>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0"/>
                <w:sz w:val="21"/>
                <w:szCs w:val="21"/>
              </w:rPr>
              <w:t>指标</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3A39FF1D">
            <w:pPr>
              <w:widowControl/>
              <w:spacing w:line="280" w:lineRule="exact"/>
              <w:jc w:val="center"/>
              <w:textAlignment w:val="center"/>
              <w:rPr>
                <w:rFonts w:hint="eastAsia" w:ascii="黑体" w:hAnsi="黑体" w:eastAsia="黑体" w:cs="黑体"/>
                <w:b w:val="0"/>
                <w:bCs w:val="0"/>
                <w:kern w:val="2"/>
                <w:sz w:val="21"/>
                <w:szCs w:val="21"/>
                <w:lang w:val="en-US" w:eastAsia="zh-CN" w:bidi="ar-SA"/>
              </w:rPr>
            </w:pPr>
            <w:r>
              <w:rPr>
                <w:rFonts w:hint="eastAsia" w:ascii="Times New Roman" w:hAnsi="Times New Roman" w:eastAsia="黑体" w:cs="Times New Roman"/>
                <w:color w:val="000000"/>
                <w:kern w:val="0"/>
                <w:szCs w:val="21"/>
                <w:lang w:bidi="ar"/>
              </w:rPr>
              <w:t>2020</w:t>
            </w:r>
            <w:r>
              <w:rPr>
                <w:rFonts w:hint="eastAsia" w:ascii="黑体" w:hAnsi="黑体" w:eastAsia="黑体" w:cs="黑体"/>
                <w:b w:val="0"/>
                <w:bCs w:val="0"/>
                <w:kern w:val="0"/>
                <w:sz w:val="21"/>
                <w:szCs w:val="21"/>
              </w:rPr>
              <w:t>年</w:t>
            </w:r>
          </w:p>
        </w:tc>
        <w:tc>
          <w:tcPr>
            <w:tcW w:w="1301" w:type="dxa"/>
            <w:tcBorders>
              <w:top w:val="single" w:color="000000" w:sz="4" w:space="0"/>
              <w:left w:val="single" w:color="000000" w:sz="4" w:space="0"/>
              <w:bottom w:val="single" w:color="000000" w:sz="4" w:space="0"/>
              <w:right w:val="single" w:color="000000" w:sz="4" w:space="0"/>
            </w:tcBorders>
            <w:noWrap/>
            <w:vAlign w:val="center"/>
          </w:tcPr>
          <w:p w14:paraId="40D59333">
            <w:pPr>
              <w:widowControl/>
              <w:spacing w:line="280" w:lineRule="exact"/>
              <w:jc w:val="center"/>
              <w:textAlignment w:val="center"/>
              <w:rPr>
                <w:rFonts w:hint="eastAsia" w:ascii="黑体" w:hAnsi="黑体" w:eastAsia="黑体" w:cs="黑体"/>
                <w:b w:val="0"/>
                <w:bCs w:val="0"/>
                <w:kern w:val="2"/>
                <w:sz w:val="21"/>
                <w:szCs w:val="21"/>
                <w:lang w:val="en-US" w:eastAsia="zh-CN" w:bidi="ar-SA"/>
              </w:rPr>
            </w:pPr>
            <w:r>
              <w:rPr>
                <w:rFonts w:hint="eastAsia" w:ascii="Times New Roman" w:hAnsi="Times New Roman" w:eastAsia="黑体" w:cs="Times New Roman"/>
                <w:color w:val="000000"/>
                <w:kern w:val="0"/>
                <w:szCs w:val="21"/>
                <w:lang w:bidi="ar"/>
              </w:rPr>
              <w:t>2025</w:t>
            </w:r>
            <w:r>
              <w:rPr>
                <w:rFonts w:hint="eastAsia" w:ascii="黑体" w:hAnsi="黑体" w:eastAsia="黑体" w:cs="黑体"/>
                <w:b w:val="0"/>
                <w:bCs w:val="0"/>
                <w:kern w:val="0"/>
                <w:sz w:val="21"/>
                <w:szCs w:val="21"/>
              </w:rPr>
              <w:t>年</w:t>
            </w:r>
          </w:p>
        </w:tc>
        <w:tc>
          <w:tcPr>
            <w:tcW w:w="1983" w:type="dxa"/>
            <w:tcBorders>
              <w:top w:val="single" w:color="000000" w:sz="4" w:space="0"/>
              <w:left w:val="single" w:color="000000" w:sz="4" w:space="0"/>
              <w:bottom w:val="single" w:color="000000" w:sz="4" w:space="0"/>
              <w:right w:val="single" w:color="000000" w:sz="4" w:space="0"/>
            </w:tcBorders>
            <w:noWrap/>
            <w:vAlign w:val="center"/>
          </w:tcPr>
          <w:p w14:paraId="2432552A">
            <w:pPr>
              <w:widowControl/>
              <w:spacing w:line="280" w:lineRule="exact"/>
              <w:jc w:val="center"/>
              <w:textAlignment w:val="center"/>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0"/>
                <w:sz w:val="21"/>
                <w:szCs w:val="21"/>
              </w:rPr>
              <w:t>年均/累计</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41571F41">
            <w:pPr>
              <w:widowControl/>
              <w:spacing w:line="280" w:lineRule="exact"/>
              <w:jc w:val="center"/>
              <w:textAlignment w:val="center"/>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0"/>
                <w:sz w:val="21"/>
                <w:szCs w:val="21"/>
              </w:rPr>
              <w:t>属性</w:t>
            </w:r>
          </w:p>
        </w:tc>
      </w:tr>
      <w:tr w14:paraId="17A6D5D1">
        <w:tblPrEx>
          <w:tblCellMar>
            <w:top w:w="0" w:type="dxa"/>
            <w:left w:w="108" w:type="dxa"/>
            <w:bottom w:w="0" w:type="dxa"/>
            <w:right w:w="108" w:type="dxa"/>
          </w:tblCellMar>
        </w:tblPrEx>
        <w:trPr>
          <w:trHeight w:val="485"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14:paraId="5BA0270A">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经济发展</w:t>
            </w:r>
          </w:p>
        </w:tc>
        <w:tc>
          <w:tcPr>
            <w:tcW w:w="4283" w:type="dxa"/>
            <w:tcBorders>
              <w:top w:val="single" w:color="000000" w:sz="4" w:space="0"/>
              <w:left w:val="single" w:color="000000" w:sz="4" w:space="0"/>
              <w:bottom w:val="single" w:color="000000" w:sz="4" w:space="0"/>
              <w:right w:val="single" w:color="000000" w:sz="4" w:space="0"/>
            </w:tcBorders>
            <w:vAlign w:val="center"/>
          </w:tcPr>
          <w:p w14:paraId="2E95A513">
            <w:pPr>
              <w:widowControl/>
              <w:spacing w:line="280" w:lineRule="exact"/>
              <w:jc w:val="left"/>
              <w:textAlignment w:val="center"/>
              <w:rPr>
                <w:rFonts w:hint="eastAsia" w:asciiTheme="minorEastAsia" w:hAnsiTheme="minorEastAsia" w:eastAsiaTheme="minorEastAsia" w:cstheme="minorEastAsia"/>
                <w:sz w:val="18"/>
                <w:szCs w:val="18"/>
              </w:rPr>
            </w:pPr>
            <w:r>
              <w:rPr>
                <w:rFonts w:hint="default" w:ascii="Times New Roman" w:hAnsi="Times New Roman" w:cs="Times New Roman" w:eastAsiaTheme="minorEastAsia"/>
                <w:kern w:val="0"/>
                <w:sz w:val="18"/>
                <w:szCs w:val="18"/>
              </w:rPr>
              <w:t>1.</w:t>
            </w:r>
            <w:r>
              <w:rPr>
                <w:rFonts w:hint="eastAsia" w:asciiTheme="minorEastAsia" w:hAnsiTheme="minorEastAsia" w:eastAsiaTheme="minorEastAsia" w:cstheme="minorEastAsia"/>
                <w:kern w:val="0"/>
                <w:sz w:val="18"/>
                <w:szCs w:val="18"/>
              </w:rPr>
              <w:t>地区生产总值增长</w:t>
            </w:r>
            <w:r>
              <w:rPr>
                <w:rFonts w:hint="default" w:ascii="Times New Roman" w:hAnsi="Times New Roman" w:cs="Times New Roman"/>
                <w:color w:val="000000"/>
                <w:kern w:val="0"/>
                <w:sz w:val="18"/>
                <w:szCs w:val="18"/>
                <w:lang w:bidi="ar"/>
              </w:rPr>
              <w:t>（%</w:t>
            </w:r>
            <w:r>
              <w:rPr>
                <w:rFonts w:hint="default" w:ascii="Times New Roman" w:hAnsi="Times New Roman" w:eastAsia="宋体" w:cs="Times New Roman"/>
                <w:color w:val="000000"/>
                <w:kern w:val="0"/>
                <w:sz w:val="18"/>
                <w:szCs w:val="18"/>
                <w:lang w:bidi="ar"/>
              </w:rPr>
              <w:t>）</w:t>
            </w:r>
          </w:p>
        </w:tc>
        <w:tc>
          <w:tcPr>
            <w:tcW w:w="916" w:type="dxa"/>
            <w:tcBorders>
              <w:top w:val="single" w:color="000000" w:sz="4" w:space="0"/>
              <w:left w:val="single" w:color="000000" w:sz="4" w:space="0"/>
              <w:bottom w:val="single" w:color="000000" w:sz="4" w:space="0"/>
              <w:right w:val="single" w:color="000000" w:sz="4" w:space="0"/>
            </w:tcBorders>
            <w:vAlign w:val="center"/>
          </w:tcPr>
          <w:p w14:paraId="1D3F3579">
            <w:pPr>
              <w:widowControl/>
              <w:spacing w:line="280" w:lineRule="exact"/>
              <w:jc w:val="center"/>
              <w:textAlignment w:val="center"/>
              <w:rPr>
                <w:rFonts w:hint="eastAsia" w:asciiTheme="minorEastAsia" w:hAnsiTheme="minorEastAsia" w:eastAsiaTheme="minorEastAsia" w:cstheme="minorEastAsia"/>
                <w:sz w:val="18"/>
                <w:szCs w:val="18"/>
              </w:rPr>
            </w:pPr>
            <w:r>
              <w:rPr>
                <w:rFonts w:hint="default" w:ascii="Times New Roman" w:hAnsi="Times New Roman" w:eastAsia="东文宋体" w:cs="Times New Roman"/>
                <w:color w:val="000000"/>
                <w:sz w:val="18"/>
                <w:szCs w:val="18"/>
              </w:rPr>
              <w:t>－</w:t>
            </w:r>
          </w:p>
        </w:tc>
        <w:tc>
          <w:tcPr>
            <w:tcW w:w="1301" w:type="dxa"/>
            <w:tcBorders>
              <w:top w:val="single" w:color="000000" w:sz="4" w:space="0"/>
              <w:left w:val="single" w:color="000000" w:sz="4" w:space="0"/>
              <w:bottom w:val="single" w:color="000000" w:sz="4" w:space="0"/>
              <w:right w:val="single" w:color="000000" w:sz="4" w:space="0"/>
            </w:tcBorders>
            <w:vAlign w:val="center"/>
          </w:tcPr>
          <w:p w14:paraId="7A74741E">
            <w:pPr>
              <w:widowControl/>
              <w:spacing w:line="280" w:lineRule="exact"/>
              <w:jc w:val="center"/>
              <w:textAlignment w:val="center"/>
              <w:rPr>
                <w:rFonts w:hint="eastAsia" w:asciiTheme="minorEastAsia" w:hAnsiTheme="minorEastAsia" w:eastAsiaTheme="minorEastAsia" w:cstheme="minorEastAsia"/>
                <w:sz w:val="18"/>
                <w:szCs w:val="18"/>
              </w:rPr>
            </w:pPr>
            <w:r>
              <w:rPr>
                <w:rFonts w:hint="default" w:ascii="Times New Roman" w:hAnsi="Times New Roman" w:eastAsia="东文宋体" w:cs="Times New Roman"/>
                <w:color w:val="000000"/>
                <w:sz w:val="18"/>
                <w:szCs w:val="18"/>
              </w:rPr>
              <w:t>－</w:t>
            </w:r>
          </w:p>
        </w:tc>
        <w:tc>
          <w:tcPr>
            <w:tcW w:w="1983" w:type="dxa"/>
            <w:tcBorders>
              <w:top w:val="single" w:color="000000" w:sz="4" w:space="0"/>
              <w:left w:val="single" w:color="000000" w:sz="4" w:space="0"/>
              <w:bottom w:val="single" w:color="000000" w:sz="4" w:space="0"/>
              <w:right w:val="single" w:color="000000" w:sz="4" w:space="0"/>
            </w:tcBorders>
            <w:vAlign w:val="center"/>
          </w:tcPr>
          <w:p w14:paraId="4FE88876">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lang w:eastAsia="zh-CN"/>
              </w:rPr>
              <w:t>保持在合理区间、各年度视情提出</w:t>
            </w:r>
          </w:p>
        </w:tc>
        <w:tc>
          <w:tcPr>
            <w:tcW w:w="915" w:type="dxa"/>
            <w:tcBorders>
              <w:top w:val="single" w:color="000000" w:sz="4" w:space="0"/>
              <w:left w:val="single" w:color="000000" w:sz="4" w:space="0"/>
              <w:bottom w:val="single" w:color="000000" w:sz="4" w:space="0"/>
              <w:right w:val="single" w:color="000000" w:sz="4" w:space="0"/>
            </w:tcBorders>
            <w:vAlign w:val="center"/>
          </w:tcPr>
          <w:p w14:paraId="510ECF2C">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预期性</w:t>
            </w:r>
          </w:p>
        </w:tc>
      </w:tr>
      <w:tr w14:paraId="00724CA9">
        <w:tblPrEx>
          <w:tblCellMar>
            <w:top w:w="0" w:type="dxa"/>
            <w:left w:w="108" w:type="dxa"/>
            <w:bottom w:w="0" w:type="dxa"/>
            <w:right w:w="108" w:type="dxa"/>
          </w:tblCellMar>
        </w:tblPrEx>
        <w:trPr>
          <w:trHeight w:val="485"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30F137EF">
            <w:pPr>
              <w:spacing w:line="280" w:lineRule="exact"/>
              <w:jc w:val="center"/>
              <w:rPr>
                <w:rFonts w:hint="eastAsia" w:asciiTheme="minorEastAsia" w:hAnsiTheme="minorEastAsia" w:eastAsiaTheme="minorEastAsia" w:cstheme="minorEastAsia"/>
                <w:sz w:val="18"/>
                <w:szCs w:val="18"/>
              </w:rPr>
            </w:pPr>
          </w:p>
        </w:tc>
        <w:tc>
          <w:tcPr>
            <w:tcW w:w="4283" w:type="dxa"/>
            <w:tcBorders>
              <w:top w:val="single" w:color="000000" w:sz="4" w:space="0"/>
              <w:left w:val="single" w:color="000000" w:sz="4" w:space="0"/>
              <w:bottom w:val="single" w:color="000000" w:sz="4" w:space="0"/>
              <w:right w:val="single" w:color="000000" w:sz="4" w:space="0"/>
            </w:tcBorders>
            <w:vAlign w:val="center"/>
          </w:tcPr>
          <w:p w14:paraId="51C63E02">
            <w:pPr>
              <w:widowControl/>
              <w:spacing w:line="280" w:lineRule="exact"/>
              <w:jc w:val="left"/>
              <w:textAlignment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kern w:val="0"/>
                <w:sz w:val="18"/>
                <w:szCs w:val="18"/>
              </w:rPr>
              <w:t>2.全员劳动生产率增长</w:t>
            </w:r>
            <w:r>
              <w:rPr>
                <w:rFonts w:hint="default" w:ascii="Times New Roman" w:hAnsi="Times New Roman" w:cs="Times New Roman"/>
                <w:color w:val="000000"/>
                <w:kern w:val="0"/>
                <w:sz w:val="18"/>
                <w:szCs w:val="18"/>
                <w:lang w:bidi="ar"/>
              </w:rPr>
              <w:t>（%</w:t>
            </w:r>
            <w:r>
              <w:rPr>
                <w:rFonts w:hint="default" w:ascii="Times New Roman" w:hAnsi="Times New Roman" w:eastAsia="宋体" w:cs="Times New Roman"/>
                <w:color w:val="000000"/>
                <w:kern w:val="0"/>
                <w:sz w:val="18"/>
                <w:szCs w:val="18"/>
                <w:lang w:bidi="ar"/>
              </w:rPr>
              <w:t>）</w:t>
            </w:r>
          </w:p>
        </w:tc>
        <w:tc>
          <w:tcPr>
            <w:tcW w:w="916" w:type="dxa"/>
            <w:tcBorders>
              <w:top w:val="single" w:color="000000" w:sz="4" w:space="0"/>
              <w:left w:val="single" w:color="000000" w:sz="4" w:space="0"/>
              <w:bottom w:val="single" w:color="000000" w:sz="4" w:space="0"/>
              <w:right w:val="single" w:color="000000" w:sz="4" w:space="0"/>
            </w:tcBorders>
            <w:vAlign w:val="center"/>
          </w:tcPr>
          <w:p w14:paraId="1C92C066">
            <w:pPr>
              <w:widowControl/>
              <w:spacing w:line="280" w:lineRule="exact"/>
              <w:jc w:val="center"/>
              <w:textAlignment w:val="center"/>
              <w:rPr>
                <w:rFonts w:hint="eastAsia" w:asciiTheme="minorEastAsia" w:hAnsiTheme="minorEastAsia" w:eastAsiaTheme="minorEastAsia" w:cstheme="minorEastAsia"/>
                <w:sz w:val="18"/>
                <w:szCs w:val="18"/>
              </w:rPr>
            </w:pPr>
            <w:r>
              <w:rPr>
                <w:rFonts w:hint="default" w:ascii="Times New Roman" w:hAnsi="Times New Roman" w:eastAsia="东文宋体" w:cs="Times New Roman"/>
                <w:color w:val="000000"/>
                <w:sz w:val="18"/>
                <w:szCs w:val="18"/>
              </w:rPr>
              <w:t>－</w:t>
            </w:r>
          </w:p>
        </w:tc>
        <w:tc>
          <w:tcPr>
            <w:tcW w:w="1301" w:type="dxa"/>
            <w:tcBorders>
              <w:top w:val="single" w:color="000000" w:sz="4" w:space="0"/>
              <w:left w:val="single" w:color="000000" w:sz="4" w:space="0"/>
              <w:bottom w:val="single" w:color="000000" w:sz="4" w:space="0"/>
              <w:right w:val="single" w:color="000000" w:sz="4" w:space="0"/>
            </w:tcBorders>
            <w:vAlign w:val="center"/>
          </w:tcPr>
          <w:p w14:paraId="31CC1594">
            <w:pPr>
              <w:widowControl/>
              <w:spacing w:line="280" w:lineRule="exact"/>
              <w:jc w:val="center"/>
              <w:textAlignment w:val="center"/>
              <w:rPr>
                <w:rFonts w:hint="eastAsia" w:asciiTheme="minorEastAsia" w:hAnsiTheme="minorEastAsia" w:eastAsiaTheme="minorEastAsia" w:cstheme="minorEastAsia"/>
                <w:sz w:val="18"/>
                <w:szCs w:val="18"/>
              </w:rPr>
            </w:pPr>
            <w:r>
              <w:rPr>
                <w:rFonts w:hint="default" w:ascii="Times New Roman" w:hAnsi="Times New Roman" w:eastAsia="东文宋体" w:cs="Times New Roman"/>
                <w:color w:val="000000"/>
                <w:sz w:val="18"/>
                <w:szCs w:val="18"/>
              </w:rPr>
              <w:t>－</w:t>
            </w:r>
          </w:p>
        </w:tc>
        <w:tc>
          <w:tcPr>
            <w:tcW w:w="1983" w:type="dxa"/>
            <w:tcBorders>
              <w:top w:val="single" w:color="000000" w:sz="4" w:space="0"/>
              <w:left w:val="single" w:color="000000" w:sz="4" w:space="0"/>
              <w:bottom w:val="single" w:color="000000" w:sz="4" w:space="0"/>
              <w:right w:val="single" w:color="000000" w:sz="4" w:space="0"/>
            </w:tcBorders>
            <w:vAlign w:val="center"/>
          </w:tcPr>
          <w:p w14:paraId="784061B7">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高于</w:t>
            </w:r>
            <w:r>
              <w:rPr>
                <w:rFonts w:hint="default" w:ascii="Times New Roman" w:hAnsi="Times New Roman" w:cs="Times New Roman" w:eastAsiaTheme="minorEastAsia"/>
                <w:kern w:val="0"/>
                <w:sz w:val="18"/>
                <w:szCs w:val="18"/>
              </w:rPr>
              <w:t>GDP</w:t>
            </w:r>
            <w:r>
              <w:rPr>
                <w:rFonts w:hint="eastAsia" w:asciiTheme="minorEastAsia" w:hAnsiTheme="minorEastAsia" w:eastAsiaTheme="minorEastAsia" w:cstheme="minorEastAsia"/>
                <w:kern w:val="0"/>
                <w:sz w:val="18"/>
                <w:szCs w:val="18"/>
              </w:rPr>
              <w:t>增长</w:t>
            </w:r>
          </w:p>
        </w:tc>
        <w:tc>
          <w:tcPr>
            <w:tcW w:w="915" w:type="dxa"/>
            <w:tcBorders>
              <w:top w:val="single" w:color="000000" w:sz="4" w:space="0"/>
              <w:left w:val="single" w:color="000000" w:sz="4" w:space="0"/>
              <w:bottom w:val="single" w:color="000000" w:sz="4" w:space="0"/>
              <w:right w:val="single" w:color="000000" w:sz="4" w:space="0"/>
            </w:tcBorders>
            <w:vAlign w:val="center"/>
          </w:tcPr>
          <w:p w14:paraId="46E4EDEE">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预期性</w:t>
            </w:r>
          </w:p>
        </w:tc>
      </w:tr>
      <w:tr w14:paraId="2A7F47BD">
        <w:tblPrEx>
          <w:tblCellMar>
            <w:top w:w="0" w:type="dxa"/>
            <w:left w:w="108" w:type="dxa"/>
            <w:bottom w:w="0" w:type="dxa"/>
            <w:right w:w="108" w:type="dxa"/>
          </w:tblCellMar>
        </w:tblPrEx>
        <w:trPr>
          <w:trHeight w:val="485"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3996D0A8">
            <w:pPr>
              <w:spacing w:line="280" w:lineRule="exact"/>
              <w:jc w:val="center"/>
              <w:rPr>
                <w:rFonts w:hint="eastAsia" w:asciiTheme="minorEastAsia" w:hAnsiTheme="minorEastAsia" w:eastAsiaTheme="minorEastAsia" w:cstheme="minorEastAsia"/>
                <w:sz w:val="18"/>
                <w:szCs w:val="18"/>
              </w:rPr>
            </w:pPr>
          </w:p>
        </w:tc>
        <w:tc>
          <w:tcPr>
            <w:tcW w:w="4283" w:type="dxa"/>
            <w:tcBorders>
              <w:top w:val="single" w:color="000000" w:sz="4" w:space="0"/>
              <w:left w:val="single" w:color="000000" w:sz="4" w:space="0"/>
              <w:bottom w:val="single" w:color="000000" w:sz="4" w:space="0"/>
              <w:right w:val="single" w:color="000000" w:sz="4" w:space="0"/>
            </w:tcBorders>
            <w:vAlign w:val="center"/>
          </w:tcPr>
          <w:p w14:paraId="0B2DDDA8">
            <w:pPr>
              <w:widowControl/>
              <w:spacing w:line="280" w:lineRule="exact"/>
              <w:jc w:val="left"/>
              <w:textAlignment w:val="center"/>
              <w:rPr>
                <w:rFonts w:hint="eastAsia" w:asciiTheme="minorEastAsia" w:hAnsiTheme="minorEastAsia" w:eastAsiaTheme="minorEastAsia" w:cstheme="minorEastAsia"/>
                <w:sz w:val="18"/>
                <w:szCs w:val="18"/>
              </w:rPr>
            </w:pPr>
            <w:r>
              <w:rPr>
                <w:rFonts w:hint="default" w:ascii="Times New Roman" w:hAnsi="Times New Roman" w:cs="Times New Roman" w:eastAsiaTheme="minorEastAsia"/>
                <w:kern w:val="0"/>
                <w:sz w:val="18"/>
                <w:szCs w:val="18"/>
              </w:rPr>
              <w:t>3.</w:t>
            </w:r>
            <w:r>
              <w:rPr>
                <w:rFonts w:hint="eastAsia" w:asciiTheme="minorEastAsia" w:hAnsiTheme="minorEastAsia" w:eastAsiaTheme="minorEastAsia" w:cstheme="minorEastAsia"/>
                <w:kern w:val="0"/>
                <w:sz w:val="18"/>
                <w:szCs w:val="18"/>
              </w:rPr>
              <w:t>常住人口城镇化率</w:t>
            </w:r>
            <w:r>
              <w:rPr>
                <w:rFonts w:hint="default" w:ascii="Times New Roman" w:hAnsi="Times New Roman" w:cs="Times New Roman"/>
                <w:color w:val="000000"/>
                <w:kern w:val="0"/>
                <w:sz w:val="18"/>
                <w:szCs w:val="18"/>
                <w:lang w:bidi="ar"/>
              </w:rPr>
              <w:t>（%</w:t>
            </w:r>
            <w:r>
              <w:rPr>
                <w:rFonts w:hint="default" w:ascii="Times New Roman" w:hAnsi="Times New Roman" w:eastAsia="宋体" w:cs="Times New Roman"/>
                <w:color w:val="000000"/>
                <w:kern w:val="0"/>
                <w:sz w:val="18"/>
                <w:szCs w:val="18"/>
                <w:lang w:bidi="ar"/>
              </w:rPr>
              <w:t>）</w:t>
            </w:r>
          </w:p>
        </w:tc>
        <w:tc>
          <w:tcPr>
            <w:tcW w:w="916" w:type="dxa"/>
            <w:tcBorders>
              <w:top w:val="single" w:color="000000" w:sz="4" w:space="0"/>
              <w:left w:val="single" w:color="000000" w:sz="4" w:space="0"/>
              <w:bottom w:val="single" w:color="000000" w:sz="4" w:space="0"/>
              <w:right w:val="single" w:color="000000" w:sz="4" w:space="0"/>
            </w:tcBorders>
            <w:vAlign w:val="center"/>
          </w:tcPr>
          <w:p w14:paraId="25E0FCD7">
            <w:pPr>
              <w:spacing w:line="280" w:lineRule="exact"/>
              <w:jc w:val="center"/>
              <w:rPr>
                <w:rFonts w:hint="eastAsia" w:asciiTheme="minorEastAsia" w:hAnsiTheme="minorEastAsia" w:eastAsiaTheme="minorEastAsia" w:cstheme="minorEastAsia"/>
                <w:sz w:val="18"/>
                <w:szCs w:val="18"/>
              </w:rPr>
            </w:pPr>
            <w:r>
              <w:rPr>
                <w:rFonts w:hint="default" w:ascii="Times New Roman" w:hAnsi="Times New Roman" w:eastAsia="东文宋体" w:cs="Times New Roman"/>
                <w:color w:val="000000"/>
                <w:sz w:val="18"/>
                <w:szCs w:val="18"/>
              </w:rPr>
              <w:t>－</w:t>
            </w:r>
          </w:p>
        </w:tc>
        <w:tc>
          <w:tcPr>
            <w:tcW w:w="1301" w:type="dxa"/>
            <w:tcBorders>
              <w:top w:val="single" w:color="000000" w:sz="4" w:space="0"/>
              <w:left w:val="single" w:color="000000" w:sz="4" w:space="0"/>
              <w:bottom w:val="single" w:color="000000" w:sz="4" w:space="0"/>
              <w:right w:val="single" w:color="000000" w:sz="4" w:space="0"/>
            </w:tcBorders>
            <w:vAlign w:val="center"/>
          </w:tcPr>
          <w:p w14:paraId="02E9529F">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color w:val="000000"/>
                <w:sz w:val="18"/>
                <w:szCs w:val="18"/>
              </w:rPr>
              <w:t>&gt;30</w:t>
            </w:r>
          </w:p>
        </w:tc>
        <w:tc>
          <w:tcPr>
            <w:tcW w:w="1983" w:type="dxa"/>
            <w:tcBorders>
              <w:top w:val="single" w:color="000000" w:sz="4" w:space="0"/>
              <w:left w:val="single" w:color="000000" w:sz="4" w:space="0"/>
              <w:bottom w:val="single" w:color="000000" w:sz="4" w:space="0"/>
              <w:right w:val="single" w:color="000000" w:sz="4" w:space="0"/>
            </w:tcBorders>
            <w:vAlign w:val="center"/>
          </w:tcPr>
          <w:p w14:paraId="5BD11189">
            <w:pPr>
              <w:widowControl/>
              <w:spacing w:line="280" w:lineRule="exact"/>
              <w:jc w:val="center"/>
              <w:textAlignment w:val="center"/>
              <w:rPr>
                <w:rFonts w:hint="eastAsia" w:asciiTheme="minorEastAsia" w:hAnsiTheme="minorEastAsia" w:eastAsiaTheme="minorEastAsia" w:cstheme="minorEastAsia"/>
                <w:sz w:val="18"/>
                <w:szCs w:val="18"/>
              </w:rPr>
            </w:pPr>
            <w:r>
              <w:rPr>
                <w:rFonts w:hint="default" w:ascii="Times New Roman" w:hAnsi="Times New Roman" w:eastAsia="东文宋体" w:cs="Times New Roman"/>
                <w:color w:val="000000"/>
                <w:sz w:val="18"/>
                <w:szCs w:val="18"/>
              </w:rPr>
              <w:t>－</w:t>
            </w:r>
          </w:p>
        </w:tc>
        <w:tc>
          <w:tcPr>
            <w:tcW w:w="915" w:type="dxa"/>
            <w:tcBorders>
              <w:top w:val="single" w:color="000000" w:sz="4" w:space="0"/>
              <w:left w:val="single" w:color="000000" w:sz="4" w:space="0"/>
              <w:bottom w:val="single" w:color="000000" w:sz="4" w:space="0"/>
              <w:right w:val="single" w:color="000000" w:sz="4" w:space="0"/>
            </w:tcBorders>
            <w:vAlign w:val="center"/>
          </w:tcPr>
          <w:p w14:paraId="261379F5">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预期性</w:t>
            </w:r>
          </w:p>
        </w:tc>
      </w:tr>
      <w:tr w14:paraId="324F0C08">
        <w:tblPrEx>
          <w:tblCellMar>
            <w:top w:w="0" w:type="dxa"/>
            <w:left w:w="108" w:type="dxa"/>
            <w:bottom w:w="0" w:type="dxa"/>
            <w:right w:w="108" w:type="dxa"/>
          </w:tblCellMar>
        </w:tblPrEx>
        <w:trPr>
          <w:trHeight w:val="845" w:hRule="atLeast"/>
          <w:jc w:val="center"/>
        </w:trPr>
        <w:tc>
          <w:tcPr>
            <w:tcW w:w="750" w:type="dxa"/>
            <w:vMerge w:val="restart"/>
            <w:tcBorders>
              <w:top w:val="single" w:color="000000" w:sz="4" w:space="0"/>
              <w:left w:val="single" w:color="000000" w:sz="4" w:space="0"/>
              <w:right w:val="single" w:color="000000" w:sz="4" w:space="0"/>
            </w:tcBorders>
            <w:vAlign w:val="center"/>
          </w:tcPr>
          <w:p w14:paraId="39054FA0">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创新驱动</w:t>
            </w:r>
          </w:p>
        </w:tc>
        <w:tc>
          <w:tcPr>
            <w:tcW w:w="4283" w:type="dxa"/>
            <w:tcBorders>
              <w:top w:val="single" w:color="000000" w:sz="4" w:space="0"/>
              <w:left w:val="single" w:color="000000" w:sz="4" w:space="0"/>
              <w:bottom w:val="single" w:color="000000" w:sz="4" w:space="0"/>
              <w:right w:val="single" w:color="000000" w:sz="4" w:space="0"/>
            </w:tcBorders>
            <w:vAlign w:val="center"/>
          </w:tcPr>
          <w:p w14:paraId="6A3AFA74">
            <w:pPr>
              <w:widowControl/>
              <w:spacing w:line="280" w:lineRule="exact"/>
              <w:jc w:val="left"/>
              <w:textAlignment w:val="center"/>
              <w:rPr>
                <w:rFonts w:hint="eastAsia" w:asciiTheme="minorEastAsia" w:hAnsiTheme="minorEastAsia" w:eastAsiaTheme="minorEastAsia" w:cstheme="minorEastAsia"/>
                <w:sz w:val="18"/>
                <w:szCs w:val="18"/>
              </w:rPr>
            </w:pPr>
            <w:r>
              <w:rPr>
                <w:rFonts w:hint="default" w:ascii="Times New Roman" w:hAnsi="Times New Roman" w:cs="Times New Roman" w:eastAsiaTheme="minorEastAsia"/>
                <w:kern w:val="0"/>
                <w:sz w:val="18"/>
                <w:szCs w:val="18"/>
              </w:rPr>
              <w:t>4.</w:t>
            </w:r>
            <w:r>
              <w:rPr>
                <w:rFonts w:hint="eastAsia" w:asciiTheme="minorEastAsia" w:hAnsiTheme="minorEastAsia" w:eastAsiaTheme="minorEastAsia" w:cstheme="minorEastAsia"/>
                <w:kern w:val="0"/>
                <w:sz w:val="18"/>
                <w:szCs w:val="18"/>
              </w:rPr>
              <w:t>全社会研发经费投入增长</w:t>
            </w:r>
            <w:r>
              <w:rPr>
                <w:rFonts w:hint="default" w:ascii="Times New Roman" w:hAnsi="Times New Roman" w:cs="Times New Roman"/>
                <w:color w:val="000000"/>
                <w:kern w:val="0"/>
                <w:sz w:val="18"/>
                <w:szCs w:val="18"/>
                <w:lang w:bidi="ar"/>
              </w:rPr>
              <w:t>（%</w:t>
            </w:r>
            <w:r>
              <w:rPr>
                <w:rFonts w:hint="default" w:ascii="Times New Roman" w:hAnsi="Times New Roman" w:eastAsia="宋体" w:cs="Times New Roman"/>
                <w:color w:val="000000"/>
                <w:kern w:val="0"/>
                <w:sz w:val="18"/>
                <w:szCs w:val="18"/>
                <w:lang w:bidi="ar"/>
              </w:rPr>
              <w:t>）</w:t>
            </w:r>
          </w:p>
        </w:tc>
        <w:tc>
          <w:tcPr>
            <w:tcW w:w="916" w:type="dxa"/>
            <w:tcBorders>
              <w:top w:val="single" w:color="000000" w:sz="4" w:space="0"/>
              <w:left w:val="single" w:color="000000" w:sz="4" w:space="0"/>
              <w:bottom w:val="single" w:color="000000" w:sz="4" w:space="0"/>
              <w:right w:val="single" w:color="000000" w:sz="4" w:space="0"/>
            </w:tcBorders>
            <w:vAlign w:val="center"/>
          </w:tcPr>
          <w:p w14:paraId="380B55E2">
            <w:pPr>
              <w:widowControl/>
              <w:spacing w:line="280" w:lineRule="exact"/>
              <w:jc w:val="center"/>
              <w:textAlignment w:val="center"/>
              <w:rPr>
                <w:rFonts w:hint="eastAsia" w:asciiTheme="minorEastAsia" w:hAnsiTheme="minorEastAsia" w:eastAsiaTheme="minorEastAsia" w:cstheme="minorEastAsia"/>
                <w:sz w:val="18"/>
                <w:szCs w:val="18"/>
              </w:rPr>
            </w:pPr>
            <w:r>
              <w:rPr>
                <w:rFonts w:hint="default" w:ascii="Times New Roman" w:hAnsi="Times New Roman" w:eastAsia="东文宋体" w:cs="Times New Roman"/>
                <w:color w:val="000000"/>
                <w:sz w:val="18"/>
                <w:szCs w:val="18"/>
              </w:rPr>
              <w:t>－</w:t>
            </w:r>
          </w:p>
        </w:tc>
        <w:tc>
          <w:tcPr>
            <w:tcW w:w="1301" w:type="dxa"/>
            <w:tcBorders>
              <w:top w:val="single" w:color="000000" w:sz="4" w:space="0"/>
              <w:left w:val="single" w:color="000000" w:sz="4" w:space="0"/>
              <w:bottom w:val="single" w:color="000000" w:sz="4" w:space="0"/>
              <w:right w:val="single" w:color="000000" w:sz="4" w:space="0"/>
            </w:tcBorders>
            <w:vAlign w:val="center"/>
          </w:tcPr>
          <w:p w14:paraId="72FEAD2E">
            <w:pPr>
              <w:widowControl/>
              <w:spacing w:line="280" w:lineRule="exact"/>
              <w:jc w:val="center"/>
              <w:textAlignment w:val="center"/>
              <w:rPr>
                <w:rFonts w:hint="eastAsia" w:asciiTheme="minorEastAsia" w:hAnsiTheme="minorEastAsia" w:eastAsiaTheme="minorEastAsia" w:cstheme="minorEastAsia"/>
                <w:sz w:val="18"/>
                <w:szCs w:val="18"/>
              </w:rPr>
            </w:pPr>
            <w:r>
              <w:rPr>
                <w:rFonts w:hint="default" w:ascii="Times New Roman" w:hAnsi="Times New Roman" w:eastAsia="东文宋体" w:cs="Times New Roman"/>
                <w:color w:val="000000"/>
                <w:sz w:val="18"/>
                <w:szCs w:val="18"/>
              </w:rPr>
              <w:t>－</w:t>
            </w:r>
          </w:p>
        </w:tc>
        <w:tc>
          <w:tcPr>
            <w:tcW w:w="1983" w:type="dxa"/>
            <w:tcBorders>
              <w:top w:val="single" w:color="000000" w:sz="4" w:space="0"/>
              <w:left w:val="single" w:color="000000" w:sz="4" w:space="0"/>
              <w:bottom w:val="single" w:color="000000" w:sz="4" w:space="0"/>
              <w:right w:val="single" w:color="000000" w:sz="4" w:space="0"/>
            </w:tcBorders>
            <w:vAlign w:val="center"/>
          </w:tcPr>
          <w:p w14:paraId="0EB14657">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color w:val="000000"/>
                <w:sz w:val="18"/>
                <w:szCs w:val="18"/>
              </w:rPr>
              <w:t>&gt;7</w:t>
            </w:r>
            <w:r>
              <w:rPr>
                <w:rFonts w:hint="eastAsia" w:asciiTheme="minorEastAsia" w:hAnsiTheme="minorEastAsia" w:eastAsiaTheme="minorEastAsia" w:cstheme="minorEastAsia"/>
                <w:kern w:val="0"/>
                <w:sz w:val="18"/>
                <w:szCs w:val="18"/>
              </w:rPr>
              <w:t>、力争投入强度高于</w:t>
            </w:r>
            <w:r>
              <w:rPr>
                <w:rFonts w:hint="eastAsia" w:ascii="Times New Roman" w:hAnsi="Times New Roman" w:cs="Times New Roman"/>
                <w:color w:val="000000"/>
                <w:sz w:val="18"/>
                <w:szCs w:val="18"/>
              </w:rPr>
              <w:t>“</w:t>
            </w:r>
            <w:r>
              <w:rPr>
                <w:rFonts w:hint="eastAsia" w:asciiTheme="minorEastAsia" w:hAnsiTheme="minorEastAsia" w:eastAsiaTheme="minorEastAsia" w:cstheme="minorEastAsia"/>
                <w:kern w:val="0"/>
                <w:sz w:val="18"/>
                <w:szCs w:val="18"/>
              </w:rPr>
              <w:t>十三五</w:t>
            </w:r>
            <w:r>
              <w:rPr>
                <w:rFonts w:hint="eastAsia" w:ascii="Times New Roman" w:hAnsi="Times New Roman" w:cs="Times New Roman"/>
                <w:color w:val="000000"/>
                <w:sz w:val="18"/>
                <w:szCs w:val="18"/>
              </w:rPr>
              <w:t>”</w:t>
            </w:r>
            <w:r>
              <w:rPr>
                <w:rFonts w:hint="eastAsia" w:asciiTheme="minorEastAsia" w:hAnsiTheme="minorEastAsia" w:eastAsiaTheme="minorEastAsia" w:cstheme="minorEastAsia"/>
                <w:kern w:val="0"/>
                <w:sz w:val="18"/>
                <w:szCs w:val="18"/>
              </w:rPr>
              <w:t>时期实际</w:t>
            </w:r>
          </w:p>
        </w:tc>
        <w:tc>
          <w:tcPr>
            <w:tcW w:w="915" w:type="dxa"/>
            <w:tcBorders>
              <w:top w:val="single" w:color="000000" w:sz="4" w:space="0"/>
              <w:left w:val="single" w:color="000000" w:sz="4" w:space="0"/>
              <w:bottom w:val="single" w:color="000000" w:sz="4" w:space="0"/>
              <w:right w:val="single" w:color="000000" w:sz="4" w:space="0"/>
            </w:tcBorders>
            <w:vAlign w:val="center"/>
          </w:tcPr>
          <w:p w14:paraId="0E676043">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预期性</w:t>
            </w:r>
          </w:p>
        </w:tc>
      </w:tr>
      <w:tr w14:paraId="23833C9E">
        <w:tblPrEx>
          <w:tblCellMar>
            <w:top w:w="0" w:type="dxa"/>
            <w:left w:w="108" w:type="dxa"/>
            <w:bottom w:w="0" w:type="dxa"/>
            <w:right w:w="108" w:type="dxa"/>
          </w:tblCellMar>
        </w:tblPrEx>
        <w:trPr>
          <w:trHeight w:val="485" w:hRule="atLeast"/>
          <w:jc w:val="center"/>
        </w:trPr>
        <w:tc>
          <w:tcPr>
            <w:tcW w:w="750" w:type="dxa"/>
            <w:vMerge w:val="continue"/>
            <w:tcBorders>
              <w:left w:val="single" w:color="000000" w:sz="4" w:space="0"/>
              <w:right w:val="single" w:color="000000" w:sz="4" w:space="0"/>
            </w:tcBorders>
            <w:vAlign w:val="center"/>
          </w:tcPr>
          <w:p w14:paraId="3BEC6C5B">
            <w:pPr>
              <w:spacing w:line="280" w:lineRule="exact"/>
              <w:jc w:val="center"/>
              <w:rPr>
                <w:rFonts w:hint="eastAsia" w:asciiTheme="minorEastAsia" w:hAnsiTheme="minorEastAsia" w:eastAsiaTheme="minorEastAsia" w:cstheme="minorEastAsia"/>
                <w:sz w:val="18"/>
                <w:szCs w:val="18"/>
              </w:rPr>
            </w:pPr>
          </w:p>
        </w:tc>
        <w:tc>
          <w:tcPr>
            <w:tcW w:w="4283" w:type="dxa"/>
            <w:tcBorders>
              <w:top w:val="single" w:color="000000" w:sz="4" w:space="0"/>
              <w:left w:val="single" w:color="000000" w:sz="4" w:space="0"/>
              <w:bottom w:val="single" w:color="000000" w:sz="4" w:space="0"/>
              <w:right w:val="single" w:color="000000" w:sz="4" w:space="0"/>
            </w:tcBorders>
            <w:vAlign w:val="center"/>
          </w:tcPr>
          <w:p w14:paraId="01925941">
            <w:pPr>
              <w:widowControl/>
              <w:spacing w:line="280" w:lineRule="exact"/>
              <w:jc w:val="left"/>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eastAsiaTheme="minorEastAsia"/>
                <w:kern w:val="0"/>
                <w:sz w:val="18"/>
                <w:szCs w:val="18"/>
              </w:rPr>
              <w:t>5.</w:t>
            </w:r>
            <w:r>
              <w:rPr>
                <w:rFonts w:hint="eastAsia" w:asciiTheme="minorEastAsia" w:hAnsiTheme="minorEastAsia" w:eastAsiaTheme="minorEastAsia" w:cstheme="minorEastAsia"/>
                <w:kern w:val="0"/>
                <w:sz w:val="18"/>
                <w:szCs w:val="18"/>
              </w:rPr>
              <w:t>每万人口高价值发明专利拥有量</w:t>
            </w:r>
            <w:r>
              <w:rPr>
                <w:rFonts w:hint="default" w:ascii="Times New Roman" w:hAnsi="Times New Roman" w:cs="Times New Roman"/>
                <w:color w:val="000000"/>
                <w:kern w:val="0"/>
                <w:sz w:val="18"/>
                <w:szCs w:val="18"/>
                <w:lang w:bidi="ar"/>
              </w:rPr>
              <w:t>（件）</w:t>
            </w:r>
          </w:p>
        </w:tc>
        <w:tc>
          <w:tcPr>
            <w:tcW w:w="916" w:type="dxa"/>
            <w:tcBorders>
              <w:top w:val="single" w:color="000000" w:sz="4" w:space="0"/>
              <w:left w:val="single" w:color="000000" w:sz="4" w:space="0"/>
              <w:bottom w:val="single" w:color="000000" w:sz="4" w:space="0"/>
              <w:right w:val="single" w:color="000000" w:sz="4" w:space="0"/>
            </w:tcBorders>
            <w:vAlign w:val="center"/>
          </w:tcPr>
          <w:p w14:paraId="3C5260CF">
            <w:pPr>
              <w:spacing w:line="280" w:lineRule="exact"/>
              <w:jc w:val="center"/>
              <w:rPr>
                <w:rFonts w:hint="eastAsia" w:asciiTheme="minorEastAsia" w:hAnsiTheme="minorEastAsia" w:eastAsiaTheme="minorEastAsia" w:cstheme="minorEastAsia"/>
                <w:sz w:val="18"/>
                <w:szCs w:val="18"/>
              </w:rPr>
            </w:pPr>
            <w:r>
              <w:rPr>
                <w:rFonts w:hint="default" w:ascii="Times New Roman" w:hAnsi="Times New Roman" w:eastAsia="东文宋体" w:cs="Times New Roman"/>
                <w:color w:val="000000"/>
                <w:sz w:val="18"/>
                <w:szCs w:val="18"/>
              </w:rPr>
              <w:t>－</w:t>
            </w:r>
          </w:p>
        </w:tc>
        <w:tc>
          <w:tcPr>
            <w:tcW w:w="1301" w:type="dxa"/>
            <w:tcBorders>
              <w:top w:val="single" w:color="000000" w:sz="4" w:space="0"/>
              <w:left w:val="single" w:color="000000" w:sz="4" w:space="0"/>
              <w:bottom w:val="single" w:color="000000" w:sz="4" w:space="0"/>
              <w:right w:val="single" w:color="000000" w:sz="4" w:space="0"/>
            </w:tcBorders>
            <w:vAlign w:val="center"/>
          </w:tcPr>
          <w:p w14:paraId="2954F9CE">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color w:val="000000"/>
                <w:sz w:val="18"/>
                <w:szCs w:val="18"/>
              </w:rPr>
              <w:t>1.5</w:t>
            </w:r>
          </w:p>
        </w:tc>
        <w:tc>
          <w:tcPr>
            <w:tcW w:w="1983" w:type="dxa"/>
            <w:tcBorders>
              <w:top w:val="single" w:color="000000" w:sz="4" w:space="0"/>
              <w:left w:val="single" w:color="000000" w:sz="4" w:space="0"/>
              <w:bottom w:val="single" w:color="000000" w:sz="4" w:space="0"/>
              <w:right w:val="single" w:color="000000" w:sz="4" w:space="0"/>
            </w:tcBorders>
            <w:vAlign w:val="center"/>
          </w:tcPr>
          <w:p w14:paraId="2CF250BD">
            <w:pPr>
              <w:widowControl/>
              <w:spacing w:line="280" w:lineRule="exact"/>
              <w:jc w:val="center"/>
              <w:textAlignment w:val="center"/>
              <w:rPr>
                <w:rFonts w:hint="eastAsia" w:asciiTheme="minorEastAsia" w:hAnsiTheme="minorEastAsia" w:eastAsiaTheme="minorEastAsia" w:cstheme="minorEastAsia"/>
                <w:sz w:val="18"/>
                <w:szCs w:val="18"/>
              </w:rPr>
            </w:pPr>
            <w:r>
              <w:rPr>
                <w:rFonts w:hint="default" w:ascii="Times New Roman" w:hAnsi="Times New Roman" w:eastAsia="东文宋体" w:cs="Times New Roman"/>
                <w:color w:val="000000"/>
                <w:sz w:val="18"/>
                <w:szCs w:val="18"/>
              </w:rPr>
              <w:t>－</w:t>
            </w:r>
          </w:p>
        </w:tc>
        <w:tc>
          <w:tcPr>
            <w:tcW w:w="915" w:type="dxa"/>
            <w:tcBorders>
              <w:top w:val="single" w:color="000000" w:sz="4" w:space="0"/>
              <w:left w:val="single" w:color="000000" w:sz="4" w:space="0"/>
              <w:bottom w:val="single" w:color="000000" w:sz="4" w:space="0"/>
              <w:right w:val="single" w:color="000000" w:sz="4" w:space="0"/>
            </w:tcBorders>
            <w:vAlign w:val="center"/>
          </w:tcPr>
          <w:p w14:paraId="283C5736">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预期性</w:t>
            </w:r>
          </w:p>
        </w:tc>
      </w:tr>
      <w:tr w14:paraId="22D386C7">
        <w:tblPrEx>
          <w:tblCellMar>
            <w:top w:w="0" w:type="dxa"/>
            <w:left w:w="108" w:type="dxa"/>
            <w:bottom w:w="0" w:type="dxa"/>
            <w:right w:w="108" w:type="dxa"/>
          </w:tblCellMar>
        </w:tblPrEx>
        <w:trPr>
          <w:trHeight w:val="485" w:hRule="atLeast"/>
          <w:jc w:val="center"/>
        </w:trPr>
        <w:tc>
          <w:tcPr>
            <w:tcW w:w="750" w:type="dxa"/>
            <w:vMerge w:val="continue"/>
            <w:tcBorders>
              <w:left w:val="single" w:color="000000" w:sz="4" w:space="0"/>
              <w:bottom w:val="single" w:color="000000" w:sz="4" w:space="0"/>
              <w:right w:val="single" w:color="000000" w:sz="4" w:space="0"/>
            </w:tcBorders>
            <w:vAlign w:val="center"/>
          </w:tcPr>
          <w:p w14:paraId="100997FE">
            <w:pPr>
              <w:spacing w:line="280" w:lineRule="exact"/>
              <w:jc w:val="center"/>
              <w:rPr>
                <w:rFonts w:hint="eastAsia" w:asciiTheme="minorEastAsia" w:hAnsiTheme="minorEastAsia" w:eastAsiaTheme="minorEastAsia" w:cstheme="minorEastAsia"/>
                <w:sz w:val="18"/>
                <w:szCs w:val="18"/>
              </w:rPr>
            </w:pPr>
          </w:p>
        </w:tc>
        <w:tc>
          <w:tcPr>
            <w:tcW w:w="4283" w:type="dxa"/>
            <w:tcBorders>
              <w:top w:val="single" w:color="000000" w:sz="4" w:space="0"/>
              <w:left w:val="single" w:color="000000" w:sz="4" w:space="0"/>
              <w:bottom w:val="single" w:color="000000" w:sz="4" w:space="0"/>
              <w:right w:val="single" w:color="000000" w:sz="4" w:space="0"/>
            </w:tcBorders>
            <w:vAlign w:val="center"/>
          </w:tcPr>
          <w:p w14:paraId="79F85945">
            <w:pPr>
              <w:widowControl/>
              <w:spacing w:line="280" w:lineRule="exact"/>
              <w:jc w:val="left"/>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eastAsiaTheme="minorEastAsia"/>
                <w:kern w:val="0"/>
                <w:sz w:val="18"/>
                <w:szCs w:val="18"/>
              </w:rPr>
              <w:t>6.</w:t>
            </w:r>
            <w:r>
              <w:rPr>
                <w:rFonts w:hint="eastAsia" w:asciiTheme="minorEastAsia" w:hAnsiTheme="minorEastAsia" w:eastAsiaTheme="minorEastAsia" w:cstheme="minorEastAsia"/>
                <w:kern w:val="0"/>
                <w:sz w:val="18"/>
                <w:szCs w:val="18"/>
              </w:rPr>
              <w:t>战略性新兴产业增加值占地区生产总值比例</w:t>
            </w:r>
            <w:r>
              <w:rPr>
                <w:rFonts w:hint="default" w:ascii="Times New Roman" w:hAnsi="Times New Roman" w:cs="Times New Roman"/>
                <w:color w:val="000000"/>
                <w:kern w:val="0"/>
                <w:sz w:val="18"/>
                <w:szCs w:val="18"/>
                <w:lang w:bidi="ar"/>
              </w:rPr>
              <w:t>（%</w:t>
            </w:r>
            <w:r>
              <w:rPr>
                <w:rFonts w:hint="default" w:ascii="Times New Roman" w:hAnsi="Times New Roman" w:eastAsia="宋体" w:cs="Times New Roman"/>
                <w:color w:val="000000"/>
                <w:kern w:val="0"/>
                <w:sz w:val="18"/>
                <w:szCs w:val="18"/>
                <w:lang w:bidi="ar"/>
              </w:rPr>
              <w:t>）</w:t>
            </w:r>
          </w:p>
        </w:tc>
        <w:tc>
          <w:tcPr>
            <w:tcW w:w="916" w:type="dxa"/>
            <w:tcBorders>
              <w:top w:val="single" w:color="000000" w:sz="4" w:space="0"/>
              <w:left w:val="single" w:color="000000" w:sz="4" w:space="0"/>
              <w:bottom w:val="single" w:color="000000" w:sz="4" w:space="0"/>
              <w:right w:val="single" w:color="000000" w:sz="4" w:space="0"/>
            </w:tcBorders>
            <w:vAlign w:val="center"/>
          </w:tcPr>
          <w:p w14:paraId="365693DA">
            <w:pPr>
              <w:spacing w:line="280" w:lineRule="exact"/>
              <w:jc w:val="center"/>
              <w:rPr>
                <w:rFonts w:hint="eastAsia" w:asciiTheme="minorEastAsia" w:hAnsiTheme="minorEastAsia" w:eastAsiaTheme="minorEastAsia" w:cstheme="minorEastAsia"/>
                <w:sz w:val="18"/>
                <w:szCs w:val="18"/>
              </w:rPr>
            </w:pPr>
            <w:r>
              <w:rPr>
                <w:rFonts w:hint="default" w:ascii="Times New Roman" w:hAnsi="Times New Roman" w:eastAsia="东文宋体" w:cs="Times New Roman"/>
                <w:color w:val="000000"/>
                <w:sz w:val="18"/>
                <w:szCs w:val="18"/>
              </w:rPr>
              <w:t>－</w:t>
            </w:r>
          </w:p>
        </w:tc>
        <w:tc>
          <w:tcPr>
            <w:tcW w:w="1301" w:type="dxa"/>
            <w:tcBorders>
              <w:top w:val="single" w:color="000000" w:sz="4" w:space="0"/>
              <w:left w:val="single" w:color="000000" w:sz="4" w:space="0"/>
              <w:bottom w:val="single" w:color="000000" w:sz="4" w:space="0"/>
              <w:right w:val="single" w:color="000000" w:sz="4" w:space="0"/>
            </w:tcBorders>
            <w:vAlign w:val="center"/>
          </w:tcPr>
          <w:p w14:paraId="56CA8167">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color w:val="000000"/>
                <w:sz w:val="18"/>
                <w:szCs w:val="18"/>
              </w:rPr>
              <w:t>30</w:t>
            </w:r>
          </w:p>
        </w:tc>
        <w:tc>
          <w:tcPr>
            <w:tcW w:w="1983" w:type="dxa"/>
            <w:tcBorders>
              <w:top w:val="single" w:color="000000" w:sz="4" w:space="0"/>
              <w:left w:val="single" w:color="000000" w:sz="4" w:space="0"/>
              <w:bottom w:val="single" w:color="000000" w:sz="4" w:space="0"/>
              <w:right w:val="single" w:color="000000" w:sz="4" w:space="0"/>
            </w:tcBorders>
            <w:vAlign w:val="center"/>
          </w:tcPr>
          <w:p w14:paraId="574DD6E3">
            <w:pPr>
              <w:widowControl/>
              <w:spacing w:line="280" w:lineRule="exact"/>
              <w:jc w:val="center"/>
              <w:textAlignment w:val="center"/>
              <w:rPr>
                <w:rFonts w:hint="eastAsia" w:asciiTheme="minorEastAsia" w:hAnsiTheme="minorEastAsia" w:eastAsiaTheme="minorEastAsia" w:cstheme="minorEastAsia"/>
                <w:sz w:val="18"/>
                <w:szCs w:val="18"/>
              </w:rPr>
            </w:pPr>
            <w:r>
              <w:rPr>
                <w:rFonts w:hint="default" w:ascii="Times New Roman" w:hAnsi="Times New Roman" w:eastAsia="东文宋体" w:cs="Times New Roman"/>
                <w:color w:val="000000"/>
                <w:sz w:val="18"/>
                <w:szCs w:val="18"/>
              </w:rPr>
              <w:t>－</w:t>
            </w:r>
          </w:p>
        </w:tc>
        <w:tc>
          <w:tcPr>
            <w:tcW w:w="915" w:type="dxa"/>
            <w:tcBorders>
              <w:top w:val="single" w:color="000000" w:sz="4" w:space="0"/>
              <w:left w:val="single" w:color="000000" w:sz="4" w:space="0"/>
              <w:bottom w:val="single" w:color="000000" w:sz="4" w:space="0"/>
              <w:right w:val="single" w:color="000000" w:sz="4" w:space="0"/>
            </w:tcBorders>
            <w:vAlign w:val="center"/>
          </w:tcPr>
          <w:p w14:paraId="3910DEC6">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预期性</w:t>
            </w:r>
          </w:p>
        </w:tc>
      </w:tr>
      <w:tr w14:paraId="5FD62DA8">
        <w:tblPrEx>
          <w:tblCellMar>
            <w:top w:w="0" w:type="dxa"/>
            <w:left w:w="108" w:type="dxa"/>
            <w:bottom w:w="0" w:type="dxa"/>
            <w:right w:w="108" w:type="dxa"/>
          </w:tblCellMar>
        </w:tblPrEx>
        <w:trPr>
          <w:trHeight w:val="485"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14:paraId="330BE239">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民生福祉</w:t>
            </w:r>
          </w:p>
        </w:tc>
        <w:tc>
          <w:tcPr>
            <w:tcW w:w="4283" w:type="dxa"/>
            <w:tcBorders>
              <w:top w:val="single" w:color="000000" w:sz="4" w:space="0"/>
              <w:left w:val="single" w:color="000000" w:sz="4" w:space="0"/>
              <w:bottom w:val="single" w:color="000000" w:sz="4" w:space="0"/>
              <w:right w:val="single" w:color="000000" w:sz="4" w:space="0"/>
            </w:tcBorders>
            <w:vAlign w:val="center"/>
          </w:tcPr>
          <w:p w14:paraId="53E4A64B">
            <w:pPr>
              <w:widowControl/>
              <w:spacing w:line="280" w:lineRule="exact"/>
              <w:jc w:val="left"/>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eastAsiaTheme="minorEastAsia"/>
                <w:kern w:val="0"/>
                <w:sz w:val="18"/>
                <w:szCs w:val="18"/>
              </w:rPr>
              <w:t>7.</w:t>
            </w:r>
            <w:r>
              <w:rPr>
                <w:rFonts w:hint="eastAsia" w:asciiTheme="minorEastAsia" w:hAnsiTheme="minorEastAsia" w:eastAsiaTheme="minorEastAsia" w:cstheme="minorEastAsia"/>
                <w:kern w:val="0"/>
                <w:sz w:val="18"/>
                <w:szCs w:val="18"/>
              </w:rPr>
              <w:t>居民人均可支配收入增长</w:t>
            </w:r>
            <w:r>
              <w:rPr>
                <w:rFonts w:hint="default" w:ascii="Times New Roman" w:hAnsi="Times New Roman" w:cs="Times New Roman"/>
                <w:color w:val="000000"/>
                <w:kern w:val="0"/>
                <w:sz w:val="18"/>
                <w:szCs w:val="18"/>
                <w:lang w:bidi="ar"/>
              </w:rPr>
              <w:t>（%</w:t>
            </w:r>
            <w:r>
              <w:rPr>
                <w:rFonts w:hint="default" w:ascii="Times New Roman" w:hAnsi="Times New Roman" w:eastAsia="宋体" w:cs="Times New Roman"/>
                <w:color w:val="000000"/>
                <w:kern w:val="0"/>
                <w:sz w:val="18"/>
                <w:szCs w:val="18"/>
                <w:lang w:bidi="ar"/>
              </w:rPr>
              <w:t>）</w:t>
            </w:r>
          </w:p>
        </w:tc>
        <w:tc>
          <w:tcPr>
            <w:tcW w:w="916" w:type="dxa"/>
            <w:tcBorders>
              <w:top w:val="single" w:color="000000" w:sz="4" w:space="0"/>
              <w:left w:val="single" w:color="000000" w:sz="4" w:space="0"/>
              <w:bottom w:val="single" w:color="000000" w:sz="4" w:space="0"/>
              <w:right w:val="single" w:color="000000" w:sz="4" w:space="0"/>
            </w:tcBorders>
            <w:vAlign w:val="center"/>
          </w:tcPr>
          <w:p w14:paraId="5D4F46B0">
            <w:pPr>
              <w:widowControl/>
              <w:spacing w:line="280" w:lineRule="exact"/>
              <w:jc w:val="center"/>
              <w:textAlignment w:val="center"/>
              <w:rPr>
                <w:rFonts w:hint="eastAsia" w:asciiTheme="minorEastAsia" w:hAnsiTheme="minorEastAsia" w:eastAsiaTheme="minorEastAsia" w:cstheme="minorEastAsia"/>
                <w:sz w:val="18"/>
                <w:szCs w:val="18"/>
              </w:rPr>
            </w:pPr>
            <w:r>
              <w:rPr>
                <w:rFonts w:hint="default" w:ascii="Times New Roman" w:hAnsi="Times New Roman" w:eastAsia="东文宋体" w:cs="Times New Roman"/>
                <w:color w:val="000000"/>
                <w:sz w:val="18"/>
                <w:szCs w:val="18"/>
              </w:rPr>
              <w:t>－</w:t>
            </w:r>
          </w:p>
        </w:tc>
        <w:tc>
          <w:tcPr>
            <w:tcW w:w="1301" w:type="dxa"/>
            <w:tcBorders>
              <w:top w:val="single" w:color="000000" w:sz="4" w:space="0"/>
              <w:left w:val="single" w:color="000000" w:sz="4" w:space="0"/>
              <w:bottom w:val="single" w:color="000000" w:sz="4" w:space="0"/>
              <w:right w:val="single" w:color="000000" w:sz="4" w:space="0"/>
            </w:tcBorders>
            <w:vAlign w:val="center"/>
          </w:tcPr>
          <w:p w14:paraId="6F1DA007">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w:t>
            </w:r>
          </w:p>
        </w:tc>
        <w:tc>
          <w:tcPr>
            <w:tcW w:w="1983" w:type="dxa"/>
            <w:tcBorders>
              <w:top w:val="single" w:color="000000" w:sz="4" w:space="0"/>
              <w:left w:val="single" w:color="000000" w:sz="4" w:space="0"/>
              <w:bottom w:val="single" w:color="000000" w:sz="4" w:space="0"/>
              <w:right w:val="single" w:color="000000" w:sz="4" w:space="0"/>
            </w:tcBorders>
            <w:vAlign w:val="center"/>
          </w:tcPr>
          <w:p w14:paraId="7EC88D01">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与</w:t>
            </w:r>
            <w:r>
              <w:rPr>
                <w:rFonts w:hint="default" w:ascii="Times New Roman" w:hAnsi="Times New Roman" w:cs="Times New Roman" w:eastAsiaTheme="minorEastAsia"/>
                <w:kern w:val="0"/>
                <w:sz w:val="18"/>
                <w:szCs w:val="18"/>
              </w:rPr>
              <w:t>GDP</w:t>
            </w:r>
            <w:r>
              <w:rPr>
                <w:rFonts w:hint="eastAsia" w:asciiTheme="minorEastAsia" w:hAnsiTheme="minorEastAsia" w:eastAsiaTheme="minorEastAsia" w:cstheme="minorEastAsia"/>
                <w:kern w:val="0"/>
                <w:sz w:val="18"/>
                <w:szCs w:val="18"/>
              </w:rPr>
              <w:t>增长基本同步</w:t>
            </w:r>
          </w:p>
        </w:tc>
        <w:tc>
          <w:tcPr>
            <w:tcW w:w="915" w:type="dxa"/>
            <w:tcBorders>
              <w:top w:val="single" w:color="000000" w:sz="4" w:space="0"/>
              <w:left w:val="single" w:color="000000" w:sz="4" w:space="0"/>
              <w:bottom w:val="single" w:color="000000" w:sz="4" w:space="0"/>
              <w:right w:val="single" w:color="000000" w:sz="4" w:space="0"/>
            </w:tcBorders>
            <w:vAlign w:val="center"/>
          </w:tcPr>
          <w:p w14:paraId="2DE60792">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预期性</w:t>
            </w:r>
          </w:p>
        </w:tc>
      </w:tr>
      <w:tr w14:paraId="044DC3B7">
        <w:tblPrEx>
          <w:tblCellMar>
            <w:top w:w="0" w:type="dxa"/>
            <w:left w:w="108" w:type="dxa"/>
            <w:bottom w:w="0" w:type="dxa"/>
            <w:right w:w="108" w:type="dxa"/>
          </w:tblCellMar>
        </w:tblPrEx>
        <w:trPr>
          <w:trHeight w:val="602"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270EC52E">
            <w:pPr>
              <w:spacing w:line="280" w:lineRule="exact"/>
              <w:jc w:val="center"/>
              <w:rPr>
                <w:rFonts w:hint="eastAsia" w:asciiTheme="minorEastAsia" w:hAnsiTheme="minorEastAsia" w:eastAsiaTheme="minorEastAsia" w:cstheme="minorEastAsia"/>
                <w:sz w:val="18"/>
                <w:szCs w:val="18"/>
              </w:rPr>
            </w:pPr>
          </w:p>
        </w:tc>
        <w:tc>
          <w:tcPr>
            <w:tcW w:w="4283" w:type="dxa"/>
            <w:tcBorders>
              <w:top w:val="single" w:color="000000" w:sz="4" w:space="0"/>
              <w:left w:val="single" w:color="000000" w:sz="4" w:space="0"/>
              <w:bottom w:val="single" w:color="000000" w:sz="4" w:space="0"/>
              <w:right w:val="single" w:color="000000" w:sz="4" w:space="0"/>
            </w:tcBorders>
            <w:vAlign w:val="center"/>
          </w:tcPr>
          <w:p w14:paraId="75E08E2B">
            <w:pPr>
              <w:widowControl/>
              <w:spacing w:line="280" w:lineRule="exact"/>
              <w:jc w:val="left"/>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eastAsiaTheme="minorEastAsia"/>
                <w:kern w:val="0"/>
                <w:sz w:val="18"/>
                <w:szCs w:val="18"/>
              </w:rPr>
              <w:t>8.</w:t>
            </w:r>
            <w:r>
              <w:rPr>
                <w:rFonts w:hint="eastAsia" w:asciiTheme="minorEastAsia" w:hAnsiTheme="minorEastAsia" w:eastAsiaTheme="minorEastAsia" w:cstheme="minorEastAsia"/>
                <w:kern w:val="0"/>
                <w:sz w:val="18"/>
                <w:szCs w:val="18"/>
              </w:rPr>
              <w:t>城镇调查失业率</w:t>
            </w:r>
            <w:r>
              <w:rPr>
                <w:rFonts w:hint="default" w:ascii="Times New Roman" w:hAnsi="Times New Roman" w:cs="Times New Roman"/>
                <w:color w:val="000000"/>
                <w:kern w:val="0"/>
                <w:sz w:val="18"/>
                <w:szCs w:val="18"/>
                <w:lang w:bidi="ar"/>
              </w:rPr>
              <w:t>（%</w:t>
            </w:r>
            <w:r>
              <w:rPr>
                <w:rFonts w:hint="default" w:ascii="Times New Roman" w:hAnsi="Times New Roman" w:eastAsia="宋体" w:cs="Times New Roman"/>
                <w:color w:val="000000"/>
                <w:kern w:val="0"/>
                <w:sz w:val="18"/>
                <w:szCs w:val="18"/>
                <w:lang w:bidi="ar"/>
              </w:rPr>
              <w:t>）</w:t>
            </w:r>
          </w:p>
        </w:tc>
        <w:tc>
          <w:tcPr>
            <w:tcW w:w="916" w:type="dxa"/>
            <w:tcBorders>
              <w:top w:val="single" w:color="000000" w:sz="4" w:space="0"/>
              <w:left w:val="single" w:color="000000" w:sz="4" w:space="0"/>
              <w:bottom w:val="single" w:color="000000" w:sz="4" w:space="0"/>
              <w:right w:val="single" w:color="000000" w:sz="4" w:space="0"/>
            </w:tcBorders>
            <w:vAlign w:val="center"/>
          </w:tcPr>
          <w:p w14:paraId="69072963">
            <w:pPr>
              <w:widowControl/>
              <w:spacing w:line="280" w:lineRule="exact"/>
              <w:jc w:val="center"/>
              <w:textAlignment w:val="center"/>
              <w:rPr>
                <w:rFonts w:hint="eastAsia" w:asciiTheme="minorEastAsia" w:hAnsiTheme="minorEastAsia" w:eastAsiaTheme="minorEastAsia" w:cstheme="minorEastAsia"/>
                <w:sz w:val="18"/>
                <w:szCs w:val="18"/>
              </w:rPr>
            </w:pPr>
            <w:r>
              <w:rPr>
                <w:rFonts w:hint="default" w:ascii="Times New Roman" w:hAnsi="Times New Roman" w:eastAsia="东文宋体" w:cs="Times New Roman"/>
                <w:color w:val="000000"/>
                <w:sz w:val="18"/>
                <w:szCs w:val="18"/>
              </w:rPr>
              <w:t>－</w:t>
            </w:r>
          </w:p>
        </w:tc>
        <w:tc>
          <w:tcPr>
            <w:tcW w:w="1301" w:type="dxa"/>
            <w:tcBorders>
              <w:top w:val="single" w:color="000000" w:sz="4" w:space="0"/>
              <w:left w:val="single" w:color="000000" w:sz="4" w:space="0"/>
              <w:bottom w:val="single" w:color="000000" w:sz="4" w:space="0"/>
              <w:right w:val="single" w:color="000000" w:sz="4" w:space="0"/>
            </w:tcBorders>
            <w:vAlign w:val="center"/>
          </w:tcPr>
          <w:p w14:paraId="7BF4E628">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color w:val="000000"/>
                <w:sz w:val="18"/>
                <w:szCs w:val="18"/>
              </w:rPr>
              <w:t>5.5左右</w:t>
            </w:r>
          </w:p>
        </w:tc>
        <w:tc>
          <w:tcPr>
            <w:tcW w:w="1983" w:type="dxa"/>
            <w:tcBorders>
              <w:top w:val="single" w:color="000000" w:sz="4" w:space="0"/>
              <w:left w:val="single" w:color="000000" w:sz="4" w:space="0"/>
              <w:bottom w:val="single" w:color="000000" w:sz="4" w:space="0"/>
              <w:right w:val="single" w:color="000000" w:sz="4" w:space="0"/>
            </w:tcBorders>
            <w:vAlign w:val="center"/>
          </w:tcPr>
          <w:p w14:paraId="640DA803">
            <w:pPr>
              <w:widowControl/>
              <w:spacing w:line="280" w:lineRule="exact"/>
              <w:jc w:val="center"/>
              <w:textAlignment w:val="center"/>
              <w:rPr>
                <w:rFonts w:hint="eastAsia" w:asciiTheme="minorEastAsia" w:hAnsiTheme="minorEastAsia" w:eastAsiaTheme="minorEastAsia" w:cstheme="minorEastAsia"/>
                <w:sz w:val="18"/>
                <w:szCs w:val="18"/>
              </w:rPr>
            </w:pPr>
            <w:r>
              <w:rPr>
                <w:rFonts w:hint="default" w:ascii="Times New Roman" w:hAnsi="Times New Roman" w:cs="Times New Roman"/>
                <w:color w:val="000000"/>
                <w:sz w:val="18"/>
                <w:szCs w:val="18"/>
              </w:rPr>
              <w:t>－</w:t>
            </w:r>
          </w:p>
        </w:tc>
        <w:tc>
          <w:tcPr>
            <w:tcW w:w="915" w:type="dxa"/>
            <w:tcBorders>
              <w:top w:val="single" w:color="000000" w:sz="4" w:space="0"/>
              <w:left w:val="single" w:color="000000" w:sz="4" w:space="0"/>
              <w:bottom w:val="single" w:color="000000" w:sz="4" w:space="0"/>
              <w:right w:val="single" w:color="000000" w:sz="4" w:space="0"/>
            </w:tcBorders>
            <w:vAlign w:val="center"/>
          </w:tcPr>
          <w:p w14:paraId="08EC3FC0">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预期性</w:t>
            </w:r>
          </w:p>
        </w:tc>
      </w:tr>
      <w:tr w14:paraId="7725522E">
        <w:tblPrEx>
          <w:tblCellMar>
            <w:top w:w="0" w:type="dxa"/>
            <w:left w:w="108" w:type="dxa"/>
            <w:bottom w:w="0" w:type="dxa"/>
            <w:right w:w="108" w:type="dxa"/>
          </w:tblCellMar>
        </w:tblPrEx>
        <w:trPr>
          <w:trHeight w:val="485"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4F78F635">
            <w:pPr>
              <w:spacing w:line="280" w:lineRule="exact"/>
              <w:jc w:val="center"/>
              <w:rPr>
                <w:rFonts w:hint="eastAsia" w:asciiTheme="minorEastAsia" w:hAnsiTheme="minorEastAsia" w:eastAsiaTheme="minorEastAsia" w:cstheme="minorEastAsia"/>
                <w:sz w:val="18"/>
                <w:szCs w:val="18"/>
              </w:rPr>
            </w:pPr>
          </w:p>
        </w:tc>
        <w:tc>
          <w:tcPr>
            <w:tcW w:w="4283" w:type="dxa"/>
            <w:tcBorders>
              <w:top w:val="single" w:color="000000" w:sz="4" w:space="0"/>
              <w:left w:val="single" w:color="000000" w:sz="4" w:space="0"/>
              <w:bottom w:val="single" w:color="000000" w:sz="4" w:space="0"/>
              <w:right w:val="single" w:color="000000" w:sz="4" w:space="0"/>
            </w:tcBorders>
            <w:vAlign w:val="center"/>
          </w:tcPr>
          <w:p w14:paraId="52C9F8DB">
            <w:pPr>
              <w:widowControl/>
              <w:spacing w:line="280" w:lineRule="exact"/>
              <w:jc w:val="left"/>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eastAsiaTheme="minorEastAsia"/>
                <w:kern w:val="0"/>
                <w:sz w:val="18"/>
                <w:szCs w:val="18"/>
                <w:lang w:val="en-US" w:eastAsia="zh-CN"/>
              </w:rPr>
              <w:t>9</w:t>
            </w:r>
            <w:r>
              <w:rPr>
                <w:rFonts w:hint="eastAsia" w:ascii="Times New Roman" w:hAnsi="Times New Roman" w:cs="Times New Roman" w:eastAsiaTheme="minorEastAsia"/>
                <w:kern w:val="0"/>
                <w:sz w:val="18"/>
                <w:szCs w:val="18"/>
              </w:rPr>
              <w:t>.</w:t>
            </w:r>
            <w:r>
              <w:rPr>
                <w:rFonts w:hint="eastAsia" w:asciiTheme="minorEastAsia" w:hAnsiTheme="minorEastAsia" w:eastAsiaTheme="minorEastAsia" w:cstheme="minorEastAsia"/>
                <w:kern w:val="0"/>
                <w:sz w:val="18"/>
                <w:szCs w:val="18"/>
              </w:rPr>
              <w:t>劳动年龄人口平均受教育年限</w:t>
            </w:r>
            <w:r>
              <w:rPr>
                <w:rFonts w:hint="default" w:ascii="Times New Roman" w:hAnsi="Times New Roman" w:cs="Times New Roman"/>
                <w:color w:val="000000"/>
                <w:kern w:val="0"/>
                <w:sz w:val="18"/>
                <w:szCs w:val="18"/>
                <w:lang w:bidi="ar"/>
              </w:rPr>
              <w:t>（年）</w:t>
            </w:r>
          </w:p>
        </w:tc>
        <w:tc>
          <w:tcPr>
            <w:tcW w:w="916" w:type="dxa"/>
            <w:tcBorders>
              <w:top w:val="single" w:color="000000" w:sz="4" w:space="0"/>
              <w:left w:val="single" w:color="000000" w:sz="4" w:space="0"/>
              <w:bottom w:val="single" w:color="000000" w:sz="4" w:space="0"/>
              <w:right w:val="single" w:color="000000" w:sz="4" w:space="0"/>
            </w:tcBorders>
            <w:vAlign w:val="center"/>
          </w:tcPr>
          <w:p w14:paraId="426EF544">
            <w:pPr>
              <w:spacing w:line="280" w:lineRule="exact"/>
              <w:jc w:val="center"/>
              <w:rPr>
                <w:rFonts w:hint="eastAsia" w:asciiTheme="minorEastAsia" w:hAnsiTheme="minorEastAsia" w:eastAsiaTheme="minorEastAsia" w:cstheme="minorEastAsia"/>
                <w:sz w:val="18"/>
                <w:szCs w:val="18"/>
              </w:rPr>
            </w:pPr>
            <w:r>
              <w:rPr>
                <w:rFonts w:hint="default" w:ascii="Times New Roman" w:hAnsi="Times New Roman" w:eastAsia="东文宋体" w:cs="Times New Roman"/>
                <w:color w:val="000000"/>
                <w:sz w:val="18"/>
                <w:szCs w:val="18"/>
              </w:rPr>
              <w:t>－</w:t>
            </w:r>
          </w:p>
        </w:tc>
        <w:tc>
          <w:tcPr>
            <w:tcW w:w="1301" w:type="dxa"/>
            <w:tcBorders>
              <w:top w:val="single" w:color="000000" w:sz="4" w:space="0"/>
              <w:left w:val="single" w:color="000000" w:sz="4" w:space="0"/>
              <w:bottom w:val="single" w:color="000000" w:sz="4" w:space="0"/>
              <w:right w:val="single" w:color="000000" w:sz="4" w:space="0"/>
            </w:tcBorders>
            <w:vAlign w:val="center"/>
          </w:tcPr>
          <w:p w14:paraId="77863A5A">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color w:val="000000"/>
                <w:sz w:val="18"/>
                <w:szCs w:val="18"/>
              </w:rPr>
              <w:t>11.3</w:t>
            </w:r>
          </w:p>
        </w:tc>
        <w:tc>
          <w:tcPr>
            <w:tcW w:w="1983" w:type="dxa"/>
            <w:tcBorders>
              <w:top w:val="single" w:color="000000" w:sz="4" w:space="0"/>
              <w:left w:val="single" w:color="000000" w:sz="4" w:space="0"/>
              <w:bottom w:val="single" w:color="000000" w:sz="4" w:space="0"/>
              <w:right w:val="single" w:color="000000" w:sz="4" w:space="0"/>
            </w:tcBorders>
            <w:vAlign w:val="center"/>
          </w:tcPr>
          <w:p w14:paraId="65C288D3">
            <w:pPr>
              <w:widowControl/>
              <w:spacing w:line="280" w:lineRule="exact"/>
              <w:jc w:val="center"/>
              <w:textAlignment w:val="center"/>
              <w:rPr>
                <w:rFonts w:hint="eastAsia" w:asciiTheme="minorEastAsia" w:hAnsiTheme="minorEastAsia" w:eastAsiaTheme="minorEastAsia" w:cstheme="minorEastAsia"/>
                <w:sz w:val="18"/>
                <w:szCs w:val="18"/>
              </w:rPr>
            </w:pPr>
            <w:r>
              <w:rPr>
                <w:rFonts w:hint="default" w:ascii="Times New Roman" w:hAnsi="Times New Roman" w:cs="Times New Roman"/>
                <w:color w:val="000000"/>
                <w:sz w:val="18"/>
                <w:szCs w:val="18"/>
              </w:rPr>
              <w:t>－</w:t>
            </w:r>
          </w:p>
        </w:tc>
        <w:tc>
          <w:tcPr>
            <w:tcW w:w="915" w:type="dxa"/>
            <w:tcBorders>
              <w:top w:val="single" w:color="000000" w:sz="4" w:space="0"/>
              <w:left w:val="single" w:color="000000" w:sz="4" w:space="0"/>
              <w:bottom w:val="single" w:color="000000" w:sz="4" w:space="0"/>
              <w:right w:val="single" w:color="000000" w:sz="4" w:space="0"/>
            </w:tcBorders>
            <w:vAlign w:val="center"/>
          </w:tcPr>
          <w:p w14:paraId="3BCF6F23">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约束性</w:t>
            </w:r>
          </w:p>
        </w:tc>
      </w:tr>
      <w:tr w14:paraId="6DAA15B7">
        <w:tblPrEx>
          <w:tblCellMar>
            <w:top w:w="0" w:type="dxa"/>
            <w:left w:w="108" w:type="dxa"/>
            <w:bottom w:w="0" w:type="dxa"/>
            <w:right w:w="108" w:type="dxa"/>
          </w:tblCellMar>
        </w:tblPrEx>
        <w:trPr>
          <w:trHeight w:val="485"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184581EA">
            <w:pPr>
              <w:spacing w:line="280" w:lineRule="exact"/>
              <w:jc w:val="center"/>
              <w:rPr>
                <w:rFonts w:hint="eastAsia" w:asciiTheme="minorEastAsia" w:hAnsiTheme="minorEastAsia" w:eastAsiaTheme="minorEastAsia" w:cstheme="minorEastAsia"/>
                <w:sz w:val="18"/>
                <w:szCs w:val="18"/>
              </w:rPr>
            </w:pPr>
          </w:p>
        </w:tc>
        <w:tc>
          <w:tcPr>
            <w:tcW w:w="4283" w:type="dxa"/>
            <w:tcBorders>
              <w:top w:val="single" w:color="000000" w:sz="4" w:space="0"/>
              <w:left w:val="single" w:color="000000" w:sz="4" w:space="0"/>
              <w:bottom w:val="single" w:color="000000" w:sz="4" w:space="0"/>
              <w:right w:val="single" w:color="000000" w:sz="4" w:space="0"/>
            </w:tcBorders>
            <w:vAlign w:val="center"/>
          </w:tcPr>
          <w:p w14:paraId="62DB3318">
            <w:pPr>
              <w:widowControl/>
              <w:spacing w:line="280" w:lineRule="exact"/>
              <w:jc w:val="left"/>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eastAsiaTheme="minorEastAsia"/>
                <w:kern w:val="0"/>
                <w:sz w:val="18"/>
                <w:szCs w:val="18"/>
              </w:rPr>
              <w:t>10.</w:t>
            </w:r>
            <w:r>
              <w:rPr>
                <w:rFonts w:hint="eastAsia" w:asciiTheme="minorEastAsia" w:hAnsiTheme="minorEastAsia" w:eastAsiaTheme="minorEastAsia" w:cstheme="minorEastAsia"/>
                <w:kern w:val="0"/>
                <w:sz w:val="18"/>
                <w:szCs w:val="18"/>
              </w:rPr>
              <w:t>每千人拥有</w:t>
            </w:r>
            <w:r>
              <w:rPr>
                <w:rFonts w:hint="default" w:ascii="Times New Roman" w:hAnsi="Times New Roman" w:cs="Times New Roman" w:eastAsiaTheme="minorEastAsia"/>
                <w:kern w:val="0"/>
                <w:sz w:val="18"/>
                <w:szCs w:val="18"/>
              </w:rPr>
              <w:t>3</w:t>
            </w:r>
            <w:r>
              <w:rPr>
                <w:rFonts w:hint="eastAsia" w:asciiTheme="minorEastAsia" w:hAnsiTheme="minorEastAsia" w:eastAsiaTheme="minorEastAsia" w:cstheme="minorEastAsia"/>
                <w:kern w:val="0"/>
                <w:sz w:val="18"/>
                <w:szCs w:val="18"/>
              </w:rPr>
              <w:t>岁以下婴幼儿托位数</w:t>
            </w:r>
            <w:r>
              <w:rPr>
                <w:rFonts w:hint="default" w:ascii="Times New Roman" w:hAnsi="Times New Roman" w:cs="Times New Roman"/>
                <w:color w:val="000000"/>
                <w:kern w:val="0"/>
                <w:sz w:val="18"/>
                <w:szCs w:val="18"/>
                <w:lang w:bidi="ar"/>
              </w:rPr>
              <w:t>（个）</w:t>
            </w:r>
          </w:p>
        </w:tc>
        <w:tc>
          <w:tcPr>
            <w:tcW w:w="916" w:type="dxa"/>
            <w:tcBorders>
              <w:top w:val="single" w:color="000000" w:sz="4" w:space="0"/>
              <w:left w:val="single" w:color="000000" w:sz="4" w:space="0"/>
              <w:bottom w:val="single" w:color="000000" w:sz="4" w:space="0"/>
              <w:right w:val="single" w:color="000000" w:sz="4" w:space="0"/>
            </w:tcBorders>
            <w:vAlign w:val="center"/>
          </w:tcPr>
          <w:p w14:paraId="3F0EF49E">
            <w:pPr>
              <w:spacing w:line="280" w:lineRule="exact"/>
              <w:jc w:val="center"/>
              <w:rPr>
                <w:rFonts w:hint="eastAsia" w:asciiTheme="minorEastAsia" w:hAnsiTheme="minorEastAsia" w:eastAsiaTheme="minorEastAsia" w:cstheme="minorEastAsia"/>
                <w:sz w:val="18"/>
                <w:szCs w:val="18"/>
              </w:rPr>
            </w:pPr>
            <w:r>
              <w:rPr>
                <w:rFonts w:hint="default" w:ascii="Times New Roman" w:hAnsi="Times New Roman" w:eastAsia="东文宋体" w:cs="Times New Roman"/>
                <w:color w:val="000000"/>
                <w:sz w:val="18"/>
                <w:szCs w:val="18"/>
              </w:rPr>
              <w:t>－</w:t>
            </w:r>
          </w:p>
        </w:tc>
        <w:tc>
          <w:tcPr>
            <w:tcW w:w="1301" w:type="dxa"/>
            <w:tcBorders>
              <w:top w:val="single" w:color="000000" w:sz="4" w:space="0"/>
              <w:left w:val="single" w:color="000000" w:sz="4" w:space="0"/>
              <w:bottom w:val="single" w:color="000000" w:sz="4" w:space="0"/>
              <w:right w:val="single" w:color="000000" w:sz="4" w:space="0"/>
            </w:tcBorders>
            <w:vAlign w:val="center"/>
          </w:tcPr>
          <w:p w14:paraId="00F6F5C7">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color w:val="000000"/>
                <w:sz w:val="18"/>
                <w:szCs w:val="18"/>
              </w:rPr>
              <w:t>1.25</w:t>
            </w:r>
          </w:p>
        </w:tc>
        <w:tc>
          <w:tcPr>
            <w:tcW w:w="1983" w:type="dxa"/>
            <w:tcBorders>
              <w:top w:val="single" w:color="000000" w:sz="4" w:space="0"/>
              <w:left w:val="single" w:color="000000" w:sz="4" w:space="0"/>
              <w:bottom w:val="single" w:color="000000" w:sz="4" w:space="0"/>
              <w:right w:val="single" w:color="000000" w:sz="4" w:space="0"/>
            </w:tcBorders>
            <w:vAlign w:val="center"/>
          </w:tcPr>
          <w:p w14:paraId="4B26B898">
            <w:pPr>
              <w:widowControl/>
              <w:spacing w:line="280" w:lineRule="exact"/>
              <w:jc w:val="center"/>
              <w:textAlignment w:val="center"/>
              <w:rPr>
                <w:rFonts w:hint="eastAsia" w:asciiTheme="minorEastAsia" w:hAnsiTheme="minorEastAsia" w:eastAsiaTheme="minorEastAsia" w:cstheme="minorEastAsia"/>
                <w:sz w:val="18"/>
                <w:szCs w:val="18"/>
              </w:rPr>
            </w:pPr>
            <w:r>
              <w:rPr>
                <w:rFonts w:hint="default" w:ascii="Times New Roman" w:hAnsi="Times New Roman" w:cs="Times New Roman"/>
                <w:color w:val="000000"/>
                <w:sz w:val="18"/>
                <w:szCs w:val="18"/>
              </w:rPr>
              <w:t>－</w:t>
            </w:r>
          </w:p>
        </w:tc>
        <w:tc>
          <w:tcPr>
            <w:tcW w:w="915" w:type="dxa"/>
            <w:tcBorders>
              <w:top w:val="single" w:color="000000" w:sz="4" w:space="0"/>
              <w:left w:val="single" w:color="000000" w:sz="4" w:space="0"/>
              <w:bottom w:val="single" w:color="000000" w:sz="4" w:space="0"/>
              <w:right w:val="single" w:color="000000" w:sz="4" w:space="0"/>
            </w:tcBorders>
            <w:vAlign w:val="center"/>
          </w:tcPr>
          <w:p w14:paraId="420CF4DA">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预期性</w:t>
            </w:r>
          </w:p>
        </w:tc>
      </w:tr>
      <w:tr w14:paraId="20953F02">
        <w:tblPrEx>
          <w:tblCellMar>
            <w:top w:w="0" w:type="dxa"/>
            <w:left w:w="108" w:type="dxa"/>
            <w:bottom w:w="0" w:type="dxa"/>
            <w:right w:w="108" w:type="dxa"/>
          </w:tblCellMar>
        </w:tblPrEx>
        <w:trPr>
          <w:trHeight w:val="485"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4240DEDA">
            <w:pPr>
              <w:spacing w:line="280" w:lineRule="exact"/>
              <w:jc w:val="center"/>
              <w:rPr>
                <w:rFonts w:hint="eastAsia" w:asciiTheme="minorEastAsia" w:hAnsiTheme="minorEastAsia" w:eastAsiaTheme="minorEastAsia" w:cstheme="minorEastAsia"/>
                <w:sz w:val="18"/>
                <w:szCs w:val="18"/>
              </w:rPr>
            </w:pPr>
          </w:p>
        </w:tc>
        <w:tc>
          <w:tcPr>
            <w:tcW w:w="4283" w:type="dxa"/>
            <w:tcBorders>
              <w:top w:val="single" w:color="000000" w:sz="4" w:space="0"/>
              <w:left w:val="single" w:color="000000" w:sz="4" w:space="0"/>
              <w:bottom w:val="single" w:color="000000" w:sz="4" w:space="0"/>
              <w:right w:val="single" w:color="000000" w:sz="4" w:space="0"/>
            </w:tcBorders>
            <w:vAlign w:val="center"/>
          </w:tcPr>
          <w:p w14:paraId="143F64DE">
            <w:pPr>
              <w:widowControl/>
              <w:spacing w:line="280" w:lineRule="exact"/>
              <w:jc w:val="left"/>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eastAsiaTheme="minorEastAsia"/>
                <w:kern w:val="0"/>
                <w:sz w:val="18"/>
                <w:szCs w:val="18"/>
              </w:rPr>
              <w:t>11.</w:t>
            </w:r>
            <w:r>
              <w:rPr>
                <w:rFonts w:hint="eastAsia" w:asciiTheme="minorEastAsia" w:hAnsiTheme="minorEastAsia" w:eastAsiaTheme="minorEastAsia" w:cstheme="minorEastAsia"/>
                <w:kern w:val="0"/>
                <w:sz w:val="18"/>
                <w:szCs w:val="18"/>
              </w:rPr>
              <w:t>每千人拥有执业(助理)医师数</w:t>
            </w:r>
            <w:r>
              <w:rPr>
                <w:rFonts w:hint="default" w:ascii="Times New Roman" w:hAnsi="Times New Roman" w:cs="Times New Roman"/>
                <w:color w:val="000000"/>
                <w:kern w:val="0"/>
                <w:sz w:val="18"/>
                <w:szCs w:val="18"/>
                <w:lang w:bidi="ar"/>
              </w:rPr>
              <w:t>（人）</w:t>
            </w:r>
          </w:p>
        </w:tc>
        <w:tc>
          <w:tcPr>
            <w:tcW w:w="916" w:type="dxa"/>
            <w:tcBorders>
              <w:top w:val="single" w:color="000000" w:sz="4" w:space="0"/>
              <w:left w:val="single" w:color="000000" w:sz="4" w:space="0"/>
              <w:bottom w:val="single" w:color="000000" w:sz="4" w:space="0"/>
              <w:right w:val="single" w:color="000000" w:sz="4" w:space="0"/>
            </w:tcBorders>
            <w:vAlign w:val="center"/>
          </w:tcPr>
          <w:p w14:paraId="3CC54D53">
            <w:pPr>
              <w:spacing w:line="280" w:lineRule="exact"/>
              <w:jc w:val="center"/>
              <w:rPr>
                <w:rFonts w:hint="eastAsia" w:asciiTheme="minorEastAsia" w:hAnsiTheme="minorEastAsia" w:eastAsiaTheme="minorEastAsia" w:cstheme="minorEastAsia"/>
                <w:sz w:val="18"/>
                <w:szCs w:val="18"/>
              </w:rPr>
            </w:pPr>
            <w:r>
              <w:rPr>
                <w:rFonts w:hint="default" w:ascii="Times New Roman" w:hAnsi="Times New Roman" w:eastAsia="东文宋体" w:cs="Times New Roman"/>
                <w:color w:val="000000"/>
                <w:sz w:val="18"/>
                <w:szCs w:val="18"/>
              </w:rPr>
              <w:t>－</w:t>
            </w:r>
          </w:p>
        </w:tc>
        <w:tc>
          <w:tcPr>
            <w:tcW w:w="1301" w:type="dxa"/>
            <w:tcBorders>
              <w:top w:val="single" w:color="000000" w:sz="4" w:space="0"/>
              <w:left w:val="single" w:color="000000" w:sz="4" w:space="0"/>
              <w:bottom w:val="single" w:color="000000" w:sz="4" w:space="0"/>
              <w:right w:val="single" w:color="000000" w:sz="4" w:space="0"/>
            </w:tcBorders>
            <w:vAlign w:val="center"/>
          </w:tcPr>
          <w:p w14:paraId="7B8973D9">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color w:val="000000"/>
                <w:sz w:val="18"/>
                <w:szCs w:val="18"/>
              </w:rPr>
              <w:t>3.18</w:t>
            </w:r>
          </w:p>
        </w:tc>
        <w:tc>
          <w:tcPr>
            <w:tcW w:w="1983" w:type="dxa"/>
            <w:tcBorders>
              <w:top w:val="single" w:color="000000" w:sz="4" w:space="0"/>
              <w:left w:val="single" w:color="000000" w:sz="4" w:space="0"/>
              <w:bottom w:val="single" w:color="000000" w:sz="4" w:space="0"/>
              <w:right w:val="single" w:color="000000" w:sz="4" w:space="0"/>
            </w:tcBorders>
            <w:vAlign w:val="center"/>
          </w:tcPr>
          <w:p w14:paraId="3CB41DD8">
            <w:pPr>
              <w:widowControl/>
              <w:spacing w:line="280" w:lineRule="exact"/>
              <w:jc w:val="center"/>
              <w:textAlignment w:val="center"/>
              <w:rPr>
                <w:rFonts w:hint="eastAsia" w:asciiTheme="minorEastAsia" w:hAnsiTheme="minorEastAsia" w:eastAsiaTheme="minorEastAsia" w:cstheme="minorEastAsia"/>
                <w:sz w:val="18"/>
                <w:szCs w:val="18"/>
              </w:rPr>
            </w:pPr>
            <w:r>
              <w:rPr>
                <w:rFonts w:hint="default" w:ascii="Times New Roman" w:hAnsi="Times New Roman" w:cs="Times New Roman"/>
                <w:color w:val="000000"/>
                <w:sz w:val="18"/>
                <w:szCs w:val="18"/>
              </w:rPr>
              <w:t>－</w:t>
            </w:r>
          </w:p>
        </w:tc>
        <w:tc>
          <w:tcPr>
            <w:tcW w:w="915" w:type="dxa"/>
            <w:tcBorders>
              <w:top w:val="single" w:color="000000" w:sz="4" w:space="0"/>
              <w:left w:val="single" w:color="000000" w:sz="4" w:space="0"/>
              <w:bottom w:val="single" w:color="000000" w:sz="4" w:space="0"/>
              <w:right w:val="single" w:color="000000" w:sz="4" w:space="0"/>
            </w:tcBorders>
            <w:vAlign w:val="center"/>
          </w:tcPr>
          <w:p w14:paraId="298BB9A2">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预期性</w:t>
            </w:r>
          </w:p>
        </w:tc>
      </w:tr>
      <w:tr w14:paraId="2ABC72E0">
        <w:tblPrEx>
          <w:tblCellMar>
            <w:top w:w="0" w:type="dxa"/>
            <w:left w:w="108" w:type="dxa"/>
            <w:bottom w:w="0" w:type="dxa"/>
            <w:right w:w="108" w:type="dxa"/>
          </w:tblCellMar>
        </w:tblPrEx>
        <w:trPr>
          <w:trHeight w:val="485"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28A45F0A">
            <w:pPr>
              <w:spacing w:line="280" w:lineRule="exact"/>
              <w:jc w:val="center"/>
              <w:rPr>
                <w:rFonts w:hint="eastAsia" w:asciiTheme="minorEastAsia" w:hAnsiTheme="minorEastAsia" w:eastAsiaTheme="minorEastAsia" w:cstheme="minorEastAsia"/>
                <w:sz w:val="18"/>
                <w:szCs w:val="18"/>
              </w:rPr>
            </w:pPr>
          </w:p>
        </w:tc>
        <w:tc>
          <w:tcPr>
            <w:tcW w:w="4283" w:type="dxa"/>
            <w:tcBorders>
              <w:top w:val="single" w:color="000000" w:sz="4" w:space="0"/>
              <w:left w:val="single" w:color="000000" w:sz="4" w:space="0"/>
              <w:bottom w:val="single" w:color="000000" w:sz="4" w:space="0"/>
              <w:right w:val="single" w:color="000000" w:sz="4" w:space="0"/>
            </w:tcBorders>
            <w:vAlign w:val="center"/>
          </w:tcPr>
          <w:p w14:paraId="45369BC3">
            <w:pPr>
              <w:widowControl/>
              <w:spacing w:line="280" w:lineRule="exact"/>
              <w:jc w:val="left"/>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eastAsiaTheme="minorEastAsia"/>
                <w:kern w:val="0"/>
                <w:sz w:val="18"/>
                <w:szCs w:val="18"/>
              </w:rPr>
              <w:t>12.</w:t>
            </w:r>
            <w:r>
              <w:rPr>
                <w:rFonts w:hint="eastAsia" w:asciiTheme="minorEastAsia" w:hAnsiTheme="minorEastAsia" w:eastAsiaTheme="minorEastAsia" w:cstheme="minorEastAsia"/>
                <w:kern w:val="0"/>
                <w:sz w:val="18"/>
                <w:szCs w:val="18"/>
              </w:rPr>
              <w:t>基本养老保险参保率</w:t>
            </w:r>
            <w:r>
              <w:rPr>
                <w:rFonts w:hint="default" w:ascii="Times New Roman" w:hAnsi="Times New Roman" w:cs="Times New Roman"/>
                <w:color w:val="000000"/>
                <w:kern w:val="0"/>
                <w:sz w:val="18"/>
                <w:szCs w:val="18"/>
                <w:lang w:bidi="ar"/>
              </w:rPr>
              <w:t>（%</w:t>
            </w:r>
            <w:r>
              <w:rPr>
                <w:rFonts w:hint="default" w:ascii="Times New Roman" w:hAnsi="Times New Roman" w:eastAsia="宋体" w:cs="Times New Roman"/>
                <w:color w:val="000000"/>
                <w:kern w:val="0"/>
                <w:sz w:val="18"/>
                <w:szCs w:val="18"/>
                <w:lang w:bidi="ar"/>
              </w:rPr>
              <w:t>）</w:t>
            </w:r>
          </w:p>
        </w:tc>
        <w:tc>
          <w:tcPr>
            <w:tcW w:w="916" w:type="dxa"/>
            <w:tcBorders>
              <w:top w:val="single" w:color="000000" w:sz="4" w:space="0"/>
              <w:left w:val="single" w:color="000000" w:sz="4" w:space="0"/>
              <w:bottom w:val="single" w:color="000000" w:sz="4" w:space="0"/>
              <w:right w:val="single" w:color="000000" w:sz="4" w:space="0"/>
            </w:tcBorders>
            <w:vAlign w:val="center"/>
          </w:tcPr>
          <w:p w14:paraId="73D8636C">
            <w:pPr>
              <w:spacing w:line="280" w:lineRule="exact"/>
              <w:jc w:val="center"/>
              <w:rPr>
                <w:rFonts w:hint="eastAsia" w:asciiTheme="minorEastAsia" w:hAnsiTheme="minorEastAsia" w:eastAsiaTheme="minorEastAsia" w:cstheme="minorEastAsia"/>
                <w:sz w:val="18"/>
                <w:szCs w:val="18"/>
              </w:rPr>
            </w:pPr>
            <w:r>
              <w:rPr>
                <w:rFonts w:hint="default" w:ascii="Times New Roman" w:hAnsi="Times New Roman" w:eastAsia="东文宋体" w:cs="Times New Roman"/>
                <w:color w:val="000000"/>
                <w:sz w:val="18"/>
                <w:szCs w:val="18"/>
              </w:rPr>
              <w:t>－</w:t>
            </w:r>
          </w:p>
        </w:tc>
        <w:tc>
          <w:tcPr>
            <w:tcW w:w="1301" w:type="dxa"/>
            <w:tcBorders>
              <w:top w:val="single" w:color="000000" w:sz="4" w:space="0"/>
              <w:left w:val="single" w:color="000000" w:sz="4" w:space="0"/>
              <w:bottom w:val="single" w:color="000000" w:sz="4" w:space="0"/>
              <w:right w:val="single" w:color="000000" w:sz="4" w:space="0"/>
            </w:tcBorders>
            <w:vAlign w:val="center"/>
          </w:tcPr>
          <w:p w14:paraId="7DE4D43D">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color w:val="000000"/>
                <w:sz w:val="18"/>
                <w:szCs w:val="18"/>
              </w:rPr>
              <w:t>&gt;95</w:t>
            </w:r>
          </w:p>
        </w:tc>
        <w:tc>
          <w:tcPr>
            <w:tcW w:w="1983" w:type="dxa"/>
            <w:tcBorders>
              <w:top w:val="single" w:color="000000" w:sz="4" w:space="0"/>
              <w:left w:val="single" w:color="000000" w:sz="4" w:space="0"/>
              <w:bottom w:val="single" w:color="000000" w:sz="4" w:space="0"/>
              <w:right w:val="single" w:color="000000" w:sz="4" w:space="0"/>
            </w:tcBorders>
            <w:vAlign w:val="center"/>
          </w:tcPr>
          <w:p w14:paraId="56920AEF">
            <w:pPr>
              <w:widowControl/>
              <w:spacing w:line="280" w:lineRule="exact"/>
              <w:jc w:val="center"/>
              <w:textAlignment w:val="center"/>
              <w:rPr>
                <w:rFonts w:hint="eastAsia" w:asciiTheme="minorEastAsia" w:hAnsiTheme="minorEastAsia" w:eastAsiaTheme="minorEastAsia" w:cstheme="minorEastAsia"/>
                <w:sz w:val="18"/>
                <w:szCs w:val="18"/>
              </w:rPr>
            </w:pPr>
            <w:r>
              <w:rPr>
                <w:rFonts w:hint="default" w:ascii="Times New Roman" w:hAnsi="Times New Roman" w:cs="Times New Roman"/>
                <w:color w:val="000000"/>
                <w:sz w:val="18"/>
                <w:szCs w:val="18"/>
              </w:rPr>
              <w:t>－</w:t>
            </w:r>
          </w:p>
        </w:tc>
        <w:tc>
          <w:tcPr>
            <w:tcW w:w="915" w:type="dxa"/>
            <w:tcBorders>
              <w:top w:val="single" w:color="000000" w:sz="4" w:space="0"/>
              <w:left w:val="single" w:color="000000" w:sz="4" w:space="0"/>
              <w:bottom w:val="single" w:color="000000" w:sz="4" w:space="0"/>
              <w:right w:val="single" w:color="000000" w:sz="4" w:space="0"/>
            </w:tcBorders>
            <w:vAlign w:val="center"/>
          </w:tcPr>
          <w:p w14:paraId="0C7EF5A8">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预期性</w:t>
            </w:r>
          </w:p>
        </w:tc>
      </w:tr>
      <w:tr w14:paraId="303BC6EA">
        <w:tblPrEx>
          <w:tblCellMar>
            <w:top w:w="0" w:type="dxa"/>
            <w:left w:w="108" w:type="dxa"/>
            <w:bottom w:w="0" w:type="dxa"/>
            <w:right w:w="108" w:type="dxa"/>
          </w:tblCellMar>
        </w:tblPrEx>
        <w:trPr>
          <w:trHeight w:val="485"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1C7BE797">
            <w:pPr>
              <w:spacing w:line="280" w:lineRule="exact"/>
              <w:jc w:val="center"/>
              <w:rPr>
                <w:rFonts w:hint="eastAsia" w:asciiTheme="minorEastAsia" w:hAnsiTheme="minorEastAsia" w:eastAsiaTheme="minorEastAsia" w:cstheme="minorEastAsia"/>
                <w:sz w:val="18"/>
                <w:szCs w:val="18"/>
              </w:rPr>
            </w:pPr>
          </w:p>
        </w:tc>
        <w:tc>
          <w:tcPr>
            <w:tcW w:w="4283" w:type="dxa"/>
            <w:tcBorders>
              <w:top w:val="single" w:color="000000" w:sz="4" w:space="0"/>
              <w:left w:val="single" w:color="000000" w:sz="4" w:space="0"/>
              <w:bottom w:val="single" w:color="000000" w:sz="4" w:space="0"/>
              <w:right w:val="single" w:color="000000" w:sz="4" w:space="0"/>
            </w:tcBorders>
            <w:vAlign w:val="center"/>
          </w:tcPr>
          <w:p w14:paraId="5E89F2A3">
            <w:pPr>
              <w:widowControl/>
              <w:spacing w:line="280" w:lineRule="exact"/>
              <w:jc w:val="left"/>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eastAsiaTheme="minorEastAsia"/>
                <w:kern w:val="0"/>
                <w:sz w:val="18"/>
                <w:szCs w:val="18"/>
              </w:rPr>
              <w:t>13.</w:t>
            </w:r>
            <w:r>
              <w:rPr>
                <w:rFonts w:hint="eastAsia" w:asciiTheme="minorEastAsia" w:hAnsiTheme="minorEastAsia" w:eastAsiaTheme="minorEastAsia" w:cstheme="minorEastAsia"/>
                <w:kern w:val="0"/>
                <w:sz w:val="18"/>
                <w:szCs w:val="18"/>
              </w:rPr>
              <w:t>人均预期寿命</w:t>
            </w:r>
            <w:r>
              <w:rPr>
                <w:rFonts w:hint="default" w:ascii="Times New Roman" w:hAnsi="Times New Roman" w:cs="Times New Roman"/>
                <w:color w:val="000000"/>
                <w:kern w:val="0"/>
                <w:sz w:val="18"/>
                <w:szCs w:val="18"/>
                <w:lang w:bidi="ar"/>
              </w:rPr>
              <w:t>（岁）</w:t>
            </w:r>
          </w:p>
        </w:tc>
        <w:tc>
          <w:tcPr>
            <w:tcW w:w="916" w:type="dxa"/>
            <w:tcBorders>
              <w:top w:val="single" w:color="000000" w:sz="4" w:space="0"/>
              <w:left w:val="single" w:color="000000" w:sz="4" w:space="0"/>
              <w:bottom w:val="single" w:color="000000" w:sz="4" w:space="0"/>
              <w:right w:val="single" w:color="000000" w:sz="4" w:space="0"/>
            </w:tcBorders>
            <w:vAlign w:val="center"/>
          </w:tcPr>
          <w:p w14:paraId="3F08C685">
            <w:pPr>
              <w:spacing w:line="280" w:lineRule="exact"/>
              <w:jc w:val="center"/>
              <w:rPr>
                <w:rFonts w:hint="eastAsia" w:asciiTheme="minorEastAsia" w:hAnsiTheme="minorEastAsia" w:eastAsiaTheme="minorEastAsia" w:cstheme="minorEastAsia"/>
                <w:sz w:val="18"/>
                <w:szCs w:val="18"/>
              </w:rPr>
            </w:pPr>
            <w:r>
              <w:rPr>
                <w:rFonts w:hint="default" w:ascii="Times New Roman" w:hAnsi="Times New Roman" w:eastAsia="东文宋体" w:cs="Times New Roman"/>
                <w:color w:val="000000"/>
                <w:sz w:val="18"/>
                <w:szCs w:val="18"/>
              </w:rPr>
              <w:t>－</w:t>
            </w:r>
          </w:p>
        </w:tc>
        <w:tc>
          <w:tcPr>
            <w:tcW w:w="1301" w:type="dxa"/>
            <w:tcBorders>
              <w:top w:val="single" w:color="000000" w:sz="4" w:space="0"/>
              <w:left w:val="single" w:color="000000" w:sz="4" w:space="0"/>
              <w:bottom w:val="single" w:color="000000" w:sz="4" w:space="0"/>
              <w:right w:val="single" w:color="000000" w:sz="4" w:space="0"/>
            </w:tcBorders>
            <w:vAlign w:val="center"/>
          </w:tcPr>
          <w:p w14:paraId="50906A44">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color w:val="000000"/>
                <w:sz w:val="18"/>
                <w:szCs w:val="18"/>
              </w:rPr>
              <w:t>75.85</w:t>
            </w:r>
          </w:p>
        </w:tc>
        <w:tc>
          <w:tcPr>
            <w:tcW w:w="1983" w:type="dxa"/>
            <w:tcBorders>
              <w:top w:val="single" w:color="000000" w:sz="4" w:space="0"/>
              <w:left w:val="single" w:color="000000" w:sz="4" w:space="0"/>
              <w:bottom w:val="single" w:color="000000" w:sz="4" w:space="0"/>
              <w:right w:val="single" w:color="000000" w:sz="4" w:space="0"/>
            </w:tcBorders>
            <w:vAlign w:val="center"/>
          </w:tcPr>
          <w:p w14:paraId="2EC1669A">
            <w:pPr>
              <w:spacing w:line="280" w:lineRule="exact"/>
              <w:jc w:val="center"/>
              <w:rPr>
                <w:rFonts w:hint="eastAsia" w:asciiTheme="minorEastAsia" w:hAnsiTheme="minorEastAsia" w:eastAsiaTheme="minorEastAsia" w:cstheme="minorEastAsia"/>
                <w:sz w:val="18"/>
                <w:szCs w:val="18"/>
              </w:rPr>
            </w:pPr>
            <w:r>
              <w:rPr>
                <w:rFonts w:hint="default" w:ascii="Times New Roman" w:hAnsi="Times New Roman" w:cs="Times New Roman"/>
                <w:color w:val="000000"/>
                <w:sz w:val="18"/>
                <w:szCs w:val="18"/>
              </w:rPr>
              <w:t>－</w:t>
            </w:r>
          </w:p>
        </w:tc>
        <w:tc>
          <w:tcPr>
            <w:tcW w:w="915" w:type="dxa"/>
            <w:tcBorders>
              <w:top w:val="single" w:color="000000" w:sz="4" w:space="0"/>
              <w:left w:val="single" w:color="000000" w:sz="4" w:space="0"/>
              <w:bottom w:val="single" w:color="000000" w:sz="4" w:space="0"/>
              <w:right w:val="single" w:color="000000" w:sz="4" w:space="0"/>
            </w:tcBorders>
            <w:vAlign w:val="center"/>
          </w:tcPr>
          <w:p w14:paraId="205F9A1E">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预期性</w:t>
            </w:r>
          </w:p>
        </w:tc>
      </w:tr>
      <w:tr w14:paraId="3D61888E">
        <w:tblPrEx>
          <w:tblCellMar>
            <w:top w:w="0" w:type="dxa"/>
            <w:left w:w="108" w:type="dxa"/>
            <w:bottom w:w="0" w:type="dxa"/>
            <w:right w:w="108" w:type="dxa"/>
          </w:tblCellMar>
        </w:tblPrEx>
        <w:trPr>
          <w:trHeight w:val="485"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14:paraId="5C36E2C2">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绿色生态</w:t>
            </w:r>
          </w:p>
        </w:tc>
        <w:tc>
          <w:tcPr>
            <w:tcW w:w="4283" w:type="dxa"/>
            <w:tcBorders>
              <w:top w:val="single" w:color="000000" w:sz="4" w:space="0"/>
              <w:left w:val="single" w:color="000000" w:sz="4" w:space="0"/>
              <w:bottom w:val="single" w:color="000000" w:sz="4" w:space="0"/>
              <w:right w:val="single" w:color="000000" w:sz="4" w:space="0"/>
            </w:tcBorders>
            <w:vAlign w:val="center"/>
          </w:tcPr>
          <w:p w14:paraId="3BA8259D">
            <w:pPr>
              <w:widowControl/>
              <w:spacing w:line="280" w:lineRule="exact"/>
              <w:jc w:val="left"/>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eastAsiaTheme="minorEastAsia"/>
                <w:kern w:val="0"/>
                <w:sz w:val="18"/>
                <w:szCs w:val="18"/>
              </w:rPr>
              <w:t>14.</w:t>
            </w:r>
            <w:r>
              <w:rPr>
                <w:rFonts w:hint="eastAsia" w:asciiTheme="minorEastAsia" w:hAnsiTheme="minorEastAsia" w:eastAsiaTheme="minorEastAsia" w:cstheme="minorEastAsia"/>
                <w:kern w:val="0"/>
                <w:sz w:val="18"/>
                <w:szCs w:val="18"/>
              </w:rPr>
              <w:t>单位地区生产总值能源消耗降低</w:t>
            </w:r>
            <w:r>
              <w:rPr>
                <w:rFonts w:hint="default" w:ascii="Times New Roman" w:hAnsi="Times New Roman" w:cs="Times New Roman"/>
                <w:color w:val="000000"/>
                <w:kern w:val="0"/>
                <w:sz w:val="18"/>
                <w:szCs w:val="18"/>
                <w:lang w:bidi="ar"/>
              </w:rPr>
              <w:t>（%</w:t>
            </w:r>
            <w:r>
              <w:rPr>
                <w:rFonts w:hint="default" w:ascii="Times New Roman" w:hAnsi="Times New Roman" w:eastAsia="宋体" w:cs="Times New Roman"/>
                <w:color w:val="000000"/>
                <w:kern w:val="0"/>
                <w:sz w:val="18"/>
                <w:szCs w:val="18"/>
                <w:lang w:bidi="ar"/>
              </w:rPr>
              <w:t>）</w:t>
            </w:r>
          </w:p>
        </w:tc>
        <w:tc>
          <w:tcPr>
            <w:tcW w:w="916" w:type="dxa"/>
            <w:tcBorders>
              <w:top w:val="single" w:color="000000" w:sz="4" w:space="0"/>
              <w:left w:val="single" w:color="000000" w:sz="4" w:space="0"/>
              <w:bottom w:val="single" w:color="000000" w:sz="4" w:space="0"/>
              <w:right w:val="single" w:color="000000" w:sz="4" w:space="0"/>
            </w:tcBorders>
            <w:vAlign w:val="center"/>
          </w:tcPr>
          <w:p w14:paraId="05ECB8AB">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color w:val="000000"/>
                <w:sz w:val="18"/>
                <w:szCs w:val="18"/>
              </w:rPr>
              <w:t>[10]</w:t>
            </w:r>
          </w:p>
        </w:tc>
        <w:tc>
          <w:tcPr>
            <w:tcW w:w="3284" w:type="dxa"/>
            <w:gridSpan w:val="2"/>
            <w:tcBorders>
              <w:top w:val="single" w:color="000000" w:sz="4" w:space="0"/>
              <w:left w:val="single" w:color="000000" w:sz="4" w:space="0"/>
              <w:bottom w:val="single" w:color="000000" w:sz="4" w:space="0"/>
              <w:right w:val="single" w:color="000000" w:sz="4" w:space="0"/>
            </w:tcBorders>
            <w:vAlign w:val="center"/>
          </w:tcPr>
          <w:p w14:paraId="74757AE0">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控制在哈密市下达指标内</w:t>
            </w:r>
          </w:p>
        </w:tc>
        <w:tc>
          <w:tcPr>
            <w:tcW w:w="915" w:type="dxa"/>
            <w:tcBorders>
              <w:top w:val="single" w:color="000000" w:sz="4" w:space="0"/>
              <w:left w:val="single" w:color="000000" w:sz="4" w:space="0"/>
              <w:bottom w:val="single" w:color="000000" w:sz="4" w:space="0"/>
              <w:right w:val="single" w:color="000000" w:sz="4" w:space="0"/>
            </w:tcBorders>
            <w:vAlign w:val="center"/>
          </w:tcPr>
          <w:p w14:paraId="769E46F0">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约束性</w:t>
            </w:r>
          </w:p>
        </w:tc>
      </w:tr>
      <w:tr w14:paraId="133C9AFD">
        <w:tblPrEx>
          <w:tblCellMar>
            <w:top w:w="0" w:type="dxa"/>
            <w:left w:w="108" w:type="dxa"/>
            <w:bottom w:w="0" w:type="dxa"/>
            <w:right w:w="108" w:type="dxa"/>
          </w:tblCellMar>
        </w:tblPrEx>
        <w:trPr>
          <w:trHeight w:val="485"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40F288D6">
            <w:pPr>
              <w:spacing w:line="280" w:lineRule="exact"/>
              <w:jc w:val="center"/>
              <w:rPr>
                <w:rFonts w:hint="eastAsia" w:asciiTheme="minorEastAsia" w:hAnsiTheme="minorEastAsia" w:eastAsiaTheme="minorEastAsia" w:cstheme="minorEastAsia"/>
                <w:sz w:val="18"/>
                <w:szCs w:val="18"/>
              </w:rPr>
            </w:pPr>
          </w:p>
        </w:tc>
        <w:tc>
          <w:tcPr>
            <w:tcW w:w="4283" w:type="dxa"/>
            <w:tcBorders>
              <w:top w:val="single" w:color="000000" w:sz="4" w:space="0"/>
              <w:left w:val="single" w:color="000000" w:sz="4" w:space="0"/>
              <w:bottom w:val="single" w:color="000000" w:sz="4" w:space="0"/>
              <w:right w:val="single" w:color="000000" w:sz="4" w:space="0"/>
            </w:tcBorders>
            <w:vAlign w:val="center"/>
          </w:tcPr>
          <w:p w14:paraId="6A3C50C0">
            <w:pPr>
              <w:widowControl/>
              <w:spacing w:line="280" w:lineRule="exact"/>
              <w:jc w:val="left"/>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eastAsiaTheme="minorEastAsia"/>
                <w:kern w:val="0"/>
                <w:sz w:val="18"/>
                <w:szCs w:val="18"/>
              </w:rPr>
              <w:t>15.</w:t>
            </w:r>
            <w:r>
              <w:rPr>
                <w:rFonts w:hint="eastAsia" w:asciiTheme="minorEastAsia" w:hAnsiTheme="minorEastAsia" w:eastAsiaTheme="minorEastAsia" w:cstheme="minorEastAsia"/>
                <w:kern w:val="0"/>
                <w:sz w:val="18"/>
                <w:szCs w:val="18"/>
              </w:rPr>
              <w:t>单位地区生产总值二氧化碳排放降低</w:t>
            </w:r>
            <w:r>
              <w:rPr>
                <w:rFonts w:hint="default" w:ascii="Times New Roman" w:hAnsi="Times New Roman" w:cs="Times New Roman"/>
                <w:color w:val="000000"/>
                <w:kern w:val="0"/>
                <w:sz w:val="18"/>
                <w:szCs w:val="18"/>
                <w:lang w:bidi="ar"/>
              </w:rPr>
              <w:t>（%</w:t>
            </w:r>
            <w:r>
              <w:rPr>
                <w:rFonts w:hint="default" w:ascii="Times New Roman" w:hAnsi="Times New Roman" w:eastAsia="宋体" w:cs="Times New Roman"/>
                <w:color w:val="000000"/>
                <w:kern w:val="0"/>
                <w:sz w:val="18"/>
                <w:szCs w:val="18"/>
                <w:lang w:bidi="ar"/>
              </w:rPr>
              <w:t>）</w:t>
            </w:r>
          </w:p>
        </w:tc>
        <w:tc>
          <w:tcPr>
            <w:tcW w:w="916" w:type="dxa"/>
            <w:tcBorders>
              <w:top w:val="single" w:color="000000" w:sz="4" w:space="0"/>
              <w:left w:val="single" w:color="000000" w:sz="4" w:space="0"/>
              <w:bottom w:val="single" w:color="000000" w:sz="4" w:space="0"/>
              <w:right w:val="single" w:color="000000" w:sz="4" w:space="0"/>
            </w:tcBorders>
            <w:vAlign w:val="center"/>
          </w:tcPr>
          <w:p w14:paraId="141B0570">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color w:val="000000"/>
                <w:sz w:val="18"/>
                <w:szCs w:val="18"/>
              </w:rPr>
              <w:t>[12]</w:t>
            </w:r>
          </w:p>
        </w:tc>
        <w:tc>
          <w:tcPr>
            <w:tcW w:w="3284" w:type="dxa"/>
            <w:gridSpan w:val="2"/>
            <w:tcBorders>
              <w:top w:val="single" w:color="000000" w:sz="4" w:space="0"/>
              <w:left w:val="single" w:color="000000" w:sz="4" w:space="0"/>
              <w:bottom w:val="single" w:color="000000" w:sz="4" w:space="0"/>
              <w:right w:val="single" w:color="000000" w:sz="4" w:space="0"/>
            </w:tcBorders>
            <w:vAlign w:val="center"/>
          </w:tcPr>
          <w:p w14:paraId="726AF268">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控制在哈密市下达指标内</w:t>
            </w:r>
          </w:p>
        </w:tc>
        <w:tc>
          <w:tcPr>
            <w:tcW w:w="915" w:type="dxa"/>
            <w:tcBorders>
              <w:top w:val="single" w:color="000000" w:sz="4" w:space="0"/>
              <w:left w:val="single" w:color="000000" w:sz="4" w:space="0"/>
              <w:bottom w:val="single" w:color="000000" w:sz="4" w:space="0"/>
              <w:right w:val="single" w:color="000000" w:sz="4" w:space="0"/>
            </w:tcBorders>
            <w:vAlign w:val="center"/>
          </w:tcPr>
          <w:p w14:paraId="6F76E887">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约束性</w:t>
            </w:r>
          </w:p>
        </w:tc>
      </w:tr>
      <w:tr w14:paraId="7750A446">
        <w:tblPrEx>
          <w:tblCellMar>
            <w:top w:w="0" w:type="dxa"/>
            <w:left w:w="108" w:type="dxa"/>
            <w:bottom w:w="0" w:type="dxa"/>
            <w:right w:w="108" w:type="dxa"/>
          </w:tblCellMar>
        </w:tblPrEx>
        <w:trPr>
          <w:trHeight w:val="485"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09F3134C">
            <w:pPr>
              <w:spacing w:line="280" w:lineRule="exact"/>
              <w:jc w:val="center"/>
              <w:rPr>
                <w:rFonts w:hint="eastAsia" w:asciiTheme="minorEastAsia" w:hAnsiTheme="minorEastAsia" w:eastAsiaTheme="minorEastAsia" w:cstheme="minorEastAsia"/>
                <w:sz w:val="18"/>
                <w:szCs w:val="18"/>
              </w:rPr>
            </w:pPr>
          </w:p>
        </w:tc>
        <w:tc>
          <w:tcPr>
            <w:tcW w:w="4283" w:type="dxa"/>
            <w:tcBorders>
              <w:top w:val="single" w:color="000000" w:sz="4" w:space="0"/>
              <w:left w:val="single" w:color="000000" w:sz="4" w:space="0"/>
              <w:bottom w:val="single" w:color="000000" w:sz="4" w:space="0"/>
              <w:right w:val="single" w:color="000000" w:sz="4" w:space="0"/>
            </w:tcBorders>
            <w:vAlign w:val="center"/>
          </w:tcPr>
          <w:p w14:paraId="6D3E4660">
            <w:pPr>
              <w:widowControl/>
              <w:spacing w:line="280" w:lineRule="exact"/>
              <w:jc w:val="left"/>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eastAsiaTheme="minorEastAsia"/>
                <w:kern w:val="0"/>
                <w:sz w:val="18"/>
                <w:szCs w:val="18"/>
              </w:rPr>
              <w:t>16.</w:t>
            </w:r>
            <w:r>
              <w:rPr>
                <w:rFonts w:hint="eastAsia" w:asciiTheme="minorEastAsia" w:hAnsiTheme="minorEastAsia" w:eastAsiaTheme="minorEastAsia" w:cstheme="minorEastAsia"/>
                <w:kern w:val="0"/>
                <w:sz w:val="18"/>
                <w:szCs w:val="18"/>
              </w:rPr>
              <w:t>空气质量优良天数比率</w:t>
            </w:r>
            <w:r>
              <w:rPr>
                <w:rFonts w:hint="default" w:ascii="Times New Roman" w:hAnsi="Times New Roman" w:cs="Times New Roman"/>
                <w:color w:val="000000"/>
                <w:kern w:val="0"/>
                <w:sz w:val="18"/>
                <w:szCs w:val="18"/>
                <w:lang w:bidi="ar"/>
              </w:rPr>
              <w:t>（%</w:t>
            </w:r>
            <w:r>
              <w:rPr>
                <w:rFonts w:hint="default" w:ascii="Times New Roman" w:hAnsi="Times New Roman" w:eastAsia="宋体" w:cs="Times New Roman"/>
                <w:color w:val="000000"/>
                <w:kern w:val="0"/>
                <w:sz w:val="18"/>
                <w:szCs w:val="18"/>
                <w:lang w:bidi="ar"/>
              </w:rPr>
              <w:t>）</w:t>
            </w:r>
          </w:p>
        </w:tc>
        <w:tc>
          <w:tcPr>
            <w:tcW w:w="916" w:type="dxa"/>
            <w:tcBorders>
              <w:top w:val="single" w:color="000000" w:sz="4" w:space="0"/>
              <w:left w:val="single" w:color="000000" w:sz="4" w:space="0"/>
              <w:bottom w:val="single" w:color="000000" w:sz="4" w:space="0"/>
              <w:right w:val="single" w:color="000000" w:sz="4" w:space="0"/>
            </w:tcBorders>
            <w:vAlign w:val="center"/>
          </w:tcPr>
          <w:p w14:paraId="2F926877">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color w:val="000000"/>
                <w:sz w:val="18"/>
                <w:szCs w:val="18"/>
              </w:rPr>
              <w:t>96</w:t>
            </w:r>
          </w:p>
        </w:tc>
        <w:tc>
          <w:tcPr>
            <w:tcW w:w="3284" w:type="dxa"/>
            <w:gridSpan w:val="2"/>
            <w:tcBorders>
              <w:top w:val="single" w:color="000000" w:sz="4" w:space="0"/>
              <w:left w:val="single" w:color="000000" w:sz="4" w:space="0"/>
              <w:bottom w:val="single" w:color="000000" w:sz="4" w:space="0"/>
              <w:right w:val="single" w:color="000000" w:sz="4" w:space="0"/>
            </w:tcBorders>
            <w:vAlign w:val="center"/>
          </w:tcPr>
          <w:p w14:paraId="1A3CE569">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控制在哈密市下达指标内</w:t>
            </w:r>
          </w:p>
        </w:tc>
        <w:tc>
          <w:tcPr>
            <w:tcW w:w="915" w:type="dxa"/>
            <w:tcBorders>
              <w:top w:val="single" w:color="000000" w:sz="4" w:space="0"/>
              <w:left w:val="single" w:color="000000" w:sz="4" w:space="0"/>
              <w:bottom w:val="single" w:color="000000" w:sz="4" w:space="0"/>
              <w:right w:val="single" w:color="000000" w:sz="4" w:space="0"/>
            </w:tcBorders>
            <w:vAlign w:val="center"/>
          </w:tcPr>
          <w:p w14:paraId="3A671003">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约束性</w:t>
            </w:r>
          </w:p>
        </w:tc>
      </w:tr>
      <w:tr w14:paraId="35185D9E">
        <w:tblPrEx>
          <w:tblCellMar>
            <w:top w:w="0" w:type="dxa"/>
            <w:left w:w="108" w:type="dxa"/>
            <w:bottom w:w="0" w:type="dxa"/>
            <w:right w:w="108" w:type="dxa"/>
          </w:tblCellMar>
        </w:tblPrEx>
        <w:trPr>
          <w:trHeight w:val="485"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05C75C91">
            <w:pPr>
              <w:spacing w:line="280" w:lineRule="exact"/>
              <w:jc w:val="center"/>
              <w:rPr>
                <w:rFonts w:hint="eastAsia" w:asciiTheme="minorEastAsia" w:hAnsiTheme="minorEastAsia" w:eastAsiaTheme="minorEastAsia" w:cstheme="minorEastAsia"/>
                <w:sz w:val="18"/>
                <w:szCs w:val="18"/>
              </w:rPr>
            </w:pPr>
          </w:p>
        </w:tc>
        <w:tc>
          <w:tcPr>
            <w:tcW w:w="4283" w:type="dxa"/>
            <w:tcBorders>
              <w:top w:val="single" w:color="000000" w:sz="4" w:space="0"/>
              <w:left w:val="single" w:color="000000" w:sz="4" w:space="0"/>
              <w:bottom w:val="single" w:color="000000" w:sz="4" w:space="0"/>
              <w:right w:val="single" w:color="000000" w:sz="4" w:space="0"/>
            </w:tcBorders>
            <w:vAlign w:val="center"/>
          </w:tcPr>
          <w:p w14:paraId="10A7915E">
            <w:pPr>
              <w:widowControl/>
              <w:spacing w:line="280" w:lineRule="exact"/>
              <w:jc w:val="left"/>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eastAsiaTheme="minorEastAsia"/>
                <w:kern w:val="0"/>
                <w:sz w:val="18"/>
                <w:szCs w:val="18"/>
              </w:rPr>
              <w:t>17.</w:t>
            </w:r>
            <w:r>
              <w:rPr>
                <w:rFonts w:hint="eastAsia" w:asciiTheme="minorEastAsia" w:hAnsiTheme="minorEastAsia" w:eastAsiaTheme="minorEastAsia" w:cstheme="minorEastAsia"/>
                <w:kern w:val="0"/>
                <w:sz w:val="18"/>
                <w:szCs w:val="18"/>
              </w:rPr>
              <w:t>地表水达到或好于Ⅲ类水体比例</w:t>
            </w:r>
            <w:r>
              <w:rPr>
                <w:rFonts w:hint="default" w:ascii="Times New Roman" w:hAnsi="Times New Roman" w:cs="Times New Roman"/>
                <w:color w:val="000000"/>
                <w:kern w:val="0"/>
                <w:sz w:val="18"/>
                <w:szCs w:val="18"/>
                <w:lang w:bidi="ar"/>
              </w:rPr>
              <w:t>（%</w:t>
            </w:r>
            <w:r>
              <w:rPr>
                <w:rFonts w:hint="default" w:ascii="Times New Roman" w:hAnsi="Times New Roman" w:eastAsia="宋体" w:cs="Times New Roman"/>
                <w:color w:val="000000"/>
                <w:kern w:val="0"/>
                <w:sz w:val="18"/>
                <w:szCs w:val="18"/>
                <w:lang w:bidi="ar"/>
              </w:rPr>
              <w:t>）</w:t>
            </w:r>
          </w:p>
        </w:tc>
        <w:tc>
          <w:tcPr>
            <w:tcW w:w="916" w:type="dxa"/>
            <w:tcBorders>
              <w:top w:val="single" w:color="000000" w:sz="4" w:space="0"/>
              <w:left w:val="single" w:color="000000" w:sz="4" w:space="0"/>
              <w:bottom w:val="single" w:color="000000" w:sz="4" w:space="0"/>
              <w:right w:val="single" w:color="000000" w:sz="4" w:space="0"/>
            </w:tcBorders>
            <w:vAlign w:val="center"/>
          </w:tcPr>
          <w:p w14:paraId="5F52A32C">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color w:val="000000"/>
                <w:sz w:val="18"/>
                <w:szCs w:val="18"/>
              </w:rPr>
              <w:t>100</w:t>
            </w:r>
          </w:p>
        </w:tc>
        <w:tc>
          <w:tcPr>
            <w:tcW w:w="3284" w:type="dxa"/>
            <w:gridSpan w:val="2"/>
            <w:tcBorders>
              <w:top w:val="single" w:color="000000" w:sz="4" w:space="0"/>
              <w:left w:val="single" w:color="000000" w:sz="4" w:space="0"/>
              <w:bottom w:val="single" w:color="000000" w:sz="4" w:space="0"/>
              <w:right w:val="single" w:color="000000" w:sz="4" w:space="0"/>
            </w:tcBorders>
            <w:vAlign w:val="center"/>
          </w:tcPr>
          <w:p w14:paraId="1D977671">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控制在哈密市下达指标内</w:t>
            </w:r>
          </w:p>
        </w:tc>
        <w:tc>
          <w:tcPr>
            <w:tcW w:w="915" w:type="dxa"/>
            <w:tcBorders>
              <w:top w:val="single" w:color="000000" w:sz="4" w:space="0"/>
              <w:left w:val="single" w:color="000000" w:sz="4" w:space="0"/>
              <w:bottom w:val="single" w:color="000000" w:sz="4" w:space="0"/>
              <w:right w:val="single" w:color="000000" w:sz="4" w:space="0"/>
            </w:tcBorders>
            <w:vAlign w:val="center"/>
          </w:tcPr>
          <w:p w14:paraId="73C342D9">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约束性</w:t>
            </w:r>
          </w:p>
        </w:tc>
      </w:tr>
      <w:tr w14:paraId="6A6A6400">
        <w:tblPrEx>
          <w:tblCellMar>
            <w:top w:w="0" w:type="dxa"/>
            <w:left w:w="108" w:type="dxa"/>
            <w:bottom w:w="0" w:type="dxa"/>
            <w:right w:w="108" w:type="dxa"/>
          </w:tblCellMar>
        </w:tblPrEx>
        <w:trPr>
          <w:trHeight w:val="485"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05291AE0">
            <w:pPr>
              <w:spacing w:line="280" w:lineRule="exact"/>
              <w:jc w:val="center"/>
              <w:rPr>
                <w:rFonts w:hint="eastAsia" w:asciiTheme="minorEastAsia" w:hAnsiTheme="minorEastAsia" w:eastAsiaTheme="minorEastAsia" w:cstheme="minorEastAsia"/>
                <w:sz w:val="18"/>
                <w:szCs w:val="18"/>
              </w:rPr>
            </w:pPr>
          </w:p>
        </w:tc>
        <w:tc>
          <w:tcPr>
            <w:tcW w:w="4283" w:type="dxa"/>
            <w:tcBorders>
              <w:top w:val="single" w:color="000000" w:sz="4" w:space="0"/>
              <w:left w:val="single" w:color="000000" w:sz="4" w:space="0"/>
              <w:bottom w:val="single" w:color="000000" w:sz="4" w:space="0"/>
              <w:right w:val="single" w:color="000000" w:sz="4" w:space="0"/>
            </w:tcBorders>
            <w:vAlign w:val="center"/>
          </w:tcPr>
          <w:p w14:paraId="672CE8DF">
            <w:pPr>
              <w:widowControl/>
              <w:spacing w:line="280" w:lineRule="exact"/>
              <w:jc w:val="left"/>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eastAsiaTheme="minorEastAsia"/>
                <w:kern w:val="0"/>
                <w:sz w:val="18"/>
                <w:szCs w:val="18"/>
              </w:rPr>
              <w:t>18.</w:t>
            </w:r>
            <w:r>
              <w:rPr>
                <w:rFonts w:hint="eastAsia" w:asciiTheme="minorEastAsia" w:hAnsiTheme="minorEastAsia" w:eastAsiaTheme="minorEastAsia" w:cstheme="minorEastAsia"/>
                <w:kern w:val="0"/>
                <w:sz w:val="18"/>
                <w:szCs w:val="18"/>
              </w:rPr>
              <w:t>森林覆盖率</w:t>
            </w:r>
            <w:r>
              <w:rPr>
                <w:rFonts w:hint="default" w:ascii="Times New Roman" w:hAnsi="Times New Roman" w:cs="Times New Roman"/>
                <w:color w:val="000000"/>
                <w:kern w:val="0"/>
                <w:sz w:val="18"/>
                <w:szCs w:val="18"/>
                <w:lang w:bidi="ar"/>
              </w:rPr>
              <w:t>（%</w:t>
            </w:r>
            <w:r>
              <w:rPr>
                <w:rFonts w:hint="default" w:ascii="Times New Roman" w:hAnsi="Times New Roman" w:eastAsia="宋体" w:cs="Times New Roman"/>
                <w:color w:val="000000"/>
                <w:kern w:val="0"/>
                <w:sz w:val="18"/>
                <w:szCs w:val="18"/>
                <w:lang w:bidi="ar"/>
              </w:rPr>
              <w:t>）</w:t>
            </w:r>
          </w:p>
        </w:tc>
        <w:tc>
          <w:tcPr>
            <w:tcW w:w="916" w:type="dxa"/>
            <w:tcBorders>
              <w:top w:val="single" w:color="000000" w:sz="4" w:space="0"/>
              <w:left w:val="single" w:color="000000" w:sz="4" w:space="0"/>
              <w:bottom w:val="single" w:color="000000" w:sz="4" w:space="0"/>
              <w:right w:val="single" w:color="000000" w:sz="4" w:space="0"/>
            </w:tcBorders>
            <w:vAlign w:val="center"/>
          </w:tcPr>
          <w:p w14:paraId="50749C9D">
            <w:pPr>
              <w:spacing w:line="280" w:lineRule="exact"/>
              <w:jc w:val="center"/>
              <w:rPr>
                <w:rFonts w:hint="eastAsia" w:asciiTheme="minorEastAsia" w:hAnsiTheme="minorEastAsia" w:eastAsiaTheme="minorEastAsia" w:cstheme="minorEastAsia"/>
                <w:sz w:val="18"/>
                <w:szCs w:val="18"/>
              </w:rPr>
            </w:pPr>
            <w:r>
              <w:rPr>
                <w:rFonts w:hint="eastAsia" w:ascii="Times New Roman" w:hAnsi="Times New Roman" w:cs="Times New Roman"/>
                <w:color w:val="000000"/>
                <w:sz w:val="18"/>
                <w:szCs w:val="18"/>
              </w:rPr>
              <w:t>4.4</w:t>
            </w:r>
          </w:p>
        </w:tc>
        <w:tc>
          <w:tcPr>
            <w:tcW w:w="1301" w:type="dxa"/>
            <w:tcBorders>
              <w:top w:val="single" w:color="000000" w:sz="4" w:space="0"/>
              <w:left w:val="single" w:color="000000" w:sz="4" w:space="0"/>
              <w:bottom w:val="single" w:color="000000" w:sz="4" w:space="0"/>
              <w:right w:val="single" w:color="000000" w:sz="4" w:space="0"/>
            </w:tcBorders>
            <w:vAlign w:val="center"/>
          </w:tcPr>
          <w:p w14:paraId="3C661C35">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color w:val="000000"/>
                <w:sz w:val="18"/>
                <w:szCs w:val="18"/>
              </w:rPr>
              <w:t>4.42</w:t>
            </w:r>
          </w:p>
        </w:tc>
        <w:tc>
          <w:tcPr>
            <w:tcW w:w="1983" w:type="dxa"/>
            <w:tcBorders>
              <w:top w:val="single" w:color="000000" w:sz="4" w:space="0"/>
              <w:left w:val="single" w:color="000000" w:sz="4" w:space="0"/>
              <w:bottom w:val="single" w:color="000000" w:sz="4" w:space="0"/>
              <w:right w:val="single" w:color="000000" w:sz="4" w:space="0"/>
            </w:tcBorders>
            <w:vAlign w:val="center"/>
          </w:tcPr>
          <w:p w14:paraId="46EE9AC4">
            <w:pPr>
              <w:widowControl/>
              <w:spacing w:line="280" w:lineRule="exact"/>
              <w:jc w:val="center"/>
              <w:textAlignment w:val="center"/>
              <w:rPr>
                <w:rFonts w:hint="eastAsia" w:asciiTheme="minorEastAsia" w:hAnsiTheme="minorEastAsia" w:eastAsiaTheme="minorEastAsia" w:cstheme="minorEastAsia"/>
                <w:sz w:val="18"/>
                <w:szCs w:val="18"/>
              </w:rPr>
            </w:pPr>
            <w:r>
              <w:rPr>
                <w:rFonts w:hint="default" w:ascii="Times New Roman" w:hAnsi="Times New Roman" w:eastAsia="东文宋体" w:cs="Times New Roman"/>
                <w:color w:val="000000"/>
                <w:sz w:val="18"/>
                <w:szCs w:val="18"/>
              </w:rPr>
              <w:t>－</w:t>
            </w:r>
          </w:p>
        </w:tc>
        <w:tc>
          <w:tcPr>
            <w:tcW w:w="915" w:type="dxa"/>
            <w:tcBorders>
              <w:top w:val="single" w:color="000000" w:sz="4" w:space="0"/>
              <w:left w:val="single" w:color="000000" w:sz="4" w:space="0"/>
              <w:bottom w:val="single" w:color="000000" w:sz="4" w:space="0"/>
              <w:right w:val="single" w:color="000000" w:sz="4" w:space="0"/>
            </w:tcBorders>
            <w:vAlign w:val="center"/>
          </w:tcPr>
          <w:p w14:paraId="0AB1CB7D">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约束性</w:t>
            </w:r>
          </w:p>
        </w:tc>
      </w:tr>
      <w:tr w14:paraId="6A9F3C2B">
        <w:tblPrEx>
          <w:tblCellMar>
            <w:top w:w="0" w:type="dxa"/>
            <w:left w:w="108" w:type="dxa"/>
            <w:bottom w:w="0" w:type="dxa"/>
            <w:right w:w="108" w:type="dxa"/>
          </w:tblCellMar>
        </w:tblPrEx>
        <w:trPr>
          <w:trHeight w:val="485"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14:paraId="719E7F06">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安全保障</w:t>
            </w:r>
          </w:p>
        </w:tc>
        <w:tc>
          <w:tcPr>
            <w:tcW w:w="4283" w:type="dxa"/>
            <w:tcBorders>
              <w:top w:val="single" w:color="000000" w:sz="4" w:space="0"/>
              <w:left w:val="single" w:color="000000" w:sz="4" w:space="0"/>
              <w:bottom w:val="single" w:color="000000" w:sz="4" w:space="0"/>
              <w:right w:val="single" w:color="000000" w:sz="4" w:space="0"/>
            </w:tcBorders>
            <w:vAlign w:val="center"/>
          </w:tcPr>
          <w:p w14:paraId="423AAB4A">
            <w:pPr>
              <w:widowControl/>
              <w:spacing w:line="280" w:lineRule="exact"/>
              <w:jc w:val="left"/>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eastAsiaTheme="minorEastAsia"/>
                <w:kern w:val="0"/>
                <w:sz w:val="18"/>
                <w:szCs w:val="18"/>
              </w:rPr>
              <w:t>19.</w:t>
            </w:r>
            <w:r>
              <w:rPr>
                <w:rFonts w:hint="eastAsia" w:asciiTheme="minorEastAsia" w:hAnsiTheme="minorEastAsia" w:eastAsiaTheme="minorEastAsia" w:cstheme="minorEastAsia"/>
                <w:kern w:val="0"/>
                <w:sz w:val="18"/>
                <w:szCs w:val="18"/>
              </w:rPr>
              <w:t>粮食综合生产能力</w:t>
            </w:r>
            <w:r>
              <w:rPr>
                <w:rFonts w:hint="default" w:ascii="Times New Roman" w:hAnsi="Times New Roman" w:cs="Times New Roman"/>
                <w:color w:val="000000"/>
                <w:kern w:val="0"/>
                <w:sz w:val="18"/>
                <w:szCs w:val="18"/>
                <w:lang w:bidi="ar"/>
              </w:rPr>
              <w:t>（万吨）</w:t>
            </w:r>
          </w:p>
        </w:tc>
        <w:tc>
          <w:tcPr>
            <w:tcW w:w="916" w:type="dxa"/>
            <w:tcBorders>
              <w:top w:val="single" w:color="000000" w:sz="4" w:space="0"/>
              <w:left w:val="single" w:color="000000" w:sz="4" w:space="0"/>
              <w:bottom w:val="single" w:color="000000" w:sz="4" w:space="0"/>
              <w:right w:val="single" w:color="000000" w:sz="4" w:space="0"/>
            </w:tcBorders>
            <w:vAlign w:val="center"/>
          </w:tcPr>
          <w:p w14:paraId="16572C72">
            <w:pPr>
              <w:spacing w:line="280" w:lineRule="exact"/>
              <w:jc w:val="center"/>
              <w:rPr>
                <w:rFonts w:hint="eastAsia" w:asciiTheme="minorEastAsia" w:hAnsiTheme="minorEastAsia" w:eastAsiaTheme="minorEastAsia" w:cstheme="minorEastAsia"/>
                <w:sz w:val="18"/>
                <w:szCs w:val="18"/>
              </w:rPr>
            </w:pPr>
            <w:r>
              <w:rPr>
                <w:rFonts w:hint="default" w:ascii="Times New Roman" w:hAnsi="Times New Roman" w:eastAsia="东文宋体" w:cs="Times New Roman"/>
                <w:color w:val="000000"/>
                <w:sz w:val="18"/>
                <w:szCs w:val="18"/>
              </w:rPr>
              <w:t>－</w:t>
            </w:r>
          </w:p>
        </w:tc>
        <w:tc>
          <w:tcPr>
            <w:tcW w:w="1301" w:type="dxa"/>
            <w:tcBorders>
              <w:top w:val="single" w:color="000000" w:sz="4" w:space="0"/>
              <w:left w:val="single" w:color="000000" w:sz="4" w:space="0"/>
              <w:bottom w:val="single" w:color="000000" w:sz="4" w:space="0"/>
              <w:right w:val="single" w:color="000000" w:sz="4" w:space="0"/>
            </w:tcBorders>
            <w:vAlign w:val="center"/>
          </w:tcPr>
          <w:p w14:paraId="622F9B13">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color w:val="000000"/>
                <w:sz w:val="18"/>
                <w:szCs w:val="18"/>
              </w:rPr>
              <w:t>0.9</w:t>
            </w:r>
          </w:p>
        </w:tc>
        <w:tc>
          <w:tcPr>
            <w:tcW w:w="1983" w:type="dxa"/>
            <w:tcBorders>
              <w:top w:val="single" w:color="000000" w:sz="4" w:space="0"/>
              <w:left w:val="single" w:color="000000" w:sz="4" w:space="0"/>
              <w:bottom w:val="single" w:color="000000" w:sz="4" w:space="0"/>
              <w:right w:val="single" w:color="000000" w:sz="4" w:space="0"/>
            </w:tcBorders>
            <w:vAlign w:val="center"/>
          </w:tcPr>
          <w:p w14:paraId="382AC30F">
            <w:pPr>
              <w:widowControl/>
              <w:spacing w:line="280" w:lineRule="exact"/>
              <w:jc w:val="center"/>
              <w:textAlignment w:val="center"/>
              <w:rPr>
                <w:rFonts w:hint="eastAsia" w:asciiTheme="minorEastAsia" w:hAnsiTheme="minorEastAsia" w:eastAsiaTheme="minorEastAsia" w:cstheme="minorEastAsia"/>
                <w:sz w:val="18"/>
                <w:szCs w:val="18"/>
              </w:rPr>
            </w:pPr>
            <w:r>
              <w:rPr>
                <w:rFonts w:hint="default" w:ascii="Times New Roman" w:hAnsi="Times New Roman" w:eastAsia="东文宋体" w:cs="Times New Roman"/>
                <w:color w:val="000000"/>
                <w:sz w:val="18"/>
                <w:szCs w:val="18"/>
              </w:rPr>
              <w:t>－</w:t>
            </w:r>
          </w:p>
        </w:tc>
        <w:tc>
          <w:tcPr>
            <w:tcW w:w="915" w:type="dxa"/>
            <w:tcBorders>
              <w:top w:val="single" w:color="000000" w:sz="4" w:space="0"/>
              <w:left w:val="single" w:color="000000" w:sz="4" w:space="0"/>
              <w:bottom w:val="single" w:color="000000" w:sz="4" w:space="0"/>
              <w:right w:val="single" w:color="000000" w:sz="4" w:space="0"/>
            </w:tcBorders>
            <w:vAlign w:val="center"/>
          </w:tcPr>
          <w:p w14:paraId="711759CF">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约束性</w:t>
            </w:r>
          </w:p>
        </w:tc>
      </w:tr>
      <w:tr w14:paraId="4EA2C3F9">
        <w:tblPrEx>
          <w:tblCellMar>
            <w:top w:w="0" w:type="dxa"/>
            <w:left w:w="108" w:type="dxa"/>
            <w:bottom w:w="0" w:type="dxa"/>
            <w:right w:w="108" w:type="dxa"/>
          </w:tblCellMar>
        </w:tblPrEx>
        <w:trPr>
          <w:trHeight w:val="494"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510A3F09">
            <w:pPr>
              <w:spacing w:line="280" w:lineRule="exact"/>
              <w:jc w:val="center"/>
              <w:rPr>
                <w:rFonts w:hint="eastAsia" w:asciiTheme="minorEastAsia" w:hAnsiTheme="minorEastAsia" w:eastAsiaTheme="minorEastAsia" w:cstheme="minorEastAsia"/>
                <w:sz w:val="18"/>
                <w:szCs w:val="18"/>
              </w:rPr>
            </w:pPr>
          </w:p>
        </w:tc>
        <w:tc>
          <w:tcPr>
            <w:tcW w:w="4283" w:type="dxa"/>
            <w:tcBorders>
              <w:top w:val="single" w:color="000000" w:sz="4" w:space="0"/>
              <w:left w:val="single" w:color="000000" w:sz="4" w:space="0"/>
              <w:bottom w:val="single" w:color="000000" w:sz="4" w:space="0"/>
              <w:right w:val="single" w:color="000000" w:sz="4" w:space="0"/>
            </w:tcBorders>
            <w:vAlign w:val="center"/>
          </w:tcPr>
          <w:p w14:paraId="7E418584">
            <w:pPr>
              <w:widowControl/>
              <w:spacing w:line="280" w:lineRule="exact"/>
              <w:jc w:val="left"/>
              <w:textAlignment w:val="center"/>
              <w:rPr>
                <w:rFonts w:hint="eastAsia" w:asciiTheme="minorEastAsia" w:hAnsiTheme="minorEastAsia" w:eastAsiaTheme="minorEastAsia" w:cstheme="minorEastAsia"/>
                <w:sz w:val="18"/>
                <w:szCs w:val="18"/>
              </w:rPr>
            </w:pPr>
            <w:r>
              <w:rPr>
                <w:rFonts w:hint="eastAsia" w:ascii="Times New Roman" w:hAnsi="Times New Roman" w:cs="Times New Roman" w:eastAsiaTheme="minorEastAsia"/>
                <w:kern w:val="0"/>
                <w:sz w:val="18"/>
                <w:szCs w:val="18"/>
              </w:rPr>
              <w:t>20.</w:t>
            </w:r>
            <w:r>
              <w:rPr>
                <w:rFonts w:hint="eastAsia" w:asciiTheme="minorEastAsia" w:hAnsiTheme="minorEastAsia" w:eastAsiaTheme="minorEastAsia" w:cstheme="minorEastAsia"/>
                <w:kern w:val="0"/>
                <w:sz w:val="18"/>
                <w:szCs w:val="18"/>
              </w:rPr>
              <w:t>能源综合生产能力</w:t>
            </w:r>
            <w:r>
              <w:rPr>
                <w:rFonts w:hint="default" w:ascii="Times New Roman" w:hAnsi="Times New Roman" w:cs="Times New Roman"/>
                <w:color w:val="000000"/>
                <w:kern w:val="0"/>
                <w:sz w:val="18"/>
                <w:szCs w:val="18"/>
                <w:lang w:bidi="ar"/>
              </w:rPr>
              <w:t>（亿吨标煤）</w:t>
            </w:r>
          </w:p>
        </w:tc>
        <w:tc>
          <w:tcPr>
            <w:tcW w:w="916" w:type="dxa"/>
            <w:tcBorders>
              <w:top w:val="single" w:color="000000" w:sz="4" w:space="0"/>
              <w:left w:val="single" w:color="000000" w:sz="4" w:space="0"/>
              <w:bottom w:val="single" w:color="000000" w:sz="4" w:space="0"/>
              <w:right w:val="single" w:color="000000" w:sz="4" w:space="0"/>
            </w:tcBorders>
            <w:vAlign w:val="center"/>
          </w:tcPr>
          <w:p w14:paraId="1B3FA364">
            <w:pPr>
              <w:spacing w:line="280" w:lineRule="exact"/>
              <w:jc w:val="center"/>
              <w:rPr>
                <w:rFonts w:hint="eastAsia" w:asciiTheme="minorEastAsia" w:hAnsiTheme="minorEastAsia" w:eastAsiaTheme="minorEastAsia" w:cstheme="minorEastAsia"/>
                <w:sz w:val="18"/>
                <w:szCs w:val="18"/>
              </w:rPr>
            </w:pPr>
            <w:r>
              <w:rPr>
                <w:rFonts w:hint="default" w:ascii="Times New Roman" w:hAnsi="Times New Roman" w:eastAsia="东文宋体" w:cs="Times New Roman"/>
                <w:color w:val="000000"/>
                <w:sz w:val="18"/>
                <w:szCs w:val="18"/>
              </w:rPr>
              <w:t>－</w:t>
            </w:r>
          </w:p>
        </w:tc>
        <w:tc>
          <w:tcPr>
            <w:tcW w:w="1301" w:type="dxa"/>
            <w:tcBorders>
              <w:top w:val="single" w:color="000000" w:sz="4" w:space="0"/>
              <w:left w:val="single" w:color="000000" w:sz="4" w:space="0"/>
              <w:bottom w:val="single" w:color="000000" w:sz="4" w:space="0"/>
              <w:right w:val="single" w:color="000000" w:sz="4" w:space="0"/>
            </w:tcBorders>
            <w:vAlign w:val="center"/>
          </w:tcPr>
          <w:p w14:paraId="29E71C9D">
            <w:pPr>
              <w:spacing w:line="280" w:lineRule="exact"/>
              <w:jc w:val="center"/>
              <w:rPr>
                <w:rFonts w:hint="default" w:eastAsia="东文宋体" w:asciiTheme="minorEastAsia" w:hAnsiTheme="minorEastAsia" w:cstheme="minorEastAsia"/>
                <w:sz w:val="18"/>
                <w:szCs w:val="18"/>
                <w:lang w:val="en-US" w:eastAsia="zh-CN"/>
              </w:rPr>
            </w:pPr>
            <w:r>
              <w:rPr>
                <w:rFonts w:hint="default" w:ascii="Times New Roman" w:hAnsi="Times New Roman" w:eastAsia="东文宋体" w:cs="Times New Roman"/>
                <w:color w:val="000000"/>
                <w:sz w:val="18"/>
                <w:szCs w:val="18"/>
              </w:rPr>
              <w:t>≥</w:t>
            </w:r>
            <w:r>
              <w:rPr>
                <w:rFonts w:hint="eastAsia" w:ascii="Times New Roman" w:hAnsi="Times New Roman" w:cs="Times New Roman"/>
                <w:color w:val="000000"/>
                <w:sz w:val="18"/>
                <w:szCs w:val="18"/>
                <w:lang w:val="en-US" w:eastAsia="zh-CN"/>
              </w:rPr>
              <w:t>0.29</w:t>
            </w:r>
          </w:p>
        </w:tc>
        <w:tc>
          <w:tcPr>
            <w:tcW w:w="1983" w:type="dxa"/>
            <w:tcBorders>
              <w:top w:val="single" w:color="000000" w:sz="4" w:space="0"/>
              <w:left w:val="single" w:color="000000" w:sz="4" w:space="0"/>
              <w:bottom w:val="single" w:color="000000" w:sz="4" w:space="0"/>
              <w:right w:val="single" w:color="000000" w:sz="4" w:space="0"/>
            </w:tcBorders>
            <w:vAlign w:val="center"/>
          </w:tcPr>
          <w:p w14:paraId="66A91941">
            <w:pPr>
              <w:widowControl/>
              <w:spacing w:line="280" w:lineRule="exact"/>
              <w:jc w:val="center"/>
              <w:textAlignment w:val="center"/>
              <w:rPr>
                <w:rFonts w:hint="eastAsia" w:asciiTheme="minorEastAsia" w:hAnsiTheme="minorEastAsia" w:eastAsiaTheme="minorEastAsia" w:cstheme="minorEastAsia"/>
                <w:sz w:val="18"/>
                <w:szCs w:val="18"/>
              </w:rPr>
            </w:pPr>
            <w:r>
              <w:rPr>
                <w:rFonts w:hint="default" w:ascii="Times New Roman" w:hAnsi="Times New Roman" w:eastAsia="东文宋体" w:cs="Times New Roman"/>
                <w:color w:val="000000"/>
                <w:sz w:val="18"/>
                <w:szCs w:val="18"/>
              </w:rPr>
              <w:t>－</w:t>
            </w:r>
          </w:p>
        </w:tc>
        <w:tc>
          <w:tcPr>
            <w:tcW w:w="915" w:type="dxa"/>
            <w:tcBorders>
              <w:top w:val="single" w:color="000000" w:sz="4" w:space="0"/>
              <w:left w:val="single" w:color="000000" w:sz="4" w:space="0"/>
              <w:bottom w:val="single" w:color="000000" w:sz="4" w:space="0"/>
              <w:right w:val="single" w:color="000000" w:sz="4" w:space="0"/>
            </w:tcBorders>
            <w:vAlign w:val="center"/>
          </w:tcPr>
          <w:p w14:paraId="0042417C">
            <w:pPr>
              <w:widowControl/>
              <w:spacing w:line="280" w:lineRule="exact"/>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约束性</w:t>
            </w:r>
          </w:p>
        </w:tc>
      </w:tr>
      <w:tr w14:paraId="5E7536A1">
        <w:tblPrEx>
          <w:tblCellMar>
            <w:top w:w="0" w:type="dxa"/>
            <w:left w:w="108" w:type="dxa"/>
            <w:bottom w:w="0" w:type="dxa"/>
            <w:right w:w="108" w:type="dxa"/>
          </w:tblCellMar>
        </w:tblPrEx>
        <w:trPr>
          <w:trHeight w:val="385" w:hRule="atLeast"/>
          <w:jc w:val="center"/>
        </w:trPr>
        <w:tc>
          <w:tcPr>
            <w:tcW w:w="10148" w:type="dxa"/>
            <w:gridSpan w:val="6"/>
            <w:tcBorders>
              <w:top w:val="single" w:color="000000" w:sz="4" w:space="0"/>
              <w:left w:val="single" w:color="000000" w:sz="4" w:space="0"/>
              <w:bottom w:val="single" w:color="000000" w:sz="4" w:space="0"/>
              <w:right w:val="single" w:color="000000" w:sz="4" w:space="0"/>
            </w:tcBorders>
            <w:vAlign w:val="center"/>
          </w:tcPr>
          <w:p w14:paraId="6099DFB6">
            <w:pPr>
              <w:pStyle w:val="5"/>
              <w:spacing w:line="300" w:lineRule="exact"/>
              <w:ind w:left="0" w:firstLine="0" w:firstLineChars="0"/>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lang w:val="en-US"/>
              </w:rPr>
              <w:t>备注：</w:t>
            </w:r>
            <w:r>
              <w:rPr>
                <w:rFonts w:hint="eastAsia" w:ascii="Times New Roman" w:hAnsi="Times New Roman" w:eastAsia="宋体" w:cs="Times New Roman"/>
                <w:color w:val="000000"/>
                <w:kern w:val="2"/>
                <w:sz w:val="18"/>
                <w:szCs w:val="18"/>
                <w:lang w:val="en-US" w:eastAsia="zh-CN" w:bidi="ar-SA"/>
              </w:rPr>
              <w:t>1</w:t>
            </w:r>
            <w:r>
              <w:rPr>
                <w:rFonts w:hint="eastAsia" w:asciiTheme="minorEastAsia" w:hAnsiTheme="minorEastAsia" w:eastAsiaTheme="minorEastAsia" w:cstheme="minorEastAsia"/>
                <w:sz w:val="18"/>
                <w:szCs w:val="18"/>
                <w:lang w:val="en-US"/>
              </w:rPr>
              <w:t>、</w:t>
            </w:r>
            <w:r>
              <w:rPr>
                <w:rFonts w:hint="eastAsia" w:ascii="Times New Roman" w:hAnsi="Times New Roman" w:eastAsia="宋体" w:cs="Times New Roman"/>
                <w:color w:val="000000"/>
                <w:kern w:val="2"/>
                <w:sz w:val="18"/>
                <w:szCs w:val="18"/>
                <w:lang w:val="en-US" w:eastAsia="zh-CN" w:bidi="ar-SA"/>
              </w:rPr>
              <w:t>[ ]</w:t>
            </w:r>
            <w:r>
              <w:rPr>
                <w:rFonts w:hint="eastAsia" w:asciiTheme="minorEastAsia" w:hAnsiTheme="minorEastAsia" w:eastAsiaTheme="minorEastAsia" w:cstheme="minorEastAsia"/>
                <w:sz w:val="18"/>
                <w:szCs w:val="18"/>
                <w:lang w:val="en-US"/>
              </w:rPr>
              <w:t>内为</w:t>
            </w:r>
            <w:r>
              <w:rPr>
                <w:rFonts w:hint="eastAsia" w:ascii="Times New Roman" w:hAnsi="Times New Roman" w:eastAsia="宋体" w:cs="Times New Roman"/>
                <w:color w:val="000000"/>
                <w:kern w:val="2"/>
                <w:sz w:val="18"/>
                <w:szCs w:val="18"/>
                <w:lang w:val="en-US" w:eastAsia="zh-CN" w:bidi="ar-SA"/>
              </w:rPr>
              <w:t>5</w:t>
            </w:r>
            <w:r>
              <w:rPr>
                <w:rFonts w:hint="eastAsia" w:asciiTheme="minorEastAsia" w:hAnsiTheme="minorEastAsia" w:eastAsiaTheme="minorEastAsia" w:cstheme="minorEastAsia"/>
                <w:sz w:val="18"/>
                <w:szCs w:val="18"/>
                <w:lang w:val="en-US"/>
              </w:rPr>
              <w:t>年累计数。</w:t>
            </w:r>
            <w:r>
              <w:rPr>
                <w:rFonts w:hint="eastAsia" w:ascii="Times New Roman" w:hAnsi="Times New Roman" w:eastAsia="宋体" w:cs="Times New Roman"/>
                <w:color w:val="000000"/>
                <w:kern w:val="2"/>
                <w:sz w:val="18"/>
                <w:szCs w:val="18"/>
                <w:lang w:val="en-US" w:eastAsia="zh-CN" w:bidi="ar-SA"/>
              </w:rPr>
              <w:t>2</w:t>
            </w:r>
            <w:r>
              <w:rPr>
                <w:rFonts w:hint="eastAsia" w:asciiTheme="minorEastAsia" w:hAnsiTheme="minorEastAsia" w:eastAsiaTheme="minorEastAsia" w:cstheme="minorEastAsia"/>
                <w:sz w:val="18"/>
                <w:szCs w:val="18"/>
                <w:lang w:val="en-US"/>
              </w:rPr>
              <w:t>、能源综合生产能力指煤炭、石油、天然气、非化石能源生产能力之和</w:t>
            </w:r>
            <w:r>
              <w:rPr>
                <w:rFonts w:hint="eastAsia" w:ascii="Times New Roman" w:hAnsi="Times New Roman" w:eastAsia="宋体" w:cs="Times New Roman"/>
                <w:color w:val="000000"/>
                <w:kern w:val="2"/>
                <w:sz w:val="18"/>
                <w:szCs w:val="18"/>
                <w:lang w:val="en-US" w:eastAsia="zh-CN" w:bidi="ar-SA"/>
              </w:rPr>
              <w:t>。</w:t>
            </w:r>
          </w:p>
        </w:tc>
      </w:tr>
    </w:tbl>
    <w:p w14:paraId="64AC6179">
      <w:pPr>
        <w:pStyle w:val="3"/>
        <w:spacing w:line="560" w:lineRule="exact"/>
        <w:jc w:val="center"/>
        <w:rPr>
          <w:rFonts w:eastAsia="方正黑体_GBK"/>
          <w:b w:val="0"/>
          <w:bCs/>
          <w:color w:val="000000"/>
          <w:sz w:val="36"/>
          <w:szCs w:val="36"/>
        </w:rPr>
      </w:pPr>
      <w:bookmarkStart w:id="42" w:name="_Toc75285092"/>
      <w:r>
        <w:rPr>
          <w:rFonts w:eastAsia="方正黑体_GBK"/>
          <w:b w:val="0"/>
          <w:bCs/>
          <w:color w:val="000000"/>
          <w:sz w:val="36"/>
          <w:szCs w:val="36"/>
        </w:rPr>
        <w:t>第三篇 坚持创新驱动发展 培育高质量发展新动能</w:t>
      </w:r>
      <w:bookmarkEnd w:id="42"/>
    </w:p>
    <w:p w14:paraId="408B8B5C">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坚持把创新作为引领高质量发展的第一动力，把科技自立自强作为发展的战略支撑，深入实施创新驱动发展战略和人才强</w:t>
      </w:r>
      <w:r>
        <w:rPr>
          <w:rFonts w:hint="eastAsia" w:eastAsia="方正仿宋_GBK" w:cs="Times New Roman"/>
          <w:color w:val="000000"/>
          <w:kern w:val="2"/>
          <w:sz w:val="32"/>
          <w:szCs w:val="32"/>
          <w:lang w:val="en-US" w:eastAsia="zh-CN" w:bidi="ar-SA"/>
        </w:rPr>
        <w:t>国</w:t>
      </w:r>
      <w:r>
        <w:rPr>
          <w:rFonts w:ascii="Times New Roman" w:hAnsi="Times New Roman" w:eastAsia="方正仿宋_GBK" w:cs="Times New Roman"/>
          <w:color w:val="000000"/>
          <w:kern w:val="2"/>
          <w:sz w:val="32"/>
          <w:szCs w:val="32"/>
          <w:lang w:val="en-US" w:eastAsia="zh-CN" w:bidi="ar-SA"/>
        </w:rPr>
        <w:t>战略，加快从要素驱动向创新驱动转变，增强发展内生动力和可持续发展能力。到“十四五”末，伊吾县全社会研发经费投入增长比例力争投入强度高于“十三五”时期实际，重点领域</w:t>
      </w:r>
      <w:r>
        <w:rPr>
          <w:rFonts w:hint="eastAsia" w:eastAsia="方正仿宋_GBK" w:cs="Times New Roman"/>
          <w:color w:val="000000"/>
          <w:kern w:val="2"/>
          <w:sz w:val="32"/>
          <w:szCs w:val="32"/>
          <w:lang w:val="en-US" w:eastAsia="zh-CN" w:bidi="ar-SA"/>
        </w:rPr>
        <w:t>关键</w:t>
      </w:r>
      <w:r>
        <w:rPr>
          <w:rFonts w:ascii="Times New Roman" w:hAnsi="Times New Roman" w:eastAsia="方正仿宋_GBK" w:cs="Times New Roman"/>
          <w:color w:val="000000"/>
          <w:kern w:val="2"/>
          <w:sz w:val="32"/>
          <w:szCs w:val="32"/>
          <w:lang w:val="en-US" w:eastAsia="zh-CN" w:bidi="ar-SA"/>
        </w:rPr>
        <w:t>核心技术取得重大突破，每万人口高价值发明专利拥有量达到1.5件。</w:t>
      </w:r>
    </w:p>
    <w:p w14:paraId="3A9E90E7">
      <w:pPr>
        <w:pStyle w:val="2"/>
        <w:pageBreakBefore w:val="0"/>
        <w:kinsoku/>
        <w:wordWrap/>
        <w:overflowPunct/>
        <w:topLinePunct w:val="0"/>
        <w:autoSpaceDE/>
        <w:autoSpaceDN/>
        <w:bidi w:val="0"/>
        <w:adjustRightInd/>
        <w:spacing w:line="560" w:lineRule="exact"/>
        <w:jc w:val="center"/>
        <w:rPr>
          <w:rFonts w:hint="default" w:ascii="Times New Roman" w:hAnsi="Times New Roman" w:eastAsia="方正楷体_GBK" w:cs="Times New Roman"/>
          <w:b w:val="0"/>
          <w:bCs w:val="0"/>
          <w:color w:val="000000"/>
          <w:kern w:val="0"/>
          <w:sz w:val="32"/>
          <w:lang w:val="en-US" w:eastAsia="zh-CN"/>
        </w:rPr>
      </w:pPr>
      <w:bookmarkStart w:id="43" w:name="_Toc75285093"/>
      <w:r>
        <w:rPr>
          <w:rFonts w:hint="default" w:ascii="Times New Roman" w:hAnsi="Times New Roman" w:eastAsia="方正楷体_GBK" w:cs="Times New Roman"/>
          <w:b w:val="0"/>
          <w:bCs w:val="0"/>
          <w:color w:val="000000"/>
          <w:kern w:val="0"/>
          <w:sz w:val="32"/>
          <w:lang w:val="en-US" w:eastAsia="zh-CN"/>
        </w:rPr>
        <w:t>第一章  优化创新发展布局</w:t>
      </w:r>
      <w:bookmarkEnd w:id="43"/>
    </w:p>
    <w:p w14:paraId="67C4AD88">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完善区域创新布局，推动创新要素集聚和产业合理分工，增强区域创新能力。推进产业关键技术和集成技术创新，加快煤化工、矿产开发、新型建材、电力、农产品精深加工等特色优势产业升级，推动新能源、新材料、先进装备制造、电子信息、节能环保等战略性新兴产业关键技术和先进工艺研发应用，增强自主技术创新能力。鼓励园区跨区域的协同创新，组建跨园区多行业联合的产业集群创新联盟，形成一批产业链完备、技术水平领先的百亿级规模产业集群，打造高质量发展的新引擎。</w:t>
      </w:r>
    </w:p>
    <w:p w14:paraId="1EFA6D3C">
      <w:pPr>
        <w:pStyle w:val="2"/>
        <w:spacing w:line="540" w:lineRule="exact"/>
        <w:jc w:val="center"/>
        <w:rPr>
          <w:rFonts w:hint="default" w:ascii="Times New Roman" w:hAnsi="Times New Roman" w:eastAsia="方正楷体_GBK" w:cs="Times New Roman"/>
          <w:b w:val="0"/>
          <w:bCs w:val="0"/>
          <w:color w:val="000000"/>
          <w:kern w:val="0"/>
          <w:sz w:val="32"/>
        </w:rPr>
      </w:pPr>
      <w:bookmarkStart w:id="44" w:name="_Toc75285094"/>
      <w:r>
        <w:rPr>
          <w:rFonts w:hint="default" w:ascii="Times New Roman" w:hAnsi="Times New Roman" w:eastAsia="方正楷体_GBK" w:cs="Times New Roman"/>
          <w:b w:val="0"/>
          <w:bCs w:val="0"/>
          <w:color w:val="000000"/>
          <w:kern w:val="0"/>
          <w:sz w:val="32"/>
        </w:rPr>
        <w:t>第二章  推进企业技术创新</w:t>
      </w:r>
      <w:bookmarkEnd w:id="44"/>
    </w:p>
    <w:p w14:paraId="237B680B">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强化企业创新主体地位和主体作用，建立健全企业主导产业技术研发创新的体制机制，促进各类创新要素向企业集聚。设立高新技术企业发展专项资金，支持高新技术企业和科技型中小企业提升研发能力。支持创新型中小微企业成长为创新重要发源地，加强共性技术平台建设，推动产业链上中下游、大中小企业融通创新。进一步健全技术研发、产品创新、科技成果转化及产权化的机制，提高大中型企业建立研发机构的比例。鼓励和支持企业与高校、科研院所共建新型研发机构，推进资源共享。鼓励企业持续增加研发投入，对企业投入基础研究给予税收优惠。积极构建科技企业孵化器、众创空间、星创天地等创新创业服务平台，形成多领域、多层级、全方位的创新创业服务体系。设立企业科技创新进步奖，支持企业创建科技创新综合体，推进特色产业技术创新服务，支撑产业转型升级。</w:t>
      </w:r>
    </w:p>
    <w:p w14:paraId="27196502">
      <w:pPr>
        <w:pStyle w:val="2"/>
        <w:spacing w:line="540" w:lineRule="exact"/>
        <w:jc w:val="center"/>
        <w:rPr>
          <w:rFonts w:hint="default" w:ascii="Times New Roman" w:hAnsi="Times New Roman" w:eastAsia="方正楷体_GBK" w:cs="Times New Roman"/>
          <w:b w:val="0"/>
          <w:bCs w:val="0"/>
          <w:color w:val="000000"/>
          <w:kern w:val="0"/>
          <w:sz w:val="32"/>
        </w:rPr>
      </w:pPr>
      <w:bookmarkStart w:id="45" w:name="_Toc75285095"/>
      <w:r>
        <w:rPr>
          <w:rFonts w:hint="default" w:ascii="Times New Roman" w:hAnsi="Times New Roman" w:eastAsia="方正楷体_GBK" w:cs="Times New Roman"/>
          <w:b w:val="0"/>
          <w:bCs w:val="0"/>
          <w:color w:val="000000"/>
          <w:kern w:val="0"/>
          <w:sz w:val="32"/>
        </w:rPr>
        <w:t>第三章  实施人才强县战略</w:t>
      </w:r>
      <w:bookmarkEnd w:id="45"/>
    </w:p>
    <w:p w14:paraId="4FC0BBF3">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坚持把人才作为支撑发展的第一资源，贯彻尊重劳动、尊重知识、尊重人才、尊重创造方针，深化人才发展体制机制改革，健全人才发展规划和政策体系，全方位培养、引进、用好人才。加大人才投入，建立健全政府、社会、用人单位和个人多元化的人才投入体系。实施自治区重点人才计划，着力加强科技领军人才、骨干人才、优秀年轻人才培养和引进，加强创新团队和企业经营管理人才、专业技术人才、高技能人才队伍建设，完善关键领域人才梯队培养和可接续体系，加强创新型、应用型、技能型人才培养。推进重点产业产才融合，推动人才引领产业发展，以产业吸引人才集聚。围绕重大项目建设、重点领域</w:t>
      </w:r>
      <w:r>
        <w:rPr>
          <w:rFonts w:hint="eastAsia" w:eastAsia="方正仿宋_GBK" w:cs="Times New Roman"/>
          <w:color w:val="000000"/>
          <w:kern w:val="2"/>
          <w:sz w:val="32"/>
          <w:szCs w:val="32"/>
          <w:lang w:val="en-US" w:eastAsia="zh-CN" w:bidi="ar-SA"/>
        </w:rPr>
        <w:t>关键</w:t>
      </w:r>
      <w:r>
        <w:rPr>
          <w:rFonts w:ascii="Times New Roman" w:hAnsi="Times New Roman" w:eastAsia="方正仿宋_GBK" w:cs="Times New Roman"/>
          <w:color w:val="000000"/>
          <w:kern w:val="2"/>
          <w:sz w:val="32"/>
          <w:szCs w:val="32"/>
          <w:lang w:val="en-US" w:eastAsia="zh-CN" w:bidi="ar-SA"/>
        </w:rPr>
        <w:t>核心技术攻关，探索实施“揭榜挂帅”，面向国内外高校、科研机构、企业张榜求贤。实行符合伊吾实际的更加积极、更加开放、更加有效的人才政策，健全以创新能力、质量、实效、贡献为导向的科技人才评价体系，健全创新激励和保障机制，构建充分体现知识、技术等创新要素价值的收益分配机制，激发科研机构和科研人员创新活力。</w:t>
      </w:r>
    </w:p>
    <w:p w14:paraId="744CE88C">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建立重点领域、重点产业人才需求预测预警机制，根据行业、产业发展情况和人才缺口实行动态调整，增强人才引进的针对性、精准性和实效性。突出“高精尖缺”导向，重点实施高层次急需紧缺人才引进工程、人才援疆工程和拴心留人工程，鼓励通过顾问指导、技术服务、退休返聘、人才租赁、短期对口援疆、支医支教、实习见习等方式加大柔性引才力度。到2025年力争引进硕士研究生、副高以上职称高层次人才10人、大学本科基础人才100人，柔性引才350人。</w:t>
      </w:r>
    </w:p>
    <w:p w14:paraId="45233A82">
      <w:pPr>
        <w:pStyle w:val="2"/>
        <w:spacing w:line="540" w:lineRule="exact"/>
        <w:jc w:val="center"/>
        <w:rPr>
          <w:rFonts w:hint="default" w:ascii="Times New Roman" w:hAnsi="Times New Roman" w:eastAsia="方正楷体_GBK" w:cs="Times New Roman"/>
          <w:b w:val="0"/>
          <w:bCs w:val="0"/>
          <w:color w:val="000000"/>
          <w:kern w:val="0"/>
          <w:sz w:val="32"/>
        </w:rPr>
      </w:pPr>
      <w:bookmarkStart w:id="46" w:name="_Toc75285096"/>
      <w:r>
        <w:rPr>
          <w:rFonts w:hint="default" w:ascii="Times New Roman" w:hAnsi="Times New Roman" w:eastAsia="方正楷体_GBK" w:cs="Times New Roman"/>
          <w:b w:val="0"/>
          <w:bCs w:val="0"/>
          <w:color w:val="000000"/>
          <w:kern w:val="0"/>
          <w:sz w:val="32"/>
        </w:rPr>
        <w:t>第四章  完善科技创新机制</w:t>
      </w:r>
      <w:bookmarkEnd w:id="46"/>
    </w:p>
    <w:p w14:paraId="5794BFAD">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深化科技体制机制改革，优化配置和有效利用科技资源，提高知识产权创造和运用能力，形成有利于科技创新的政策体系。健全鼓励支持基础研究、原始创新的体制机制。加大财政资金投入力度，引导社会资本进入创新领域，形成多渠道科技投入体系。完善金融支持创新体系，促进新技术产业化规模化应用。加强知识产权服务体系建设，加大知识产权保护力度。加强科普工作，提高全民科学素质。</w:t>
      </w:r>
    </w:p>
    <w:p w14:paraId="1EDEB12E">
      <w:pPr>
        <w:pStyle w:val="3"/>
        <w:spacing w:line="560" w:lineRule="exact"/>
        <w:jc w:val="center"/>
        <w:rPr>
          <w:rFonts w:eastAsia="方正黑体_GBK"/>
          <w:b w:val="0"/>
          <w:bCs/>
          <w:color w:val="000000"/>
          <w:sz w:val="36"/>
          <w:szCs w:val="36"/>
        </w:rPr>
      </w:pPr>
      <w:r>
        <w:rPr>
          <w:sz w:val="36"/>
        </w:rPr>
        <mc:AlternateContent>
          <mc:Choice Requires="wps">
            <w:drawing>
              <wp:anchor distT="0" distB="0" distL="114300" distR="114300" simplePos="0" relativeHeight="251671552" behindDoc="0" locked="0" layoutInCell="1" allowOverlap="1">
                <wp:simplePos x="0" y="0"/>
                <wp:positionH relativeFrom="column">
                  <wp:posOffset>166370</wp:posOffset>
                </wp:positionH>
                <wp:positionV relativeFrom="paragraph">
                  <wp:posOffset>384175</wp:posOffset>
                </wp:positionV>
                <wp:extent cx="5534025" cy="9525"/>
                <wp:effectExtent l="0" t="0" r="0" b="0"/>
                <wp:wrapNone/>
                <wp:docPr id="15" name="直接连接符 15"/>
                <wp:cNvGraphicFramePr/>
                <a:graphic xmlns:a="http://schemas.openxmlformats.org/drawingml/2006/main">
                  <a:graphicData uri="http://schemas.microsoft.com/office/word/2010/wordprocessingShape">
                    <wps:wsp>
                      <wps:cNvCnPr/>
                      <wps:spPr>
                        <a:xfrm>
                          <a:off x="1119505" y="1725930"/>
                          <a:ext cx="55340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1pt;margin-top:30.25pt;height:0.75pt;width:435.75pt;z-index:251671552;mso-width-relative:page;mso-height-relative:page;" filled="f" stroked="t" coordsize="21600,21600" o:gfxdata="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AzXbHWAAAACAEA&#10;AA8AAAAAAAAAAQAgAAAAIgAAAGRycy9kb3ducmV2LnhtbFBLAQIUABQAAAAIAIdO4kDIC7kR4wEA&#10;AKsDAAAOAAAAAAAAAAEAIAAAACUBAABkcnMvZTJvRG9jLnhtbFBLBQYAAAAABgAGAFkBAAB6BQAA&#10;AAA=&#10;">
                <v:fill on="f" focussize="0,0"/>
                <v:stroke color="#000000 [3213]" joinstyle="round"/>
                <v:imagedata o:title=""/>
                <o:lock v:ext="edit" aspectratio="f"/>
              </v:line>
            </w:pict>
          </mc:Fallback>
        </mc:AlternateContent>
      </w:r>
      <w:r>
        <w:rPr>
          <w:rFonts w:eastAsia="方正黑体_GBK"/>
          <w:b w:val="0"/>
          <w:bCs/>
          <w:color w:val="000000"/>
          <w:sz w:val="36"/>
          <w:szCs w:val="36"/>
        </w:rPr>
        <mc:AlternateContent>
          <mc:Choice Requires="wps">
            <w:drawing>
              <wp:anchor distT="0" distB="0" distL="114300" distR="114300" simplePos="0" relativeHeight="251666432" behindDoc="0" locked="0" layoutInCell="1" allowOverlap="1">
                <wp:simplePos x="0" y="0"/>
                <wp:positionH relativeFrom="column">
                  <wp:posOffset>160020</wp:posOffset>
                </wp:positionH>
                <wp:positionV relativeFrom="paragraph">
                  <wp:posOffset>66040</wp:posOffset>
                </wp:positionV>
                <wp:extent cx="5283835" cy="695325"/>
                <wp:effectExtent l="5080" t="4445" r="6985" b="5080"/>
                <wp:wrapSquare wrapText="bothSides"/>
                <wp:docPr id="10" name="文本框 2719"/>
                <wp:cNvGraphicFramePr/>
                <a:graphic xmlns:a="http://schemas.openxmlformats.org/drawingml/2006/main">
                  <a:graphicData uri="http://schemas.microsoft.com/office/word/2010/wordprocessingShape">
                    <wps:wsp>
                      <wps:cNvSpPr txBox="1"/>
                      <wps:spPr>
                        <a:xfrm>
                          <a:off x="0" y="0"/>
                          <a:ext cx="5283835" cy="695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EBEDA8F">
                            <w:pPr>
                              <w:pStyle w:val="5"/>
                              <w:ind w:left="0" w:firstLine="0" w:firstLineChars="0"/>
                              <w:rPr>
                                <w:rFonts w:hint="eastAsia" w:ascii="黑体" w:hAnsi="黑体" w:eastAsia="黑体" w:cs="宋体"/>
                                <w:bCs/>
                                <w:sz w:val="24"/>
                                <w:szCs w:val="24"/>
                                <w:lang w:val="en-US"/>
                              </w:rPr>
                            </w:pPr>
                            <w:r>
                              <w:rPr>
                                <w:rFonts w:hint="eastAsia" w:ascii="黑体" w:hAnsi="黑体" w:eastAsia="黑体" w:cs="宋体"/>
                                <w:bCs/>
                                <w:sz w:val="24"/>
                                <w:szCs w:val="24"/>
                                <w:lang w:val="en-US"/>
                              </w:rPr>
                              <w:t>专栏</w:t>
                            </w:r>
                            <w:r>
                              <w:rPr>
                                <w:rFonts w:hint="default" w:ascii="Times New Roman" w:hAnsi="Times New Roman" w:eastAsia="黑体" w:cs="Times New Roman"/>
                                <w:bCs/>
                                <w:sz w:val="24"/>
                                <w:szCs w:val="24"/>
                                <w:lang w:val="en-US"/>
                              </w:rPr>
                              <w:t>2</w:t>
                            </w:r>
                            <w:r>
                              <w:rPr>
                                <w:rFonts w:hint="eastAsia" w:ascii="黑体" w:hAnsi="黑体" w:eastAsia="黑体" w:cs="宋体"/>
                                <w:bCs/>
                                <w:sz w:val="24"/>
                                <w:szCs w:val="24"/>
                                <w:lang w:val="en-US"/>
                              </w:rPr>
                              <w:t xml:space="preserve"> </w:t>
                            </w:r>
                            <w:r>
                              <w:rPr>
                                <w:rFonts w:hint="eastAsia" w:ascii="黑体" w:hAnsi="黑体" w:eastAsia="黑体" w:cs="宋体"/>
                                <w:bCs/>
                                <w:sz w:val="24"/>
                                <w:szCs w:val="24"/>
                                <w:lang w:val="en-US" w:eastAsia="zh-CN"/>
                              </w:rPr>
                              <w:t xml:space="preserve">                     </w:t>
                            </w:r>
                            <w:r>
                              <w:rPr>
                                <w:rFonts w:hint="eastAsia" w:ascii="黑体" w:hAnsi="黑体" w:eastAsia="黑体" w:cs="宋体"/>
                                <w:bCs/>
                                <w:sz w:val="24"/>
                                <w:szCs w:val="24"/>
                                <w:lang w:val="en-US"/>
                              </w:rPr>
                              <w:t xml:space="preserve"> 科技创新重点项目</w:t>
                            </w:r>
                          </w:p>
                          <w:p w14:paraId="4ECB87C6">
                            <w:pPr>
                              <w:pStyle w:val="5"/>
                              <w:ind w:left="0" w:firstLine="0" w:firstLineChars="0"/>
                              <w:rPr>
                                <w:rFonts w:hint="eastAsia" w:ascii="黑体" w:hAnsi="黑体" w:eastAsia="黑体" w:cs="宋体"/>
                                <w:bCs/>
                                <w:sz w:val="24"/>
                                <w:szCs w:val="24"/>
                                <w:lang w:val="en-US"/>
                              </w:rPr>
                            </w:pPr>
                          </w:p>
                          <w:p w14:paraId="6AB4B6EC">
                            <w:pPr>
                              <w:pStyle w:val="5"/>
                              <w:ind w:left="0" w:firstLine="480" w:firstLineChars="200"/>
                              <w:rPr>
                                <w:rFonts w:cs="宋体" w:asciiTheme="minorEastAsia" w:hAnsiTheme="minorEastAsia" w:eastAsiaTheme="minorEastAsia"/>
                                <w:bCs/>
                                <w:sz w:val="24"/>
                                <w:szCs w:val="24"/>
                                <w:lang w:val="en-US"/>
                              </w:rPr>
                            </w:pPr>
                            <w:r>
                              <w:rPr>
                                <w:rFonts w:cs="宋体" w:asciiTheme="minorEastAsia" w:hAnsiTheme="minorEastAsia" w:eastAsiaTheme="minorEastAsia"/>
                                <w:bCs/>
                                <w:sz w:val="24"/>
                                <w:szCs w:val="24"/>
                                <w:lang w:val="en-US"/>
                              </w:rPr>
                              <w:t>伊吾智能互联科技有限公司智慧能源数字控制中心</w:t>
                            </w:r>
                            <w:r>
                              <w:rPr>
                                <w:rFonts w:hint="eastAsia" w:cs="宋体" w:asciiTheme="minorEastAsia" w:hAnsiTheme="minorEastAsia" w:eastAsiaTheme="minorEastAsia"/>
                                <w:bCs/>
                                <w:sz w:val="24"/>
                                <w:szCs w:val="24"/>
                                <w:lang w:val="en-US"/>
                              </w:rPr>
                              <w:t>建设项目；伊吾县大数据中心项目；</w:t>
                            </w:r>
                          </w:p>
                        </w:txbxContent>
                      </wps:txbx>
                      <wps:bodyPr wrap="none" upright="1">
                        <a:spAutoFit/>
                      </wps:bodyPr>
                    </wps:wsp>
                  </a:graphicData>
                </a:graphic>
              </wp:anchor>
            </w:drawing>
          </mc:Choice>
          <mc:Fallback>
            <w:pict>
              <v:shape id="文本框 2719" o:spid="_x0000_s1026" o:spt="202" type="#_x0000_t202" style="position:absolute;left:0pt;margin-left:12.6pt;margin-top:5.2pt;height:54.75pt;width:416.05pt;mso-wrap-distance-bottom:0pt;mso-wrap-distance-left:9pt;mso-wrap-distance-right:9pt;mso-wrap-distance-top:0pt;mso-wrap-style:none;z-index:251666432;mso-width-relative:page;mso-height-relative:page;" fillcolor="#FFFFFF" filled="t" stroked="t" coordsize="21600,21600" o:gfxdata="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YQJ0G2gAAAAkBAAAPAAAAAAAAAAEAIAAAACIAAABkcnMvZG93bnJldi54bWxQSwECFAAUAAAA&#10;CACHTuJAkBeYNSUCAABuBAAADgAAAAAAAAABACAAAAApAQAAZHJzL2Uyb0RvYy54bWxQSwUGAAAA&#10;AAYABgBZAQAAwAUAAAAA&#10;">
                <v:fill on="t" focussize="0,0"/>
                <v:stroke color="#000000" joinstyle="miter"/>
                <v:imagedata o:title=""/>
                <o:lock v:ext="edit" aspectratio="f"/>
                <v:textbox style="mso-fit-shape-to-text:t;">
                  <w:txbxContent>
                    <w:p w14:paraId="4EBEDA8F">
                      <w:pPr>
                        <w:pStyle w:val="5"/>
                        <w:ind w:left="0" w:firstLine="0" w:firstLineChars="0"/>
                        <w:rPr>
                          <w:rFonts w:hint="eastAsia" w:ascii="黑体" w:hAnsi="黑体" w:eastAsia="黑体" w:cs="宋体"/>
                          <w:bCs/>
                          <w:sz w:val="24"/>
                          <w:szCs w:val="24"/>
                          <w:lang w:val="en-US"/>
                        </w:rPr>
                      </w:pPr>
                      <w:r>
                        <w:rPr>
                          <w:rFonts w:hint="eastAsia" w:ascii="黑体" w:hAnsi="黑体" w:eastAsia="黑体" w:cs="宋体"/>
                          <w:bCs/>
                          <w:sz w:val="24"/>
                          <w:szCs w:val="24"/>
                          <w:lang w:val="en-US"/>
                        </w:rPr>
                        <w:t>专栏</w:t>
                      </w:r>
                      <w:r>
                        <w:rPr>
                          <w:rFonts w:hint="default" w:ascii="Times New Roman" w:hAnsi="Times New Roman" w:eastAsia="黑体" w:cs="Times New Roman"/>
                          <w:bCs/>
                          <w:sz w:val="24"/>
                          <w:szCs w:val="24"/>
                          <w:lang w:val="en-US"/>
                        </w:rPr>
                        <w:t>2</w:t>
                      </w:r>
                      <w:r>
                        <w:rPr>
                          <w:rFonts w:hint="eastAsia" w:ascii="黑体" w:hAnsi="黑体" w:eastAsia="黑体" w:cs="宋体"/>
                          <w:bCs/>
                          <w:sz w:val="24"/>
                          <w:szCs w:val="24"/>
                          <w:lang w:val="en-US"/>
                        </w:rPr>
                        <w:t xml:space="preserve"> </w:t>
                      </w:r>
                      <w:r>
                        <w:rPr>
                          <w:rFonts w:hint="eastAsia" w:ascii="黑体" w:hAnsi="黑体" w:eastAsia="黑体" w:cs="宋体"/>
                          <w:bCs/>
                          <w:sz w:val="24"/>
                          <w:szCs w:val="24"/>
                          <w:lang w:val="en-US" w:eastAsia="zh-CN"/>
                        </w:rPr>
                        <w:t xml:space="preserve">                     </w:t>
                      </w:r>
                      <w:r>
                        <w:rPr>
                          <w:rFonts w:hint="eastAsia" w:ascii="黑体" w:hAnsi="黑体" w:eastAsia="黑体" w:cs="宋体"/>
                          <w:bCs/>
                          <w:sz w:val="24"/>
                          <w:szCs w:val="24"/>
                          <w:lang w:val="en-US"/>
                        </w:rPr>
                        <w:t xml:space="preserve"> 科技创新重点项目</w:t>
                      </w:r>
                    </w:p>
                    <w:p w14:paraId="4ECB87C6">
                      <w:pPr>
                        <w:pStyle w:val="5"/>
                        <w:ind w:left="0" w:firstLine="0" w:firstLineChars="0"/>
                        <w:rPr>
                          <w:rFonts w:hint="eastAsia" w:ascii="黑体" w:hAnsi="黑体" w:eastAsia="黑体" w:cs="宋体"/>
                          <w:bCs/>
                          <w:sz w:val="24"/>
                          <w:szCs w:val="24"/>
                          <w:lang w:val="en-US"/>
                        </w:rPr>
                      </w:pPr>
                    </w:p>
                    <w:p w14:paraId="6AB4B6EC">
                      <w:pPr>
                        <w:pStyle w:val="5"/>
                        <w:ind w:left="0" w:firstLine="480" w:firstLineChars="200"/>
                        <w:rPr>
                          <w:rFonts w:cs="宋体" w:asciiTheme="minorEastAsia" w:hAnsiTheme="minorEastAsia" w:eastAsiaTheme="minorEastAsia"/>
                          <w:bCs/>
                          <w:sz w:val="24"/>
                          <w:szCs w:val="24"/>
                          <w:lang w:val="en-US"/>
                        </w:rPr>
                      </w:pPr>
                      <w:r>
                        <w:rPr>
                          <w:rFonts w:cs="宋体" w:asciiTheme="minorEastAsia" w:hAnsiTheme="minorEastAsia" w:eastAsiaTheme="minorEastAsia"/>
                          <w:bCs/>
                          <w:sz w:val="24"/>
                          <w:szCs w:val="24"/>
                          <w:lang w:val="en-US"/>
                        </w:rPr>
                        <w:t>伊吾智能互联科技有限公司智慧能源数字控制中心</w:t>
                      </w:r>
                      <w:r>
                        <w:rPr>
                          <w:rFonts w:hint="eastAsia" w:cs="宋体" w:asciiTheme="minorEastAsia" w:hAnsiTheme="minorEastAsia" w:eastAsiaTheme="minorEastAsia"/>
                          <w:bCs/>
                          <w:sz w:val="24"/>
                          <w:szCs w:val="24"/>
                          <w:lang w:val="en-US"/>
                        </w:rPr>
                        <w:t>建设项目；伊吾县大数据中心项目；</w:t>
                      </w:r>
                    </w:p>
                  </w:txbxContent>
                </v:textbox>
                <w10:wrap type="square"/>
              </v:shape>
            </w:pict>
          </mc:Fallback>
        </mc:AlternateContent>
      </w:r>
      <w:bookmarkStart w:id="47" w:name="_Toc75285097"/>
      <w:r>
        <w:rPr>
          <w:rFonts w:hint="eastAsia" w:eastAsia="方正黑体_GBK"/>
          <w:b w:val="0"/>
          <w:bCs/>
          <w:color w:val="000000"/>
          <w:sz w:val="36"/>
          <w:szCs w:val="36"/>
        </w:rPr>
        <w:t xml:space="preserve">第四篇 </w:t>
      </w:r>
      <w:r>
        <w:rPr>
          <w:rFonts w:eastAsia="方正黑体_GBK"/>
          <w:b w:val="0"/>
          <w:bCs/>
          <w:color w:val="000000"/>
          <w:sz w:val="36"/>
          <w:szCs w:val="36"/>
        </w:rPr>
        <w:t>优先发展农业农村 深入推进乡村振兴</w:t>
      </w:r>
      <w:bookmarkEnd w:id="47"/>
    </w:p>
    <w:p w14:paraId="2E2450A8">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坚持农业农村优先发展总方针，大力实施乡村振兴战略，建立健全城乡融合发展体制机制，加快推进农业农村现代化，让农业成为有奔头的产业，让农民成为有吸引力的职业，让农村成为美丽宜居的家园。</w:t>
      </w:r>
    </w:p>
    <w:p w14:paraId="64CB5330">
      <w:pPr>
        <w:pStyle w:val="2"/>
        <w:spacing w:line="540" w:lineRule="exact"/>
        <w:jc w:val="center"/>
        <w:rPr>
          <w:rFonts w:hint="default" w:ascii="Times New Roman" w:hAnsi="Times New Roman" w:eastAsia="方正楷体_GBK" w:cs="Times New Roman"/>
          <w:b w:val="0"/>
          <w:bCs w:val="0"/>
          <w:color w:val="000000"/>
          <w:kern w:val="0"/>
          <w:sz w:val="32"/>
        </w:rPr>
      </w:pPr>
      <w:bookmarkStart w:id="48" w:name="_Toc75285098"/>
      <w:r>
        <w:rPr>
          <w:rFonts w:hint="default" w:ascii="Times New Roman" w:hAnsi="Times New Roman" w:eastAsia="方正楷体_GBK" w:cs="Times New Roman"/>
          <w:b w:val="0"/>
          <w:bCs w:val="0"/>
          <w:color w:val="000000"/>
          <w:kern w:val="0"/>
          <w:sz w:val="32"/>
        </w:rPr>
        <w:t>第一章  巩固</w:t>
      </w:r>
      <w:r>
        <w:rPr>
          <w:rFonts w:hint="eastAsia" w:ascii="Times New Roman" w:hAnsi="Times New Roman" w:eastAsia="方正楷体_GBK" w:cs="Times New Roman"/>
          <w:b w:val="0"/>
          <w:bCs w:val="0"/>
          <w:color w:val="000000"/>
          <w:kern w:val="0"/>
          <w:sz w:val="32"/>
          <w:lang w:val="en-US" w:eastAsia="zh-CN"/>
        </w:rPr>
        <w:t>拓展</w:t>
      </w:r>
      <w:r>
        <w:rPr>
          <w:rFonts w:hint="default" w:ascii="Times New Roman" w:hAnsi="Times New Roman" w:eastAsia="方正楷体_GBK" w:cs="Times New Roman"/>
          <w:b w:val="0"/>
          <w:bCs w:val="0"/>
          <w:color w:val="000000"/>
          <w:kern w:val="0"/>
          <w:sz w:val="32"/>
        </w:rPr>
        <w:t>脱贫攻坚成果</w:t>
      </w:r>
      <w:bookmarkEnd w:id="48"/>
    </w:p>
    <w:p w14:paraId="7E5705BA">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接续推进全面脱贫与乡村振兴有效衔接，做到摘帽不摘责任、摘帽不摘政策、摘帽不摘帮扶、摘帽不摘监管，保持五年过渡期内主要帮扶政策总体稳定，逐步实现由集中资源支持脱贫攻坚向全面推进乡村振兴平稳过渡。健全完善防止返贫监测和帮扶制度机制，加强脱贫不稳定户、边缘易致贫户收入监测，做到早发现、早干预、早帮扶，发展和延伸农业产业链，</w:t>
      </w:r>
      <w:r>
        <w:rPr>
          <w:rFonts w:hint="eastAsia" w:ascii="Times New Roman" w:hAnsi="Times New Roman" w:eastAsia="方正仿宋_GBK" w:cs="Times New Roman"/>
          <w:color w:val="000000"/>
          <w:kern w:val="2"/>
          <w:sz w:val="32"/>
          <w:szCs w:val="32"/>
          <w:lang w:val="en-US" w:eastAsia="zh-CN" w:bidi="ar-SA"/>
        </w:rPr>
        <w:t>增强发展内生动力</w:t>
      </w:r>
      <w:r>
        <w:rPr>
          <w:rFonts w:ascii="Times New Roman" w:hAnsi="Times New Roman" w:eastAsia="方正仿宋_GBK" w:cs="Times New Roman"/>
          <w:color w:val="000000"/>
          <w:kern w:val="2"/>
          <w:sz w:val="32"/>
          <w:szCs w:val="32"/>
          <w:lang w:val="en-US" w:eastAsia="zh-CN" w:bidi="ar-SA"/>
        </w:rPr>
        <w:t xml:space="preserve">，确保脱贫后能发展、可持续。开展巩固脱贫成果后评估工作，压紧压实各级党委和政府巩固脱贫攻坚成果责任，坚决守住不发生规模性返贫的底线。建立农村低收入人口稳定帮扶机制。实施乡村产业提升行动，促进产业提档升级，加大消费帮扶力度，完善销售网络、拓展销售渠道，提升经营主体带贫益贫能力，以产业发展带动就业增收。通过健全低保制度与精准脱贫政策的有效衔接机制，对符合条件的建档立卡脱贫人口实现应保尽保，确保伊吾县低保标准动态达到或高于哈密市扶贫标准，并完善相应调整机制。深化援疆帮扶、定点帮扶、区内协作帮扶、社会帮扶，继续推动“五个一”全覆盖包联，促进当地经济发展、带动农民就业创业。大力推进乡村振兴，推动先富帮后富，实现共同富裕。拓展以工代赈实施范围、赈济对象、赈济方式和建设领域，在农业农村基础设施建设领域积极推广以工代赈方式，吸纳农牧民参与农牧区基础设施、环境整治等项目建设实现增收。坚持开发式帮扶方针，改进帮扶方式，引导群众依靠自己双手勤劳致富。 </w:t>
      </w:r>
    </w:p>
    <w:p w14:paraId="1B5884B4">
      <w:pPr>
        <w:pStyle w:val="2"/>
        <w:spacing w:line="540" w:lineRule="exact"/>
        <w:jc w:val="center"/>
        <w:rPr>
          <w:rFonts w:hint="default" w:ascii="Times New Roman" w:hAnsi="Times New Roman" w:eastAsia="方正楷体_GBK" w:cs="Times New Roman"/>
          <w:b w:val="0"/>
          <w:bCs w:val="0"/>
          <w:color w:val="000000"/>
          <w:kern w:val="0"/>
          <w:sz w:val="32"/>
        </w:rPr>
      </w:pPr>
      <w:bookmarkStart w:id="49" w:name="_Toc75285099"/>
      <w:r>
        <w:rPr>
          <w:rFonts w:hint="default" w:ascii="Times New Roman" w:hAnsi="Times New Roman" w:eastAsia="方正楷体_GBK" w:cs="Times New Roman"/>
          <w:b w:val="0"/>
          <w:bCs w:val="0"/>
          <w:color w:val="000000"/>
          <w:kern w:val="0"/>
          <w:sz w:val="32"/>
        </w:rPr>
        <w:t>第二章  提高农业质量效益</w:t>
      </w:r>
      <w:bookmarkEnd w:id="49"/>
    </w:p>
    <w:p w14:paraId="3AF8DCF6">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按照产业兴旺、生态宜居、乡风文明、治理有效、生活富裕的总要求，坚持一产上水平、提质增效，大力实施乡村振兴战略，巩固</w:t>
      </w:r>
      <w:r>
        <w:rPr>
          <w:rFonts w:hint="eastAsia" w:eastAsia="方正仿宋_GBK" w:cs="Times New Roman"/>
          <w:color w:val="000000"/>
          <w:kern w:val="2"/>
          <w:sz w:val="32"/>
          <w:szCs w:val="32"/>
          <w:lang w:val="en-US" w:eastAsia="zh-CN" w:bidi="ar-SA"/>
        </w:rPr>
        <w:t>拓展</w:t>
      </w:r>
      <w:r>
        <w:rPr>
          <w:rFonts w:ascii="Times New Roman" w:hAnsi="Times New Roman" w:eastAsia="方正仿宋_GBK" w:cs="Times New Roman"/>
          <w:color w:val="000000"/>
          <w:kern w:val="2"/>
          <w:sz w:val="32"/>
          <w:szCs w:val="32"/>
          <w:lang w:val="en-US" w:eastAsia="zh-CN" w:bidi="ar-SA"/>
        </w:rPr>
        <w:t>脱贫攻坚成果，加快构建现代农业生产体系、产业体系和经营体系，健全完善农业支持保护制度，推进农业农村现代化。</w:t>
      </w:r>
    </w:p>
    <w:p w14:paraId="00F2C434">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继续</w:t>
      </w:r>
      <w:r>
        <w:rPr>
          <w:rFonts w:hint="eastAsia" w:ascii="Times New Roman" w:hAnsi="Times New Roman" w:eastAsia="方正仿宋_GBK" w:cs="Times New Roman"/>
          <w:color w:val="000000"/>
          <w:kern w:val="2"/>
          <w:sz w:val="32"/>
          <w:szCs w:val="32"/>
          <w:lang w:val="en-US" w:eastAsia="zh-CN" w:bidi="ar-SA"/>
        </w:rPr>
        <w:t>深化农业供给侧结构性改革</w:t>
      </w:r>
      <w:r>
        <w:rPr>
          <w:rFonts w:ascii="Times New Roman" w:hAnsi="Times New Roman" w:eastAsia="方正仿宋_GBK" w:cs="Times New Roman"/>
          <w:color w:val="000000"/>
          <w:kern w:val="2"/>
          <w:sz w:val="32"/>
          <w:szCs w:val="32"/>
          <w:lang w:val="en-US" w:eastAsia="zh-CN" w:bidi="ar-SA"/>
        </w:rPr>
        <w:t>，加快农业产业结构进行优化升级，完善农业基础设施建设，依托伊吾县晚熟哈密瓜、野山杏、沙棘、有机苹果、葡萄、骆驼奶、牛羊肉等基础优势，持续强化“三品”（品种选择、品质提升、品牌打造），持续做优“三特”（特色种植、特色养殖、特色农产品加工），推进农产品循环、全值、梯次利用，强化全产业链建设。加快农业技术推广应用，推进产业融合发展，加快农业品牌培育和成长，推进农业高效供给、能力高效提升、融合高效增长、市场高效拓展，实现农业现代化高质量发展。</w:t>
      </w:r>
    </w:p>
    <w:p w14:paraId="68B266C1">
      <w:pPr>
        <w:pStyle w:val="2"/>
        <w:spacing w:line="560" w:lineRule="exact"/>
        <w:jc w:val="center"/>
        <w:rPr>
          <w:rFonts w:ascii="Times New Roman" w:hAnsi="Times New Roman" w:eastAsia="方正楷体_GBK"/>
          <w:b w:val="0"/>
          <w:bCs w:val="0"/>
          <w:color w:val="000000"/>
          <w:kern w:val="0"/>
          <w:sz w:val="32"/>
        </w:rPr>
      </w:pPr>
      <w:bookmarkStart w:id="50" w:name="_Toc75285100"/>
      <w:r>
        <w:rPr>
          <w:rFonts w:ascii="Times New Roman" w:hAnsi="Times New Roman" w:eastAsia="方正楷体_GBK"/>
          <w:b w:val="0"/>
          <w:bCs w:val="0"/>
          <w:color w:val="000000"/>
          <w:kern w:val="0"/>
          <w:sz w:val="32"/>
        </w:rPr>
        <w:t>第三章  实施乡村建设行动</w:t>
      </w:r>
      <w:bookmarkEnd w:id="50"/>
    </w:p>
    <w:p w14:paraId="4179F6A1">
      <w:pPr>
        <w:pStyle w:val="5"/>
        <w:spacing w:line="580" w:lineRule="exact"/>
        <w:ind w:left="0" w:firstLine="640" w:firstLineChars="200"/>
        <w:rPr>
          <w:bCs/>
          <w:lang w:val="en-US" w:bidi="ar-SA"/>
        </w:rPr>
      </w:pPr>
      <w:r>
        <w:rPr>
          <w:rFonts w:ascii="Times New Roman" w:hAnsi="Times New Roman" w:eastAsia="方正仿宋_GBK" w:cs="Times New Roman"/>
          <w:color w:val="000000"/>
          <w:kern w:val="2"/>
          <w:sz w:val="32"/>
          <w:szCs w:val="32"/>
          <w:lang w:val="en-US" w:eastAsia="zh-CN" w:bidi="ar-SA"/>
        </w:rPr>
        <w:t>继续实施农村人居环境整治“千万工程”，开展农村人居环境“美丽乡村创建活动”，集中开展村庄绿化美化行动，大力推进农村危旧房拆除工作，有效改善村容村貌。完善乡镇污水、垃圾处理设施，加强乡镇垃圾清运设备和中转设施建设，继续开展农村“家园清洁行动”，建立村庄清扫保洁机制，进一步推进农村垃圾统筹清理、收集和处理工作。有序推进农村生活污水治理，加强生活污水源头减量和尾水回收利用。持续推进城乡环境卫生整治行动，建设健康、宜居、美丽家园。深化“以奖促治”政策，推进新一轮农村环境连片整治。完善农村生活垃圾“村收集、乡镇转运和处理”模式，鼓励就地资源化，切实防止城镇垃圾向农村转移。推进全县农村污水处理统一规划、建设、管理。积极推进城镇污水、垃圾处理设施和服务向农村延伸，开展农村厕所无害化改造。到2025年，农村污水处理率80%、垃圾无害化处理率95%，污水、垃圾处理设施管护、运行率100%，农村卫生厕所普及率达到100%，将伊吾打造成为自治区美丽乡村建设</w:t>
      </w:r>
      <w:r>
        <w:rPr>
          <w:rFonts w:eastAsia="仿宋_GB2312"/>
          <w:bCs/>
          <w:sz w:val="32"/>
          <w:szCs w:val="32"/>
          <w:lang w:val="en-US"/>
        </w:rPr>
        <w:t>示范县。</w:t>
      </w:r>
    </w:p>
    <w:p w14:paraId="4E7AD91F">
      <w:pPr>
        <w:pStyle w:val="5"/>
        <w:ind w:left="0" w:firstLine="640" w:firstLineChars="200"/>
        <w:rPr>
          <w:bCs/>
          <w:lang w:val="en-US" w:bidi="ar-SA"/>
        </w:rPr>
      </w:pPr>
      <w:r>
        <w:rPr>
          <w:sz w:val="32"/>
        </w:rPr>
        <mc:AlternateContent>
          <mc:Choice Requires="wps">
            <w:drawing>
              <wp:anchor distT="0" distB="0" distL="114300" distR="114300" simplePos="0" relativeHeight="251670528" behindDoc="0" locked="0" layoutInCell="1" allowOverlap="1">
                <wp:simplePos x="0" y="0"/>
                <wp:positionH relativeFrom="column">
                  <wp:posOffset>118745</wp:posOffset>
                </wp:positionH>
                <wp:positionV relativeFrom="paragraph">
                  <wp:posOffset>400050</wp:posOffset>
                </wp:positionV>
                <wp:extent cx="5524500" cy="0"/>
                <wp:effectExtent l="0" t="0" r="0" b="0"/>
                <wp:wrapNone/>
                <wp:docPr id="6" name="直接连接符 6"/>
                <wp:cNvGraphicFramePr/>
                <a:graphic xmlns:a="http://schemas.openxmlformats.org/drawingml/2006/main">
                  <a:graphicData uri="http://schemas.microsoft.com/office/word/2010/wordprocessingShape">
                    <wps:wsp>
                      <wps:cNvCnPr/>
                      <wps:spPr>
                        <a:xfrm>
                          <a:off x="1100455" y="210058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35pt;margin-top:31.5pt;height:0pt;width:435pt;z-index:251670528;mso-width-relative:page;mso-height-relative:page;" filled="f" stroked="t" coordsize="21600,21600" o:gfxdata="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qaB4KNEAAAAIAQAADwAA&#10;AAAAAAABACAAAAAiAAAAZHJzL2Rvd25yZXYueG1sUEsBAhQAFAAAAAgAh07iQNEDRynkAQAApgMA&#10;AA4AAAAAAAAAAQAgAAAAIAEAAGRycy9lMm9Eb2MueG1sUEsFBgAAAAAGAAYAWQEAAHYFAAAAAA==&#10;">
                <v:fill on="f" focussize="0,0"/>
                <v:stroke color="#000000 [3213]" joinstyle="round"/>
                <v:imagedata o:title=""/>
                <o:lock v:ext="edit" aspectratio="f"/>
              </v:line>
            </w:pict>
          </mc:Fallback>
        </mc:AlternateContent>
      </w:r>
      <w:r>
        <w:rPr>
          <w:rFonts w:eastAsia="仿宋_GB2312"/>
          <w:bCs/>
          <w:sz w:val="32"/>
          <w:szCs w:val="32"/>
          <w:lang w:val="en-US"/>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93345</wp:posOffset>
                </wp:positionV>
                <wp:extent cx="5283835" cy="1275080"/>
                <wp:effectExtent l="5080" t="4445" r="6985" b="15875"/>
                <wp:wrapSquare wrapText="bothSides"/>
                <wp:docPr id="13" name="文本框 2727"/>
                <wp:cNvGraphicFramePr/>
                <a:graphic xmlns:a="http://schemas.openxmlformats.org/drawingml/2006/main">
                  <a:graphicData uri="http://schemas.microsoft.com/office/word/2010/wordprocessingShape">
                    <wps:wsp>
                      <wps:cNvSpPr txBox="1"/>
                      <wps:spPr>
                        <a:xfrm>
                          <a:off x="0" y="0"/>
                          <a:ext cx="5283835" cy="12750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D430A00">
                            <w:pPr>
                              <w:pStyle w:val="5"/>
                              <w:ind w:left="0" w:firstLine="0" w:firstLineChars="0"/>
                              <w:rPr>
                                <w:rFonts w:hint="eastAsia" w:ascii="黑体" w:hAnsi="黑体" w:eastAsia="黑体" w:cs="宋体"/>
                                <w:bCs/>
                                <w:sz w:val="24"/>
                                <w:szCs w:val="24"/>
                                <w:lang w:val="en-US"/>
                              </w:rPr>
                            </w:pPr>
                            <w:r>
                              <w:rPr>
                                <w:rFonts w:hint="eastAsia" w:ascii="黑体" w:hAnsi="黑体" w:eastAsia="黑体" w:cs="宋体"/>
                                <w:bCs/>
                                <w:sz w:val="24"/>
                                <w:szCs w:val="24"/>
                                <w:lang w:val="en-US"/>
                              </w:rPr>
                              <w:t>专栏</w:t>
                            </w:r>
                            <w:r>
                              <w:rPr>
                                <w:rFonts w:hint="default" w:ascii="Times New Roman" w:hAnsi="Times New Roman" w:eastAsia="黑体" w:cs="Times New Roman"/>
                                <w:bCs/>
                                <w:sz w:val="24"/>
                                <w:szCs w:val="24"/>
                                <w:lang w:val="en-US"/>
                              </w:rPr>
                              <w:t>3</w:t>
                            </w:r>
                            <w:r>
                              <w:rPr>
                                <w:rFonts w:hint="eastAsia" w:ascii="黑体" w:hAnsi="黑体" w:eastAsia="黑体" w:cs="宋体"/>
                                <w:bCs/>
                                <w:sz w:val="24"/>
                                <w:szCs w:val="24"/>
                                <w:lang w:val="en-US"/>
                              </w:rPr>
                              <w:t xml:space="preserve">  </w:t>
                            </w:r>
                            <w:r>
                              <w:rPr>
                                <w:rFonts w:hint="eastAsia" w:ascii="黑体" w:hAnsi="黑体" w:eastAsia="黑体" w:cs="宋体"/>
                                <w:bCs/>
                                <w:sz w:val="24"/>
                                <w:szCs w:val="24"/>
                                <w:lang w:val="en-US" w:eastAsia="zh-CN"/>
                              </w:rPr>
                              <w:t xml:space="preserve">                     </w:t>
                            </w:r>
                            <w:r>
                              <w:rPr>
                                <w:rFonts w:hint="eastAsia" w:ascii="黑体" w:hAnsi="黑体" w:eastAsia="黑体" w:cs="宋体"/>
                                <w:bCs/>
                                <w:sz w:val="24"/>
                                <w:szCs w:val="24"/>
                                <w:lang w:val="en-US"/>
                              </w:rPr>
                              <w:t>乡村振兴重点项目</w:t>
                            </w:r>
                          </w:p>
                          <w:p w14:paraId="4AF09DEF">
                            <w:pPr>
                              <w:pStyle w:val="5"/>
                              <w:ind w:left="0" w:firstLine="0" w:firstLineChars="0"/>
                              <w:rPr>
                                <w:rFonts w:hint="eastAsia" w:ascii="黑体" w:hAnsi="黑体" w:eastAsia="黑体" w:cs="宋体"/>
                                <w:bCs/>
                                <w:sz w:val="24"/>
                                <w:szCs w:val="24"/>
                                <w:lang w:val="en-US"/>
                              </w:rPr>
                            </w:pPr>
                          </w:p>
                          <w:p w14:paraId="4BE61584">
                            <w:pPr>
                              <w:pStyle w:val="5"/>
                              <w:ind w:left="0" w:firstLine="480" w:firstLineChars="200"/>
                              <w:rPr>
                                <w:rFonts w:cs="宋体" w:asciiTheme="minorEastAsia" w:hAnsiTheme="minorEastAsia" w:eastAsiaTheme="minorEastAsia"/>
                                <w:bCs/>
                                <w:sz w:val="24"/>
                                <w:szCs w:val="24"/>
                                <w:lang w:val="en-US"/>
                              </w:rPr>
                            </w:pPr>
                            <w:r>
                              <w:rPr>
                                <w:rFonts w:hint="eastAsia" w:cs="宋体" w:asciiTheme="minorEastAsia" w:hAnsiTheme="minorEastAsia" w:eastAsiaTheme="minorEastAsia"/>
                                <w:bCs/>
                                <w:sz w:val="24"/>
                                <w:szCs w:val="24"/>
                                <w:lang w:val="en-US"/>
                              </w:rPr>
                              <w:t>苇子峡乡杏花苑农村社区农村道路及附属设施建设项目；伊吾县农村人居环境整治项目；苇子峡乡人居环境改善建设项目；山南开发区一区人居环境改善建设项目；下马崖乡天然气入户建设项目；吐葫芦乡公厕建设项目。盐池镇幻彩园小区人居环境提升改造项目；淖毛湖开发区人居环境整治项目；吐葫芦乡基础设施配套工程。</w:t>
                            </w:r>
                          </w:p>
                        </w:txbxContent>
                      </wps:txbx>
                      <wps:bodyPr wrap="none" upright="1"/>
                    </wps:wsp>
                  </a:graphicData>
                </a:graphic>
              </wp:anchor>
            </w:drawing>
          </mc:Choice>
          <mc:Fallback>
            <w:pict>
              <v:shape id="文本框 2727" o:spid="_x0000_s1026" o:spt="202" type="#_x0000_t202" style="position:absolute;left:0pt;margin-left:9pt;margin-top:7.35pt;height:100.4pt;width:416.05pt;mso-wrap-distance-bottom:0pt;mso-wrap-distance-left:9pt;mso-wrap-distance-right:9pt;mso-wrap-distance-top:0pt;mso-wrap-style:none;z-index:251669504;mso-width-relative:page;mso-height-relative:page;" fillcolor="#FFFFFF" filled="t" stroked="t" coordsize="21600,21600" o:gfxdata="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wq+9HZAAAA&#10;CQEAAA8AAAAAAAAAAQAgAAAAIgAAAGRycy9kb3ducmV2LnhtbFBLAQIUABQAAAAIAIdO4kAIpMbC&#10;HAIAAFUEAAAOAAAAAAAAAAEAIAAAACgBAABkcnMvZTJvRG9jLnhtbFBLBQYAAAAABgAGAFkBAAC2&#10;BQAAAAA=&#10;">
                <v:fill on="t" focussize="0,0"/>
                <v:stroke color="#000000" joinstyle="miter"/>
                <v:imagedata o:title=""/>
                <o:lock v:ext="edit" aspectratio="f"/>
                <v:textbox>
                  <w:txbxContent>
                    <w:p w14:paraId="4D430A00">
                      <w:pPr>
                        <w:pStyle w:val="5"/>
                        <w:ind w:left="0" w:firstLine="0" w:firstLineChars="0"/>
                        <w:rPr>
                          <w:rFonts w:hint="eastAsia" w:ascii="黑体" w:hAnsi="黑体" w:eastAsia="黑体" w:cs="宋体"/>
                          <w:bCs/>
                          <w:sz w:val="24"/>
                          <w:szCs w:val="24"/>
                          <w:lang w:val="en-US"/>
                        </w:rPr>
                      </w:pPr>
                      <w:r>
                        <w:rPr>
                          <w:rFonts w:hint="eastAsia" w:ascii="黑体" w:hAnsi="黑体" w:eastAsia="黑体" w:cs="宋体"/>
                          <w:bCs/>
                          <w:sz w:val="24"/>
                          <w:szCs w:val="24"/>
                          <w:lang w:val="en-US"/>
                        </w:rPr>
                        <w:t>专栏</w:t>
                      </w:r>
                      <w:r>
                        <w:rPr>
                          <w:rFonts w:hint="default" w:ascii="Times New Roman" w:hAnsi="Times New Roman" w:eastAsia="黑体" w:cs="Times New Roman"/>
                          <w:bCs/>
                          <w:sz w:val="24"/>
                          <w:szCs w:val="24"/>
                          <w:lang w:val="en-US"/>
                        </w:rPr>
                        <w:t>3</w:t>
                      </w:r>
                      <w:r>
                        <w:rPr>
                          <w:rFonts w:hint="eastAsia" w:ascii="黑体" w:hAnsi="黑体" w:eastAsia="黑体" w:cs="宋体"/>
                          <w:bCs/>
                          <w:sz w:val="24"/>
                          <w:szCs w:val="24"/>
                          <w:lang w:val="en-US"/>
                        </w:rPr>
                        <w:t xml:space="preserve">  </w:t>
                      </w:r>
                      <w:r>
                        <w:rPr>
                          <w:rFonts w:hint="eastAsia" w:ascii="黑体" w:hAnsi="黑体" w:eastAsia="黑体" w:cs="宋体"/>
                          <w:bCs/>
                          <w:sz w:val="24"/>
                          <w:szCs w:val="24"/>
                          <w:lang w:val="en-US" w:eastAsia="zh-CN"/>
                        </w:rPr>
                        <w:t xml:space="preserve">                     </w:t>
                      </w:r>
                      <w:r>
                        <w:rPr>
                          <w:rFonts w:hint="eastAsia" w:ascii="黑体" w:hAnsi="黑体" w:eastAsia="黑体" w:cs="宋体"/>
                          <w:bCs/>
                          <w:sz w:val="24"/>
                          <w:szCs w:val="24"/>
                          <w:lang w:val="en-US"/>
                        </w:rPr>
                        <w:t>乡村振兴重点项目</w:t>
                      </w:r>
                    </w:p>
                    <w:p w14:paraId="4AF09DEF">
                      <w:pPr>
                        <w:pStyle w:val="5"/>
                        <w:ind w:left="0" w:firstLine="0" w:firstLineChars="0"/>
                        <w:rPr>
                          <w:rFonts w:hint="eastAsia" w:ascii="黑体" w:hAnsi="黑体" w:eastAsia="黑体" w:cs="宋体"/>
                          <w:bCs/>
                          <w:sz w:val="24"/>
                          <w:szCs w:val="24"/>
                          <w:lang w:val="en-US"/>
                        </w:rPr>
                      </w:pPr>
                    </w:p>
                    <w:p w14:paraId="4BE61584">
                      <w:pPr>
                        <w:pStyle w:val="5"/>
                        <w:ind w:left="0" w:firstLine="480" w:firstLineChars="200"/>
                        <w:rPr>
                          <w:rFonts w:cs="宋体" w:asciiTheme="minorEastAsia" w:hAnsiTheme="minorEastAsia" w:eastAsiaTheme="minorEastAsia"/>
                          <w:bCs/>
                          <w:sz w:val="24"/>
                          <w:szCs w:val="24"/>
                          <w:lang w:val="en-US"/>
                        </w:rPr>
                      </w:pPr>
                      <w:r>
                        <w:rPr>
                          <w:rFonts w:hint="eastAsia" w:cs="宋体" w:asciiTheme="minorEastAsia" w:hAnsiTheme="minorEastAsia" w:eastAsiaTheme="minorEastAsia"/>
                          <w:bCs/>
                          <w:sz w:val="24"/>
                          <w:szCs w:val="24"/>
                          <w:lang w:val="en-US"/>
                        </w:rPr>
                        <w:t>苇子峡乡杏花苑农村社区农村道路及附属设施建设项目；伊吾县农村人居环境整治项目；苇子峡乡人居环境改善建设项目；山南开发区一区人居环境改善建设项目；下马崖乡天然气入户建设项目；吐葫芦乡公厕建设项目。盐池镇幻彩园小区人居环境提升改造项目；淖毛湖开发区人居环境整治项目；吐葫芦乡基础设施配套工程。</w:t>
                      </w:r>
                    </w:p>
                  </w:txbxContent>
                </v:textbox>
                <w10:wrap type="square"/>
              </v:shape>
            </w:pict>
          </mc:Fallback>
        </mc:AlternateContent>
      </w:r>
    </w:p>
    <w:p w14:paraId="6940083E">
      <w:pPr>
        <w:pStyle w:val="2"/>
        <w:spacing w:line="540" w:lineRule="exact"/>
        <w:jc w:val="center"/>
        <w:rPr>
          <w:rFonts w:hint="default" w:ascii="Times New Roman" w:hAnsi="Times New Roman" w:eastAsia="方正楷体_GBK" w:cs="Times New Roman"/>
          <w:b w:val="0"/>
          <w:bCs w:val="0"/>
          <w:color w:val="000000"/>
          <w:kern w:val="0"/>
          <w:sz w:val="32"/>
        </w:rPr>
      </w:pPr>
      <w:bookmarkStart w:id="51" w:name="_Toc75285101"/>
      <w:r>
        <w:rPr>
          <w:rFonts w:hint="default" w:ascii="Times New Roman" w:hAnsi="Times New Roman" w:eastAsia="方正楷体_GBK" w:cs="Times New Roman"/>
          <w:b w:val="0"/>
          <w:bCs w:val="0"/>
          <w:color w:val="000000"/>
          <w:kern w:val="0"/>
          <w:sz w:val="32"/>
        </w:rPr>
        <w:t>第四章  推进农业产业化发展</w:t>
      </w:r>
      <w:bookmarkEnd w:id="51"/>
    </w:p>
    <w:p w14:paraId="6D3F1697">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稳定粮油生产，确保粮食安全。加强基本农田保护，稳控优质粮食种植面积，重点调减盐池镇、吐葫芦乡劣质小麦种植面积。大力实施良种工程、测土配方工程，规范种植技术，加大病虫害绿色防控，加快现代化进程，提高粮食综合生产能力。到2025年，全县粮食播种面积稳定在0.5万亩。坚持因地制宜，加强技术指导，建设完善农产品基地，壮大优势产业主导性。积极推广绿色、有机哈密瓜生产技术，大力推进集中连片发展。以淖毛湖为主建设3万亩左右晚熟哈密瓜生产基地，优质绿色哈密瓜面积占哈密瓜种植总面积达到80%以上。稳定葡萄林果面积，改造低产低效果园，实现林果提质增效。主要以苇子峡为重点，巩固0.5万亩野山杏生产基地，推进野山杏产品向果脯、果干、果仁、杏油，及药物方向综合发展。对以下马崖、盐池为主要养殖区域的骆驼养殖基地、以吐葫芦和前山为主要养殖区域的牛、羊、驴生产养殖基地进行改造升级。</w:t>
      </w:r>
    </w:p>
    <w:p w14:paraId="283F7DC8">
      <w:pPr>
        <w:pStyle w:val="2"/>
        <w:spacing w:line="560" w:lineRule="exact"/>
        <w:jc w:val="center"/>
        <w:rPr>
          <w:rFonts w:ascii="Times New Roman" w:hAnsi="Times New Roman" w:eastAsia="方正楷体_GBK"/>
          <w:b w:val="0"/>
          <w:bCs w:val="0"/>
          <w:color w:val="000000"/>
          <w:kern w:val="0"/>
          <w:sz w:val="32"/>
        </w:rPr>
      </w:pPr>
      <w:bookmarkStart w:id="52" w:name="_Toc75285102"/>
      <w:r>
        <w:rPr>
          <w:rFonts w:ascii="Times New Roman" w:hAnsi="Times New Roman" w:eastAsia="方正楷体_GBK"/>
          <w:b w:val="0"/>
          <w:bCs w:val="0"/>
          <w:color w:val="000000"/>
          <w:kern w:val="0"/>
          <w:sz w:val="32"/>
        </w:rPr>
        <w:t>第五章  完善农业支持保护制度</w:t>
      </w:r>
      <w:bookmarkEnd w:id="52"/>
    </w:p>
    <w:p w14:paraId="287C7C04">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深化重要农产品收储制度改革，完善农业保险政策体系，建立健全农业应急管理体系。加强农业社会化服务体系建设，构建区域性农业社会化服务综合平台。探索优势特色农产品保险实施以奖代补试点，打通金融服务“三农”节点环节，</w:t>
      </w:r>
      <w:r>
        <w:rPr>
          <w:rFonts w:hint="eastAsia" w:eastAsia="方正仿宋_GBK" w:cs="Times New Roman"/>
          <w:color w:val="000000"/>
          <w:kern w:val="2"/>
          <w:sz w:val="32"/>
          <w:szCs w:val="32"/>
          <w:lang w:val="en-US" w:eastAsia="zh-CN" w:bidi="ar-SA"/>
        </w:rPr>
        <w:t>加大</w:t>
      </w:r>
      <w:r>
        <w:rPr>
          <w:rFonts w:ascii="Times New Roman" w:hAnsi="Times New Roman" w:eastAsia="方正仿宋_GBK" w:cs="Times New Roman"/>
          <w:color w:val="000000"/>
          <w:kern w:val="2"/>
          <w:sz w:val="32"/>
          <w:szCs w:val="32"/>
          <w:lang w:val="en-US" w:eastAsia="zh-CN" w:bidi="ar-SA"/>
        </w:rPr>
        <w:t>普惠性金融涉农支持力度。加快推进国有农用地承包经营权确权登记颁证。推进林地草场确权工作。稳步推进国有农用地承包经营权有序流转，发展适度规模经营。到2025年，打造伊吾适度规模经营示范样板。</w:t>
      </w:r>
    </w:p>
    <w:p w14:paraId="549EE94E">
      <w:pPr>
        <w:pStyle w:val="3"/>
        <w:spacing w:line="560" w:lineRule="exact"/>
        <w:jc w:val="center"/>
        <w:rPr>
          <w:rFonts w:eastAsia="方正黑体_GBK"/>
          <w:b w:val="0"/>
          <w:bCs/>
          <w:color w:val="000000"/>
          <w:sz w:val="36"/>
          <w:szCs w:val="36"/>
        </w:rPr>
      </w:pPr>
      <w:bookmarkStart w:id="53" w:name="_Toc75285103"/>
      <w:r>
        <w:rPr>
          <w:rFonts w:eastAsia="方正黑体_GBK"/>
          <w:b w:val="0"/>
          <w:bCs/>
          <w:color w:val="000000"/>
          <w:sz w:val="36"/>
          <w:szCs w:val="36"/>
        </w:rPr>
        <w:t>第五篇  推动工业强基增效和转型升级 提升新型工业化发展水平</w:t>
      </w:r>
      <w:bookmarkEnd w:id="53"/>
    </w:p>
    <w:p w14:paraId="2072FA16">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坚持把发展经济的着力点放在实体经济上</w:t>
      </w:r>
      <w:r>
        <w:rPr>
          <w:rFonts w:hint="eastAsia" w:eastAsia="方正仿宋_GBK" w:cs="Times New Roman"/>
          <w:color w:val="000000"/>
          <w:kern w:val="2"/>
          <w:sz w:val="32"/>
          <w:szCs w:val="32"/>
          <w:lang w:val="en-US" w:eastAsia="zh-CN" w:bidi="ar-SA"/>
        </w:rPr>
        <w:t>，</w:t>
      </w:r>
      <w:r>
        <w:rPr>
          <w:rFonts w:ascii="Times New Roman" w:hAnsi="Times New Roman" w:eastAsia="方正仿宋_GBK" w:cs="Times New Roman"/>
          <w:color w:val="000000"/>
          <w:kern w:val="2"/>
          <w:sz w:val="32"/>
          <w:szCs w:val="32"/>
          <w:lang w:val="en-US" w:eastAsia="zh-CN" w:bidi="ar-SA"/>
        </w:rPr>
        <w:t>深化供给侧结构性改革，推动工业强基增效和转型升级，全面提升新型工业化发展水平。</w:t>
      </w:r>
    </w:p>
    <w:p w14:paraId="748660E9">
      <w:pPr>
        <w:pStyle w:val="2"/>
        <w:spacing w:line="560" w:lineRule="exact"/>
        <w:jc w:val="center"/>
        <w:rPr>
          <w:rFonts w:ascii="Times New Roman" w:hAnsi="Times New Roman" w:eastAsia="方正楷体_GBK"/>
          <w:b w:val="0"/>
          <w:bCs w:val="0"/>
          <w:color w:val="000000"/>
          <w:kern w:val="0"/>
          <w:sz w:val="32"/>
        </w:rPr>
      </w:pPr>
      <w:bookmarkStart w:id="54" w:name="_Toc75285104"/>
      <w:r>
        <w:rPr>
          <w:rFonts w:ascii="Times New Roman" w:hAnsi="Times New Roman" w:eastAsia="方正楷体_GBK"/>
          <w:b w:val="0"/>
          <w:bCs w:val="0"/>
          <w:color w:val="000000"/>
          <w:kern w:val="0"/>
          <w:sz w:val="32"/>
        </w:rPr>
        <w:t>第一章  推动工业转型升级</w:t>
      </w:r>
      <w:bookmarkEnd w:id="54"/>
    </w:p>
    <w:p w14:paraId="783BFC1D">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紧紧围绕建设哈密现代能源与化工产业示范地区、疆电外送中心，积极实施“工业强县”战略。推进现代煤化工、精细化工、农副产品深加工等重点领域产业技术改造升级。促进工业化和信息化深度融合，推动工业强基和提质升级，构建具有伊吾特色的现代</w:t>
      </w:r>
      <w:r>
        <w:rPr>
          <w:rFonts w:hint="eastAsia" w:eastAsia="方正仿宋_GBK" w:cs="Times New Roman"/>
          <w:color w:val="000000"/>
          <w:kern w:val="2"/>
          <w:sz w:val="32"/>
          <w:szCs w:val="32"/>
          <w:lang w:val="en-US" w:eastAsia="zh-CN" w:bidi="ar-SA"/>
        </w:rPr>
        <w:t>产业</w:t>
      </w:r>
      <w:r>
        <w:rPr>
          <w:rFonts w:ascii="Times New Roman" w:hAnsi="Times New Roman" w:eastAsia="方正仿宋_GBK" w:cs="Times New Roman"/>
          <w:color w:val="000000"/>
          <w:kern w:val="2"/>
          <w:sz w:val="32"/>
          <w:szCs w:val="32"/>
          <w:lang w:val="en-US" w:eastAsia="zh-CN" w:bidi="ar-SA"/>
        </w:rPr>
        <w:t>体系。</w:t>
      </w:r>
    </w:p>
    <w:p w14:paraId="57FB1A5D">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以煤制超洁净油品为重点，促进煤基合成油规模化生产；以煤炭分级分质利用为重点，拓展煤焦油深加工产品、焦化苯延伸产品等精细化工产品以及焦炉煤气延伸产品，促进煤、电、化联产，建立多层次能源输出体系，促进煤炭产业由粗放能源向洁净高效能源方向发展，打造煤炭清洁高效利用和综合能源开发创新示范区。加快推进《淖毛湖矿区总体规划（修编）》审批工作，力争“十四五”期间将煤炭产能由1100万吨增加至4500万吨-6000万吨，科学有序扩大煤炭产能释放。积极谋划一批能源先导工程项目，全力争取“疆电外送”第三通道配套电源项目，推动淖毛湖750千伏输变电工程建设，开展风电平价上网项目研究和建设。力争“十四五”期间建成320万千瓦风电、80万千瓦的光伏，储能40万千瓦，成为哈密千万千瓦级光伏发电基地、千万千瓦级风电基地的重要组成部分。</w:t>
      </w:r>
    </w:p>
    <w:p w14:paraId="080BAC73">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进一步延伸煤化工产业链，推进大型煤炭基地建设，加强煤炭资源勘探，构筑安全、高效的煤炭生产体系。提升煤炭行业开采水平，梯级开发煤炭资源。建立多层次能源输出体系，促进煤炭产业由粗放能源向洁净高效能源方向发展。以煤制化学品为重点，拓展煤焦油深加工产品、焦化苯延伸产品等精细化工产品以及焦炉煤气延伸</w:t>
      </w:r>
      <w:r>
        <w:rPr>
          <w:rFonts w:hint="eastAsia" w:eastAsia="方正仿宋_GBK" w:cs="Times New Roman"/>
          <w:color w:val="000000"/>
          <w:kern w:val="2"/>
          <w:sz w:val="32"/>
          <w:szCs w:val="32"/>
          <w:lang w:val="en-US" w:eastAsia="zh-CN" w:bidi="ar-SA"/>
        </w:rPr>
        <w:t>产品</w:t>
      </w:r>
      <w:r>
        <w:rPr>
          <w:rFonts w:ascii="Times New Roman" w:hAnsi="Times New Roman" w:eastAsia="方正仿宋_GBK" w:cs="Times New Roman"/>
          <w:color w:val="000000"/>
          <w:kern w:val="2"/>
          <w:sz w:val="32"/>
          <w:szCs w:val="32"/>
          <w:lang w:val="en-US" w:eastAsia="zh-CN" w:bidi="ar-SA"/>
        </w:rPr>
        <w:t>等。</w:t>
      </w:r>
    </w:p>
    <w:p w14:paraId="4F31886F">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打造黑色及有色金属采选加工业基地。依托优势资源和骨干企业，按照“扩大规模，延伸加工，提质增效”的思路，延伸黑色及有色金属深加工产业链条。</w:t>
      </w:r>
    </w:p>
    <w:p w14:paraId="55046305">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充分发挥特色农产品资源优势和龙头企业带动作用，提升晚熟哈密瓜、牛羊肉、沙棘、野山杏等特色农畜产品加工技术水平，大力发展途阔牌羊肉、哈密瓜酒、野山杏饮料、驴奶、驼奶、沙棘汁等特色农副产品，促进以特色农产品为主要原料的食品工业发展，打造绿色食品加工基地。加快绿色、无公害、有机食品和名优农产品的商标品牌建设，积极培育地理标志、驰名商标，打造自治区绿色农产品生产加工基地。</w:t>
      </w:r>
    </w:p>
    <w:p w14:paraId="209FE965">
      <w:pPr>
        <w:pStyle w:val="2"/>
        <w:spacing w:line="560" w:lineRule="exact"/>
        <w:jc w:val="center"/>
        <w:rPr>
          <w:rFonts w:ascii="Times New Roman" w:hAnsi="Times New Roman" w:eastAsia="方正楷体_GBK"/>
          <w:b w:val="0"/>
          <w:bCs w:val="0"/>
          <w:color w:val="000000"/>
          <w:kern w:val="0"/>
          <w:sz w:val="32"/>
        </w:rPr>
      </w:pPr>
      <w:bookmarkStart w:id="55" w:name="_Toc14036"/>
      <w:bookmarkStart w:id="56" w:name="_Toc75285105"/>
      <w:bookmarkStart w:id="57" w:name="_Toc6926"/>
      <w:bookmarkStart w:id="58" w:name="_Toc17768"/>
      <w:r>
        <w:rPr>
          <w:rFonts w:ascii="Times New Roman" w:hAnsi="Times New Roman" w:eastAsia="方正楷体_GBK"/>
          <w:b w:val="0"/>
          <w:bCs w:val="0"/>
          <w:color w:val="000000"/>
          <w:kern w:val="0"/>
          <w:sz w:val="32"/>
        </w:rPr>
        <w:t>第二章  积极打造战略性新兴产业</w:t>
      </w:r>
      <w:bookmarkEnd w:id="55"/>
      <w:r>
        <w:rPr>
          <w:rFonts w:ascii="Times New Roman" w:hAnsi="Times New Roman" w:eastAsia="方正楷体_GBK"/>
          <w:b w:val="0"/>
          <w:bCs w:val="0"/>
          <w:color w:val="000000"/>
          <w:kern w:val="0"/>
          <w:sz w:val="32"/>
        </w:rPr>
        <w:t>龙头企业</w:t>
      </w:r>
      <w:bookmarkEnd w:id="56"/>
      <w:bookmarkEnd w:id="57"/>
      <w:bookmarkEnd w:id="58"/>
    </w:p>
    <w:p w14:paraId="3E055380">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依托伊吾工业园区，培育发展新材料、装备制造业等新兴产业，发掘工业新的经济增长点，完善工业产业体系。重点建设新能源、节能环保等产业，努力打造3-5家战略性新兴产业龙头企业。到2025年，战略性新兴产业增加值占全县地区生产总值的比重达到30%以上。</w:t>
      </w:r>
    </w:p>
    <w:p w14:paraId="1AA9ED8E">
      <w:pPr>
        <w:spacing w:line="580" w:lineRule="exact"/>
        <w:ind w:firstLine="643" w:firstLineChars="200"/>
        <w:rPr>
          <w:rFonts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楷体_GBK" w:cs="Times New Roman"/>
          <w:b/>
          <w:bCs/>
          <w:color w:val="000000"/>
          <w:sz w:val="32"/>
          <w:szCs w:val="32"/>
        </w:rPr>
        <w:t>发展壮大新能源产业。</w:t>
      </w:r>
      <w:r>
        <w:rPr>
          <w:rFonts w:ascii="Times New Roman" w:hAnsi="Times New Roman" w:eastAsia="方正仿宋_GBK" w:cs="Times New Roman"/>
          <w:color w:val="000000"/>
          <w:kern w:val="2"/>
          <w:sz w:val="32"/>
          <w:szCs w:val="32"/>
          <w:lang w:val="en-US" w:eastAsia="zh-CN" w:bidi="ar-SA"/>
        </w:rPr>
        <w:t>促进风电优质高效开发利用，推动风电场远程运行维护。有序发展分布式光伏发电，完善光伏装备产业链。推动多种新能源综合利用。推进国家“风光水火储一体化”、“源网荷储一体化”基地建设。</w:t>
      </w:r>
    </w:p>
    <w:p w14:paraId="4BEF64D4">
      <w:pPr>
        <w:spacing w:line="580" w:lineRule="exact"/>
        <w:ind w:firstLine="643" w:firstLineChars="200"/>
        <w:rPr>
          <w:rFonts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楷体_GBK" w:cs="Times New Roman"/>
          <w:b/>
          <w:bCs/>
          <w:color w:val="000000"/>
          <w:sz w:val="32"/>
          <w:szCs w:val="32"/>
        </w:rPr>
        <w:t>加快发展新材料产业。</w:t>
      </w:r>
      <w:r>
        <w:rPr>
          <w:rFonts w:ascii="Times New Roman" w:hAnsi="Times New Roman" w:eastAsia="方正仿宋_GBK" w:cs="Times New Roman"/>
          <w:color w:val="000000"/>
          <w:kern w:val="2"/>
          <w:sz w:val="32"/>
          <w:szCs w:val="32"/>
          <w:lang w:val="en-US" w:eastAsia="zh-CN" w:bidi="ar-SA"/>
        </w:rPr>
        <w:t>积极发展化工等新材料以及金、铁等金属新材料和前沿新材料。遵循原料多元化、结构高端化、布局集约化、节能环保生态化的发展路径，推进循环经济发展、加快提升新材料产业集群和产业协同效应。</w:t>
      </w:r>
    </w:p>
    <w:p w14:paraId="61AE4CE2">
      <w:pPr>
        <w:pStyle w:val="2"/>
        <w:spacing w:line="560" w:lineRule="exact"/>
        <w:jc w:val="center"/>
        <w:rPr>
          <w:rFonts w:ascii="Times New Roman" w:hAnsi="Times New Roman" w:eastAsia="方正楷体_GBK"/>
          <w:b w:val="0"/>
          <w:bCs w:val="0"/>
          <w:color w:val="000000"/>
          <w:kern w:val="0"/>
          <w:sz w:val="32"/>
        </w:rPr>
      </w:pPr>
      <w:bookmarkStart w:id="59" w:name="_Toc12419"/>
      <w:bookmarkStart w:id="60" w:name="_Toc4578"/>
      <w:bookmarkStart w:id="61" w:name="_Toc789"/>
      <w:bookmarkStart w:id="62" w:name="_Toc75285106"/>
      <w:bookmarkStart w:id="63" w:name="_Toc26918"/>
      <w:r>
        <w:rPr>
          <w:rFonts w:ascii="Times New Roman" w:hAnsi="Times New Roman" w:eastAsia="方正楷体_GBK"/>
          <w:b w:val="0"/>
          <w:bCs w:val="0"/>
          <w:color w:val="000000"/>
          <w:kern w:val="0"/>
          <w:sz w:val="32"/>
        </w:rPr>
        <w:t>第三章  着力提升园区产业集聚效益</w:t>
      </w:r>
      <w:bookmarkEnd w:id="59"/>
      <w:bookmarkEnd w:id="60"/>
      <w:bookmarkEnd w:id="61"/>
      <w:bookmarkEnd w:id="62"/>
      <w:bookmarkEnd w:id="63"/>
    </w:p>
    <w:p w14:paraId="05EECE38">
      <w:pPr>
        <w:spacing w:line="580"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按照“工业园区化、园区产业化、产业集群化”的思路和“一园三区”发展格局，遵循“低碳化、循环化、清洁化、景观化”要求，</w:t>
      </w:r>
      <w:r>
        <w:rPr>
          <w:rFonts w:ascii="Times New Roman" w:hAnsi="Times New Roman" w:eastAsia="方正仿宋_GBK" w:cs="Times New Roman"/>
          <w:color w:val="000000"/>
          <w:kern w:val="2"/>
          <w:sz w:val="32"/>
          <w:szCs w:val="32"/>
          <w:highlight w:val="none"/>
          <w:lang w:val="en-US" w:eastAsia="zh-CN" w:bidi="ar-SA"/>
        </w:rPr>
        <w:t>统筹推进园区差异化发展。工业园区加强基础设施配套建设及环保安监</w:t>
      </w:r>
      <w:r>
        <w:rPr>
          <w:rFonts w:hint="eastAsia" w:ascii="Times New Roman" w:hAnsi="Times New Roman" w:eastAsia="方正仿宋_GBK" w:cs="Times New Roman"/>
          <w:color w:val="000000"/>
          <w:kern w:val="2"/>
          <w:sz w:val="32"/>
          <w:szCs w:val="32"/>
          <w:highlight w:val="none"/>
          <w:lang w:val="en-US" w:eastAsia="zh-CN" w:bidi="ar-SA"/>
        </w:rPr>
        <w:t>管理服务</w:t>
      </w:r>
      <w:r>
        <w:rPr>
          <w:rFonts w:ascii="Times New Roman" w:hAnsi="Times New Roman" w:eastAsia="方正仿宋_GBK" w:cs="Times New Roman"/>
          <w:color w:val="000000"/>
          <w:kern w:val="2"/>
          <w:sz w:val="32"/>
          <w:szCs w:val="32"/>
          <w:highlight w:val="none"/>
          <w:lang w:val="en-US" w:eastAsia="zh-CN" w:bidi="ar-SA"/>
        </w:rPr>
        <w:t>力度</w:t>
      </w:r>
      <w:r>
        <w:rPr>
          <w:rFonts w:ascii="Times New Roman" w:hAnsi="Times New Roman" w:eastAsia="方正仿宋_GBK" w:cs="Times New Roman"/>
          <w:color w:val="000000"/>
          <w:kern w:val="2"/>
          <w:sz w:val="32"/>
          <w:szCs w:val="32"/>
          <w:lang w:val="en-US" w:eastAsia="zh-CN" w:bidi="ar-SA"/>
        </w:rPr>
        <w:t>；盐池特色农产品产业区实现产城融合，产业链式发展，打造精品，着力推进产业规模化、集群化、组团式发展。</w:t>
      </w:r>
    </w:p>
    <w:p w14:paraId="5CA215A5">
      <w:pPr>
        <w:spacing w:line="580"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实施园区产业转型升级计划，鼓励龙头企业与中小企业协同创新，形成“龙头企业+孵化”的共生共赢生态产业链和大中小企业融通载体。鼓励园区跨区域的协同创新，组建跨园区多行业联合的产业集群创新联盟，打造高质量发展的新引擎。优化园区营商环境，深化园区体制机制改革，加大简政放权力度，激发园区内在动力和发展活力。鼓励引导金融机构入驻园区，为园区发展提供金融服务保障。支持园区复制推广自由贸易试验区、自主创新示范区经验，推行园区制度创新、模式创新、管理创新、服务创新，推动产业集聚、要素集约、企业集中，打造建设现代化经济体系的引领高地。</w:t>
      </w:r>
    </w:p>
    <w:p w14:paraId="42640A97">
      <w:pPr>
        <w:pStyle w:val="15"/>
        <w:spacing w:after="0" w:line="580" w:lineRule="exact"/>
        <w:ind w:left="0" w:leftChars="0" w:firstLine="643"/>
        <w:rPr>
          <w:lang w:val="en-US" w:bidi="ar-SA"/>
        </w:rPr>
      </w:pPr>
      <w:r>
        <w:rPr>
          <w:rFonts w:ascii="Times New Roman" w:hAnsi="Times New Roman" w:eastAsia="方正仿宋_GBK" w:cs="Times New Roman"/>
          <w:b/>
          <w:bCs/>
          <w:color w:val="000000"/>
          <w:kern w:val="2"/>
          <w:sz w:val="32"/>
          <w:szCs w:val="32"/>
          <w:lang w:val="en-US" w:eastAsia="zh-CN" w:bidi="ar-SA"/>
        </w:rPr>
        <w:t>淖毛湖煤化工循环经济产业园</w:t>
      </w:r>
      <w:r>
        <w:rPr>
          <w:rFonts w:ascii="Times New Roman" w:hAnsi="Times New Roman" w:eastAsia="方正仿宋_GBK" w:cs="Times New Roman"/>
          <w:color w:val="000000"/>
          <w:kern w:val="2"/>
          <w:sz w:val="32"/>
          <w:szCs w:val="32"/>
          <w:lang w:val="en-US" w:eastAsia="zh-CN" w:bidi="ar-SA"/>
        </w:rPr>
        <w:t>以煤炭为基础，重点发展以煤炭分级分质综合利用、煤基清洁燃料、煤基精细化学品为主导的国家级现代煤化工产业示范园区；建设国家级千万吨级煤制清洁燃料煤化工区；实现“资源—产品—再生资源”的闭路循环和资源梯次利用的国家级生态工业示范园区。在发展现代煤化工的同时，研究碳捕集、封存应用推广，研究构建二氧化碳加氢直接制取高碳烃燃料和化学品产业。</w:t>
      </w:r>
      <w:r>
        <w:rPr>
          <w:rFonts w:ascii="Times New Roman" w:hAnsi="Times New Roman" w:eastAsia="方正仿宋_GBK" w:cs="Times New Roman"/>
          <w:b/>
          <w:bCs/>
          <w:color w:val="000000"/>
          <w:kern w:val="2"/>
          <w:sz w:val="32"/>
          <w:szCs w:val="32"/>
          <w:lang w:val="en-US" w:eastAsia="zh-CN" w:bidi="ar-SA"/>
        </w:rPr>
        <w:t>白石湖煤炭高效综合利用产业园</w:t>
      </w:r>
      <w:r>
        <w:rPr>
          <w:rFonts w:ascii="Times New Roman" w:hAnsi="Times New Roman" w:eastAsia="方正仿宋_GBK" w:cs="Times New Roman"/>
          <w:color w:val="000000"/>
          <w:kern w:val="2"/>
          <w:sz w:val="32"/>
          <w:szCs w:val="32"/>
          <w:lang w:val="en-US" w:eastAsia="zh-CN" w:bidi="ar-SA"/>
        </w:rPr>
        <w:t>以煤炭为基础，重点发展以煤炭分级分质综合利用、煤基清洁燃料、煤基精细化学品为主导的国家级现代煤化工产业示范园区；打造国家级千万吨级煤制清洁燃料煤化工区；实现“资源—产品—再生资源”的闭路循环和资源梯次利用的国家级生态工业示范园区。伊吾工业园区新兴产业园以装备制造业、节能环保、新材料、新能源、智能终端、大数据等为主的新兴产业聚集区。</w:t>
      </w:r>
      <w:r>
        <w:rPr>
          <w:rFonts w:ascii="Times New Roman" w:hAnsi="Times New Roman" w:eastAsia="方正仿宋_GBK" w:cs="Times New Roman"/>
          <w:b/>
          <w:bCs/>
          <w:color w:val="000000"/>
          <w:kern w:val="2"/>
          <w:sz w:val="32"/>
          <w:szCs w:val="32"/>
          <w:lang w:val="en-US" w:eastAsia="zh-CN" w:bidi="ar-SA"/>
        </w:rPr>
        <w:t>盐池特色农产品产业园</w:t>
      </w:r>
      <w:r>
        <w:rPr>
          <w:rFonts w:ascii="Times New Roman" w:hAnsi="Times New Roman" w:eastAsia="方正仿宋_GBK" w:cs="Times New Roman"/>
          <w:color w:val="000000"/>
          <w:kern w:val="2"/>
          <w:sz w:val="32"/>
          <w:szCs w:val="32"/>
          <w:lang w:val="en-US" w:eastAsia="zh-CN" w:bidi="ar-SA"/>
        </w:rPr>
        <w:t>以农牧产品加工为特色的“一带一路”核心区特色农牧产品加工基地。</w:t>
      </w:r>
    </w:p>
    <w:p w14:paraId="25FC170D">
      <w:pPr>
        <w:pStyle w:val="2"/>
        <w:spacing w:line="560" w:lineRule="exact"/>
        <w:jc w:val="center"/>
        <w:rPr>
          <w:rFonts w:ascii="Times New Roman" w:hAnsi="Times New Roman" w:eastAsia="方正楷体_GBK"/>
          <w:b w:val="0"/>
          <w:bCs w:val="0"/>
          <w:color w:val="000000"/>
          <w:kern w:val="0"/>
          <w:sz w:val="32"/>
        </w:rPr>
      </w:pPr>
      <w:bookmarkStart w:id="64" w:name="_Toc75285107"/>
      <w:r>
        <w:rPr>
          <w:rFonts w:ascii="Times New Roman" w:hAnsi="Times New Roman" w:eastAsia="方正楷体_GBK"/>
          <w:b w:val="0"/>
          <w:bCs w:val="0"/>
          <w:color w:val="000000"/>
          <w:kern w:val="0"/>
          <w:sz w:val="32"/>
        </w:rPr>
        <w:t>第四章  推动产业链供应链优化升级</w:t>
      </w:r>
      <w:bookmarkEnd w:id="64"/>
    </w:p>
    <w:p w14:paraId="4D53DCD9">
      <w:pPr>
        <w:pStyle w:val="15"/>
        <w:spacing w:after="0" w:line="580" w:lineRule="exact"/>
        <w:ind w:left="0" w:leftChars="0" w:firstLine="640"/>
        <w:rPr>
          <w:rFonts w:ascii="Times New Roman" w:hAnsi="Times New Roman" w:eastAsia="方正仿宋_GBK" w:cs="Times New Roman"/>
          <w:color w:val="000000"/>
          <w:kern w:val="2"/>
          <w:sz w:val="32"/>
          <w:szCs w:val="32"/>
          <w:lang w:val="en-US" w:eastAsia="zh-CN" w:bidi="ar-SA"/>
        </w:rPr>
      </w:pPr>
      <w:bookmarkStart w:id="65" w:name="_Toc2284"/>
      <w:r>
        <w:rPr>
          <w:rFonts w:ascii="Times New Roman" w:hAnsi="Times New Roman" w:eastAsia="方正仿宋_GBK" w:cs="Times New Roman"/>
          <w:color w:val="000000"/>
          <w:kern w:val="2"/>
          <w:sz w:val="32"/>
          <w:szCs w:val="32"/>
          <w:lang w:val="en-US" w:eastAsia="zh-CN" w:bidi="ar-SA"/>
        </w:rPr>
        <w:t>立足现有产业规模和优势，以延链、补链、建链、强链为主攻方向，推动补短板和锻长板相结合，培育一批产业链核心企业，打造具有更强创新力、更高附加值、更安全可靠的现代化产业链。实施产业基础再造工程，健全完善协同攻关体制机制，加大基础研究力度，强化科技成果转化应用，稳步提高制造业比重，集中力量突破和推广应用一批核心基础零部件、关键基础材料、先进基础工艺、产业技术基础，发展先进适用技术，推动产业链供应链多元化。开展质量标准提升行动，推进高水平一体化检验检测体系建设，完善标准、计量、认证、信息服务等基础服务体系，支持行业龙头企业牵头和参与国际国内标准制定修订。</w:t>
      </w:r>
      <w:bookmarkEnd w:id="65"/>
    </w:p>
    <w:p w14:paraId="67E8A877">
      <w:pPr>
        <w:pStyle w:val="6"/>
      </w:pPr>
    </w:p>
    <w:p w14:paraId="6C1BFCFD">
      <w:pPr>
        <w:pStyle w:val="3"/>
        <w:spacing w:line="560" w:lineRule="exact"/>
        <w:jc w:val="center"/>
        <w:rPr>
          <w:rFonts w:eastAsia="方正黑体_GBK"/>
          <w:b w:val="0"/>
          <w:bCs/>
          <w:color w:val="000000"/>
          <w:sz w:val="36"/>
          <w:szCs w:val="36"/>
        </w:rPr>
      </w:pPr>
      <w:r>
        <w:rPr>
          <w:rFonts w:hint="eastAsia" w:eastAsia="方正黑体_GBK"/>
          <w:b w:val="0"/>
          <w:bCs/>
          <w:color w:val="000000"/>
          <w:sz w:val="36"/>
          <w:szCs w:val="36"/>
        </w:rPr>
        <w:t xml:space="preserve"> </w:t>
      </w:r>
      <w:bookmarkStart w:id="66" w:name="_Toc75285108"/>
      <w:r>
        <w:rPr>
          <w:rFonts w:hint="eastAsia" w:eastAsia="方正黑体_GBK"/>
          <w:b w:val="0"/>
          <w:bCs/>
          <w:color w:val="000000"/>
          <w:sz w:val="36"/>
          <w:szCs w:val="36"/>
        </w:rPr>
        <w:t xml:space="preserve">第六篇 </w:t>
      </w:r>
      <w:r>
        <w:rPr>
          <w:rFonts w:eastAsia="方正黑体_GBK"/>
          <w:b w:val="0"/>
          <w:bCs/>
          <w:color w:val="000000"/>
          <w:sz w:val="36"/>
          <w:szCs w:val="36"/>
        </w:rPr>
        <w:t>实施旅游兴疆战略 大力发展现代服务业</w:t>
      </w:r>
      <w:bookmarkEnd w:id="66"/>
    </w:p>
    <w:p w14:paraId="2B716724">
      <w:pPr>
        <w:pStyle w:val="5"/>
        <w:ind w:left="0" w:firstLine="0" w:firstLineChars="0"/>
        <w:rPr>
          <w:sz w:val="21"/>
          <w:szCs w:val="21"/>
          <w:lang w:val="en-US"/>
        </w:rPr>
      </w:pPr>
    </w:p>
    <w:p w14:paraId="65190B51">
      <w:pPr>
        <w:pStyle w:val="15"/>
        <w:spacing w:after="0" w:line="580" w:lineRule="exact"/>
        <w:ind w:left="0" w:leftChars="0" w:firstLine="64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牢牢把握扩大内需战略基点，加快发展旅游产业，统筹生产性服务业和生活性服务业发展，优化产业结构，扩大服务供给，释放需求潜力，努力构建优质高效、布局优化、竞争力强的服务产业新体系。</w:t>
      </w:r>
    </w:p>
    <w:p w14:paraId="79628529">
      <w:pPr>
        <w:pStyle w:val="2"/>
        <w:spacing w:line="560" w:lineRule="exact"/>
        <w:jc w:val="center"/>
        <w:rPr>
          <w:rFonts w:ascii="Times New Roman" w:hAnsi="Times New Roman" w:eastAsia="方正楷体_GBK"/>
          <w:b w:val="0"/>
          <w:bCs w:val="0"/>
          <w:color w:val="000000"/>
          <w:kern w:val="0"/>
          <w:sz w:val="32"/>
        </w:rPr>
      </w:pPr>
      <w:bookmarkStart w:id="67" w:name="_Toc3848"/>
      <w:bookmarkStart w:id="68" w:name="_Toc31894"/>
      <w:bookmarkStart w:id="69" w:name="_Toc9976"/>
      <w:bookmarkStart w:id="70" w:name="_Toc20479"/>
      <w:bookmarkStart w:id="71" w:name="_Toc75285109"/>
      <w:r>
        <w:rPr>
          <w:rFonts w:ascii="Times New Roman" w:hAnsi="Times New Roman" w:eastAsia="方正楷体_GBK"/>
          <w:b w:val="0"/>
          <w:bCs w:val="0"/>
          <w:color w:val="000000"/>
          <w:kern w:val="0"/>
          <w:sz w:val="32"/>
        </w:rPr>
        <w:t xml:space="preserve">第一章  </w:t>
      </w:r>
      <w:bookmarkEnd w:id="67"/>
      <w:bookmarkEnd w:id="68"/>
      <w:bookmarkEnd w:id="69"/>
      <w:bookmarkEnd w:id="70"/>
      <w:r>
        <w:rPr>
          <w:rFonts w:ascii="Times New Roman" w:hAnsi="Times New Roman" w:eastAsia="方正楷体_GBK"/>
          <w:b w:val="0"/>
          <w:bCs w:val="0"/>
          <w:color w:val="000000"/>
          <w:kern w:val="0"/>
          <w:sz w:val="32"/>
        </w:rPr>
        <w:t>推动旅游业高质量发展</w:t>
      </w:r>
      <w:bookmarkEnd w:id="71"/>
    </w:p>
    <w:p w14:paraId="1194BE2B">
      <w:pPr>
        <w:pStyle w:val="15"/>
        <w:spacing w:after="0" w:line="580" w:lineRule="exact"/>
        <w:ind w:left="0" w:leftChars="0" w:firstLine="64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大力实施旅游兴疆战略，优化旅游产业布局，打造“新疆是个好地方”文旅融合品牌，推动旅游业高质量发展。加快完善旅游服务设施，促进由单一观光旅游业向以休闲、度假、娱乐、体验等为一体的全</w:t>
      </w:r>
      <w:r>
        <w:rPr>
          <w:rFonts w:hint="eastAsia" w:ascii="Times New Roman" w:hAnsi="Times New Roman" w:eastAsia="方正仿宋_GBK" w:cs="Times New Roman"/>
          <w:color w:val="000000"/>
          <w:kern w:val="2"/>
          <w:sz w:val="32"/>
          <w:szCs w:val="32"/>
          <w:lang w:val="en-US" w:eastAsia="zh-CN" w:bidi="ar-SA"/>
        </w:rPr>
        <w:t>时、全季、全域</w:t>
      </w:r>
      <w:r>
        <w:rPr>
          <w:rFonts w:ascii="Times New Roman" w:hAnsi="Times New Roman" w:eastAsia="方正仿宋_GBK" w:cs="Times New Roman"/>
          <w:color w:val="000000"/>
          <w:kern w:val="2"/>
          <w:sz w:val="32"/>
          <w:szCs w:val="32"/>
          <w:lang w:val="en-US" w:eastAsia="zh-CN" w:bidi="ar-SA"/>
        </w:rPr>
        <w:t>旅游业转变。立足进疆“必经之地”区位优势，深入挖掘伊吾特色旅游文化资源，科学规划新疆“迎客厅”。培育旅游新业态，打响“红色伊吾·壮美胡杨”旅游品牌，建成自治区全域旅游示范区、东疆知名生态休闲旅游目的地、新疆红色旅游创新体验地。到2025年，接待国内外游客达到300万人次，年均增长15%以上；旅游收入超过4.5亿元，年均增长15%以上。</w:t>
      </w:r>
    </w:p>
    <w:p w14:paraId="20D95FBE">
      <w:pPr>
        <w:pStyle w:val="4"/>
        <w:spacing w:line="580" w:lineRule="exact"/>
        <w:ind w:left="0" w:firstLine="643" w:firstLineChars="200"/>
        <w:rPr>
          <w:rFonts w:ascii="Times New Roman" w:hAnsi="Times New Roman" w:eastAsia="仿宋_GB2312" w:cs="Times New Roman"/>
          <w:sz w:val="32"/>
          <w:szCs w:val="32"/>
          <w:lang w:val="en-US"/>
        </w:rPr>
      </w:pPr>
      <w:r>
        <w:rPr>
          <w:rFonts w:ascii="Times New Roman" w:hAnsi="Times New Roman" w:eastAsia="方正楷体_GBK" w:cs="Times New Roman"/>
          <w:b/>
          <w:bCs/>
          <w:color w:val="000000"/>
          <w:kern w:val="2"/>
          <w:sz w:val="32"/>
          <w:szCs w:val="32"/>
          <w:lang w:val="en-US" w:eastAsia="zh-CN" w:bidi="ar-SA"/>
        </w:rPr>
        <w:t>构建“一核一廊三区”的空间布局。</w:t>
      </w:r>
      <w:r>
        <w:rPr>
          <w:rFonts w:ascii="Times New Roman" w:hAnsi="Times New Roman" w:eastAsia="方正仿宋_GBK" w:cs="Times New Roman"/>
          <w:color w:val="000000"/>
          <w:kern w:val="2"/>
          <w:sz w:val="32"/>
          <w:szCs w:val="32"/>
          <w:lang w:val="en-US" w:eastAsia="zh-CN" w:bidi="ar-SA"/>
        </w:rPr>
        <w:t>依托伊吾“四十天保卫战”历史事件，集缅怀革命先烈，爱国主义教育、革命精神传承等功能于一体，实施多元化的红色旅游互动体验项目，建成</w:t>
      </w:r>
      <w:r>
        <w:rPr>
          <w:rFonts w:ascii="Times New Roman" w:hAnsi="Times New Roman" w:eastAsia="方正仿宋_GBK" w:cs="Times New Roman"/>
          <w:b/>
          <w:bCs/>
          <w:color w:val="000000"/>
          <w:kern w:val="2"/>
          <w:sz w:val="32"/>
          <w:szCs w:val="32"/>
          <w:lang w:val="en-US" w:eastAsia="zh-CN" w:bidi="ar-SA"/>
        </w:rPr>
        <w:t>红色旅游示范区</w:t>
      </w:r>
      <w:r>
        <w:rPr>
          <w:rFonts w:ascii="Times New Roman" w:hAnsi="Times New Roman" w:eastAsia="仿宋_GB2312" w:cs="Times New Roman"/>
          <w:sz w:val="32"/>
          <w:szCs w:val="32"/>
          <w:lang w:val="en-US"/>
        </w:rPr>
        <w:t>。</w:t>
      </w:r>
      <w:r>
        <w:rPr>
          <w:rFonts w:ascii="Times New Roman" w:hAnsi="Times New Roman" w:eastAsia="方正仿宋_GBK" w:cs="Times New Roman"/>
          <w:color w:val="000000"/>
          <w:kern w:val="2"/>
          <w:sz w:val="32"/>
          <w:szCs w:val="32"/>
          <w:lang w:val="en-US" w:eastAsia="zh-CN" w:bidi="ar-SA"/>
        </w:rPr>
        <w:t>整合伊吾全域的文化遗址、景观遗产、特色村落等资源，实施自驾游服务点和营地项目，打造包含文化探秘、生态休闲、民俗体验等多功能的主题旅游体验带，建成</w:t>
      </w:r>
      <w:r>
        <w:rPr>
          <w:rFonts w:ascii="Times New Roman" w:hAnsi="Times New Roman" w:eastAsia="方正仿宋_GBK" w:cs="Times New Roman"/>
          <w:b/>
          <w:bCs/>
          <w:color w:val="000000"/>
          <w:kern w:val="2"/>
          <w:sz w:val="32"/>
          <w:szCs w:val="32"/>
          <w:lang w:val="en-US" w:eastAsia="zh-CN" w:bidi="ar-SA"/>
        </w:rPr>
        <w:t>丝路文化旅游北廊道（伊吾段）</w:t>
      </w:r>
      <w:r>
        <w:rPr>
          <w:rFonts w:ascii="Times New Roman" w:hAnsi="Times New Roman" w:eastAsia="仿宋_GB2312" w:cs="Times New Roman"/>
          <w:sz w:val="32"/>
          <w:szCs w:val="32"/>
          <w:lang w:val="en-US"/>
        </w:rPr>
        <w:t>。</w:t>
      </w:r>
      <w:r>
        <w:rPr>
          <w:rFonts w:ascii="Times New Roman" w:hAnsi="Times New Roman" w:eastAsia="方正仿宋_GBK" w:cs="Times New Roman"/>
          <w:color w:val="000000"/>
          <w:kern w:val="2"/>
          <w:sz w:val="32"/>
          <w:szCs w:val="32"/>
          <w:lang w:val="en-US" w:eastAsia="zh-CN" w:bidi="ar-SA"/>
        </w:rPr>
        <w:t>实施避暑休闲、田园休闲、胡杨观光、运动健身、主题摄影、民俗体验等“旅游+”融合项目，整合伊吾镇、吐葫芦乡、苇子峡乡特色旅游资源，建成</w:t>
      </w:r>
      <w:r>
        <w:rPr>
          <w:rFonts w:ascii="Times New Roman" w:hAnsi="Times New Roman" w:eastAsia="方正仿宋_GBK" w:cs="Times New Roman"/>
          <w:b/>
          <w:bCs/>
          <w:color w:val="000000"/>
          <w:kern w:val="2"/>
          <w:sz w:val="32"/>
          <w:szCs w:val="32"/>
          <w:lang w:val="en-US" w:eastAsia="zh-CN" w:bidi="ar-SA"/>
        </w:rPr>
        <w:t>伊吾河谷生态休闲区</w:t>
      </w:r>
      <w:r>
        <w:rPr>
          <w:rFonts w:ascii="Times New Roman" w:hAnsi="Times New Roman" w:eastAsia="仿宋_GB2312" w:cs="Times New Roman"/>
          <w:sz w:val="32"/>
          <w:szCs w:val="32"/>
          <w:lang w:val="en-US"/>
        </w:rPr>
        <w:t>；</w:t>
      </w:r>
      <w:r>
        <w:rPr>
          <w:rFonts w:ascii="Times New Roman" w:hAnsi="Times New Roman" w:eastAsia="方正仿宋_GBK" w:cs="Times New Roman"/>
          <w:color w:val="000000"/>
          <w:kern w:val="2"/>
          <w:sz w:val="32"/>
          <w:szCs w:val="32"/>
          <w:lang w:val="en-US" w:eastAsia="zh-CN" w:bidi="ar-SA"/>
        </w:rPr>
        <w:t>依托前山乡、盐池镇草场资源，融入哈萨克族和维吾尔族风情元素，构建集草原休闲、文化体验、户外探险、特色美食体验等功能于一体的</w:t>
      </w:r>
      <w:r>
        <w:rPr>
          <w:rFonts w:ascii="Times New Roman" w:hAnsi="Times New Roman" w:eastAsia="方正仿宋_GBK" w:cs="Times New Roman"/>
          <w:b/>
          <w:bCs/>
          <w:color w:val="000000"/>
          <w:kern w:val="2"/>
          <w:sz w:val="32"/>
          <w:szCs w:val="32"/>
          <w:lang w:val="en-US" w:eastAsia="zh-CN" w:bidi="ar-SA"/>
        </w:rPr>
        <w:t>草原风情游憩</w:t>
      </w:r>
      <w:r>
        <w:rPr>
          <w:rFonts w:ascii="Times New Roman" w:hAnsi="Times New Roman" w:eastAsia="仿宋_GB2312" w:cs="Times New Roman"/>
          <w:b/>
          <w:bCs/>
          <w:sz w:val="32"/>
          <w:szCs w:val="32"/>
          <w:lang w:val="en-US"/>
        </w:rPr>
        <w:t>区</w:t>
      </w:r>
      <w:r>
        <w:rPr>
          <w:rFonts w:ascii="Times New Roman" w:hAnsi="Times New Roman" w:eastAsia="仿宋_GB2312" w:cs="Times New Roman"/>
          <w:sz w:val="32"/>
          <w:szCs w:val="32"/>
          <w:lang w:val="en-US"/>
        </w:rPr>
        <w:t>；</w:t>
      </w:r>
      <w:r>
        <w:rPr>
          <w:rFonts w:ascii="Times New Roman" w:hAnsi="Times New Roman" w:eastAsia="方正仿宋_GBK" w:cs="Times New Roman"/>
          <w:color w:val="000000"/>
          <w:kern w:val="2"/>
          <w:sz w:val="32"/>
          <w:szCs w:val="32"/>
          <w:lang w:val="en-US" w:eastAsia="zh-CN" w:bidi="ar-SA"/>
        </w:rPr>
        <w:t>整合伊吾万年原始胡杨林、戈壁雅丹、晚熟哈密瓜等优质资源，建设集胡杨观光、田园休闲、民俗体验等功能于一体的</w:t>
      </w:r>
      <w:r>
        <w:rPr>
          <w:rFonts w:ascii="Times New Roman" w:hAnsi="Times New Roman" w:eastAsia="方正仿宋_GBK" w:cs="Times New Roman"/>
          <w:b/>
          <w:bCs/>
          <w:color w:val="000000"/>
          <w:kern w:val="2"/>
          <w:sz w:val="32"/>
          <w:szCs w:val="32"/>
          <w:lang w:val="en-US" w:eastAsia="zh-CN" w:bidi="ar-SA"/>
        </w:rPr>
        <w:t>荒漠胡杨观光区</w:t>
      </w:r>
      <w:r>
        <w:rPr>
          <w:rFonts w:ascii="Times New Roman" w:hAnsi="Times New Roman" w:eastAsia="仿宋_GB2312" w:cs="Times New Roman"/>
          <w:sz w:val="32"/>
          <w:szCs w:val="32"/>
          <w:lang w:val="en-US"/>
        </w:rPr>
        <w:t>。</w:t>
      </w:r>
    </w:p>
    <w:p w14:paraId="4045696A">
      <w:pPr>
        <w:spacing w:line="580" w:lineRule="exact"/>
        <w:ind w:firstLine="643"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楷体_GBK"/>
          <w:b/>
          <w:bCs/>
          <w:color w:val="000000"/>
          <w:sz w:val="32"/>
          <w:szCs w:val="32"/>
        </w:rPr>
        <w:t>提升旅游承载能力。</w:t>
      </w:r>
      <w:r>
        <w:rPr>
          <w:rFonts w:ascii="Times New Roman" w:hAnsi="Times New Roman" w:eastAsia="方正仿宋_GBK" w:cs="Times New Roman"/>
          <w:color w:val="000000"/>
          <w:kern w:val="2"/>
          <w:sz w:val="32"/>
          <w:szCs w:val="32"/>
          <w:lang w:val="en-US" w:eastAsia="zh-CN" w:bidi="ar-SA"/>
        </w:rPr>
        <w:t>积极引进生态、自驾、康养等旅游相关企业，吸收社会资本投资经营伊吾旅游文化产业。完善县域内“食、住、行、游、购、娱、学、养”等旅游配套设施，增加旅游集散功能，建设伊吾旅游集散中心大平台。实施伊吾胡杨林生态园景区、伊水园红色景区等景区提升工程，力争将伊吾胡杨林打造成国家5A级景区、伊水园城市景观带建设成为4A级景区。推进红色旅游、苇子峡乡村旅游、伊水园红色景区提升、伊吾河生态修复项目等旅游项目建设，打造湿地花海景区，加快胡杨林和幻彩湖自驾车营地招商，完善旅游景区基础设施和公共服务功能。实施“旅游+互联网”工程，完善旅游信息共享机制，构建一云多屏全媒体旅游信息服务平台、旅游安全救援平台、旅游交通服务平台、旅游惠民便民服务平台，建立集旅游公共服务、旅游监管、电子商务、社交分享为一体的智慧旅游服务体系。</w:t>
      </w:r>
    </w:p>
    <w:p w14:paraId="3DA623D9">
      <w:pPr>
        <w:spacing w:line="580" w:lineRule="exact"/>
        <w:ind w:firstLine="643"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楷体_GBK"/>
          <w:b/>
          <w:bCs/>
          <w:color w:val="000000"/>
          <w:sz w:val="32"/>
          <w:szCs w:val="32"/>
        </w:rPr>
        <w:t>打造旅游精品线路和产品。</w:t>
      </w:r>
      <w:r>
        <w:rPr>
          <w:rFonts w:ascii="Times New Roman" w:hAnsi="Times New Roman" w:eastAsia="方正仿宋_GBK" w:cs="Times New Roman"/>
          <w:color w:val="000000"/>
          <w:kern w:val="2"/>
          <w:sz w:val="32"/>
          <w:szCs w:val="32"/>
          <w:lang w:val="en-US" w:eastAsia="zh-CN" w:bidi="ar-SA"/>
        </w:rPr>
        <w:t>重点围绕胡杨奇境探秘、红色旅游、生态避暑休闲、特色美食体验打造旅游精品线路和旅游产品。串联胡杨林、苇子峡、幻彩湖、伊水园等景区，打造伊吾直通车产品，形成浪漫之旅、红色之旅、特色研学游等精品线路。积极与巴里坤、伊州区合作，借助哈密市“环东天山旅游联盟”平台，开发三日游、五日游等长线旅游产品。加强与吐鲁番、乌鲁木齐、昌吉等城市合作，共同打造串联哈密东天山、哈密雅丹·大海道、伊吾胡杨林、天山天池、车师古道等景区的新疆环东天山潜力旅游黄金线。开发“春赏花、夏避暑、秋观光、冬游乐”四季旅游产品。积极开发民俗、美食、文化艺术衍生品等特色旅游产品，建设旅游商品购物街，扶持特产名品、旅游商品生产基地建设，打造“伊吾礼物”品牌。采用“线上种草、线下打卡”的方式，开发线上线下有机结合的新型旅游体验产品。</w:t>
      </w:r>
    </w:p>
    <w:p w14:paraId="34B66D53">
      <w:pPr>
        <w:spacing w:line="580" w:lineRule="exact"/>
        <w:ind w:firstLine="643"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楷体_GBK"/>
          <w:b/>
          <w:bCs/>
          <w:color w:val="000000"/>
          <w:sz w:val="32"/>
          <w:szCs w:val="32"/>
        </w:rPr>
        <w:t>强化旅游宣传推介。</w:t>
      </w:r>
      <w:r>
        <w:rPr>
          <w:rFonts w:ascii="Times New Roman" w:hAnsi="Times New Roman" w:eastAsia="方正仿宋_GBK" w:cs="Times New Roman"/>
          <w:color w:val="000000"/>
          <w:kern w:val="2"/>
          <w:sz w:val="32"/>
          <w:szCs w:val="32"/>
          <w:lang w:val="en-US" w:eastAsia="zh-CN" w:bidi="ar-SA"/>
        </w:rPr>
        <w:t>加强与旅行社的合作，做好线路产品的设计、展示和销售。依托研学旅游推广平台，推广胡杨林研学课堂旅游产品，提升伊吾旅游品牌IP影响力。借助新媒体平台，培养伊吾旅游网红达人，强化伊吾旅游宣传。持续开展伊吾红色文化旅游活动周、中国旅游大会、伊吾胡杨节、中国星空摄影节等活动，宣传推介生态旅游、红色旅游、文化旅游等产品，提升伊吾旅游品牌影响力。借助对口援疆省市力量，继续拓展疆外旅游客源市场。推动旅游服务标准化建设，不断提高游客满意度。</w:t>
      </w:r>
    </w:p>
    <w:p w14:paraId="589A614E">
      <w:pPr>
        <w:pStyle w:val="2"/>
        <w:rPr>
          <w:rFonts w:hint="eastAsia"/>
          <w:lang w:val="en-US" w:eastAsia="zh-CN"/>
        </w:rPr>
      </w:pPr>
      <w:r>
        <w:rPr>
          <w:sz w:val="21"/>
        </w:rPr>
        <mc:AlternateContent>
          <mc:Choice Requires="wps">
            <w:drawing>
              <wp:anchor distT="0" distB="0" distL="114300" distR="114300" simplePos="0" relativeHeight="251672576" behindDoc="0" locked="0" layoutInCell="1" allowOverlap="1">
                <wp:simplePos x="0" y="0"/>
                <wp:positionH relativeFrom="column">
                  <wp:posOffset>218440</wp:posOffset>
                </wp:positionH>
                <wp:positionV relativeFrom="paragraph">
                  <wp:posOffset>595630</wp:posOffset>
                </wp:positionV>
                <wp:extent cx="5107940" cy="0"/>
                <wp:effectExtent l="0" t="0" r="0" b="0"/>
                <wp:wrapNone/>
                <wp:docPr id="16" name="直接连接符 16"/>
                <wp:cNvGraphicFramePr/>
                <a:graphic xmlns:a="http://schemas.openxmlformats.org/drawingml/2006/main">
                  <a:graphicData uri="http://schemas.microsoft.com/office/word/2010/wordprocessingShape">
                    <wps:wsp>
                      <wps:cNvCnPr/>
                      <wps:spPr>
                        <a:xfrm>
                          <a:off x="1167765" y="5610860"/>
                          <a:ext cx="510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2pt;margin-top:46.9pt;height:0pt;width:402.2pt;z-index:251672576;mso-width-relative:page;mso-height-relative:page;" filled="f" stroked="t" coordsize="21600,21600" o:gfxdata="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A/ENnVAAAA&#10;CAEAAA8AAAAAAAAAAQAgAAAAIgAAAGRycy9kb3ducmV2LnhtbFBLAQIUABQAAAAIAIdO4kCg+IQ3&#10;5wEAAKgDAAAOAAAAAAAAAAEAIAAAACQBAABkcnMvZTJvRG9jLnhtbFBLBQYAAAAABgAGAFkBAAB9&#10;BQAAAAA=&#10;">
                <v:fill on="f" focussize="0,0"/>
                <v:stroke color="#000000 [3213]" joinstyle="round"/>
                <v:imagedata o:title=""/>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659264" behindDoc="1" locked="0" layoutInCell="1" allowOverlap="1">
                <wp:simplePos x="0" y="0"/>
                <wp:positionH relativeFrom="column">
                  <wp:posOffset>218440</wp:posOffset>
                </wp:positionH>
                <wp:positionV relativeFrom="paragraph">
                  <wp:posOffset>277495</wp:posOffset>
                </wp:positionV>
                <wp:extent cx="5111750" cy="2057400"/>
                <wp:effectExtent l="5080" t="4445" r="7620" b="14605"/>
                <wp:wrapNone/>
                <wp:docPr id="1" name="文本框 4"/>
                <wp:cNvGraphicFramePr/>
                <a:graphic xmlns:a="http://schemas.openxmlformats.org/drawingml/2006/main">
                  <a:graphicData uri="http://schemas.microsoft.com/office/word/2010/wordprocessingShape">
                    <wps:wsp>
                      <wps:cNvSpPr txBox="1"/>
                      <wps:spPr>
                        <a:xfrm>
                          <a:off x="0" y="0"/>
                          <a:ext cx="5111750" cy="20574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EB642DA">
                            <w:pPr>
                              <w:pStyle w:val="5"/>
                              <w:ind w:left="0" w:firstLine="0" w:firstLineChars="0"/>
                              <w:rPr>
                                <w:rFonts w:hint="eastAsia" w:ascii="黑体" w:hAnsi="黑体" w:eastAsia="黑体" w:cs="宋体"/>
                                <w:bCs/>
                                <w:sz w:val="24"/>
                                <w:szCs w:val="24"/>
                                <w:lang w:val="en-US"/>
                              </w:rPr>
                            </w:pPr>
                            <w:r>
                              <w:rPr>
                                <w:rFonts w:hint="eastAsia" w:ascii="黑体" w:hAnsi="黑体" w:eastAsia="黑体" w:cs="宋体"/>
                                <w:bCs/>
                                <w:sz w:val="24"/>
                                <w:szCs w:val="24"/>
                                <w:lang w:val="en-US"/>
                              </w:rPr>
                              <w:t>专栏</w:t>
                            </w:r>
                            <w:r>
                              <w:rPr>
                                <w:rFonts w:hint="default" w:ascii="Times New Roman" w:hAnsi="Times New Roman" w:eastAsia="黑体" w:cs="Times New Roman"/>
                                <w:bCs/>
                                <w:sz w:val="24"/>
                                <w:szCs w:val="24"/>
                                <w:lang w:val="en-US" w:eastAsia="zh-CN"/>
                              </w:rPr>
                              <w:t xml:space="preserve">4  </w:t>
                            </w:r>
                            <w:r>
                              <w:rPr>
                                <w:rFonts w:hint="eastAsia" w:ascii="黑体" w:hAnsi="黑体" w:eastAsia="黑体" w:cs="宋体"/>
                                <w:bCs/>
                                <w:sz w:val="24"/>
                                <w:szCs w:val="24"/>
                                <w:lang w:val="en-US" w:eastAsia="zh-CN"/>
                              </w:rPr>
                              <w:t xml:space="preserve">                </w:t>
                            </w:r>
                            <w:r>
                              <w:rPr>
                                <w:rFonts w:hint="eastAsia" w:ascii="黑体" w:hAnsi="黑体" w:eastAsia="黑体" w:cs="宋体"/>
                                <w:bCs/>
                                <w:sz w:val="24"/>
                                <w:szCs w:val="24"/>
                                <w:lang w:val="en-US"/>
                              </w:rPr>
                              <w:t xml:space="preserve">  旅游重点建设项目</w:t>
                            </w:r>
                          </w:p>
                          <w:p w14:paraId="435320A5">
                            <w:pPr>
                              <w:pStyle w:val="5"/>
                              <w:ind w:left="0" w:firstLine="0" w:firstLineChars="0"/>
                              <w:rPr>
                                <w:rFonts w:hint="eastAsia" w:ascii="黑体" w:hAnsi="黑体" w:eastAsia="黑体" w:cs="宋体"/>
                                <w:bCs/>
                                <w:sz w:val="24"/>
                                <w:szCs w:val="24"/>
                                <w:lang w:val="en-US"/>
                              </w:rPr>
                            </w:pPr>
                          </w:p>
                          <w:p w14:paraId="2D1E4131">
                            <w:pPr>
                              <w:pStyle w:val="5"/>
                              <w:ind w:left="0" w:firstLine="480" w:firstLineChars="200"/>
                              <w:rPr>
                                <w:rFonts w:cs="宋体" w:asciiTheme="minorEastAsia" w:hAnsiTheme="minorEastAsia" w:eastAsiaTheme="minorEastAsia"/>
                                <w:bCs/>
                                <w:sz w:val="24"/>
                                <w:szCs w:val="24"/>
                                <w:lang w:val="en-US"/>
                              </w:rPr>
                            </w:pPr>
                            <w:r>
                              <w:rPr>
                                <w:rFonts w:hint="default" w:ascii="Times New Roman" w:hAnsi="Times New Roman" w:cs="Times New Roman" w:eastAsiaTheme="minorEastAsia"/>
                                <w:bCs/>
                                <w:sz w:val="24"/>
                                <w:szCs w:val="24"/>
                                <w:lang w:val="en-US"/>
                              </w:rPr>
                              <w:t>“</w:t>
                            </w:r>
                            <w:r>
                              <w:rPr>
                                <w:rFonts w:hint="eastAsia" w:cs="宋体" w:asciiTheme="minorEastAsia" w:hAnsiTheme="minorEastAsia" w:eastAsiaTheme="minorEastAsia"/>
                                <w:bCs/>
                                <w:sz w:val="24"/>
                                <w:szCs w:val="24"/>
                                <w:lang w:val="en-US"/>
                              </w:rPr>
                              <w:t>新疆迎客厅</w:t>
                            </w:r>
                            <w:r>
                              <w:rPr>
                                <w:rFonts w:hint="default" w:ascii="Times New Roman" w:hAnsi="Times New Roman" w:cs="Times New Roman" w:eastAsiaTheme="minorEastAsia"/>
                                <w:bCs/>
                                <w:sz w:val="24"/>
                                <w:szCs w:val="24"/>
                                <w:lang w:val="en-US"/>
                              </w:rPr>
                              <w:t>”</w:t>
                            </w:r>
                            <w:r>
                              <w:rPr>
                                <w:rFonts w:hint="eastAsia" w:cs="宋体" w:asciiTheme="minorEastAsia" w:hAnsiTheme="minorEastAsia" w:eastAsiaTheme="minorEastAsia"/>
                                <w:bCs/>
                                <w:sz w:val="24"/>
                                <w:szCs w:val="24"/>
                                <w:lang w:val="en-US"/>
                              </w:rPr>
                              <w:t>建设项目；苇子峡乡蝴蝶谷景点提升项目；伊吾红色旅游项目；伊吾县</w:t>
                            </w:r>
                            <w:r>
                              <w:rPr>
                                <w:rFonts w:hint="default" w:ascii="Times New Roman" w:hAnsi="Times New Roman" w:cs="Times New Roman" w:eastAsiaTheme="minorEastAsia"/>
                                <w:bCs/>
                                <w:sz w:val="24"/>
                                <w:szCs w:val="24"/>
                                <w:lang w:val="en-US"/>
                              </w:rPr>
                              <w:t>“</w:t>
                            </w:r>
                            <w:r>
                              <w:rPr>
                                <w:rFonts w:hint="eastAsia" w:cs="宋体" w:asciiTheme="minorEastAsia" w:hAnsiTheme="minorEastAsia" w:eastAsiaTheme="minorEastAsia"/>
                                <w:bCs/>
                                <w:sz w:val="24"/>
                                <w:szCs w:val="24"/>
                                <w:lang w:val="en-US"/>
                              </w:rPr>
                              <w:t>印象伊吾</w:t>
                            </w:r>
                            <w:r>
                              <w:rPr>
                                <w:rFonts w:hint="default" w:ascii="Times New Roman" w:hAnsi="Times New Roman" w:cs="Times New Roman" w:eastAsiaTheme="minorEastAsia"/>
                                <w:bCs/>
                                <w:sz w:val="24"/>
                                <w:szCs w:val="24"/>
                                <w:lang w:val="en-US"/>
                              </w:rPr>
                              <w:t>”</w:t>
                            </w:r>
                            <w:r>
                              <w:rPr>
                                <w:rFonts w:hint="eastAsia" w:cs="宋体" w:asciiTheme="minorEastAsia" w:hAnsiTheme="minorEastAsia" w:eastAsiaTheme="minorEastAsia"/>
                                <w:bCs/>
                                <w:sz w:val="24"/>
                                <w:szCs w:val="24"/>
                                <w:lang w:val="en-US"/>
                              </w:rPr>
                              <w:t>主题酒店建设项目；伊吾县下马崖自驾游驿站、丝路古镇建设项目；伊吾县太阳历广场研学旅游基地；伊吾县幻彩湖景区升级打造建设项目；伊吾县前山乡喀拉乌勒民俗村改造项目；伊吾县红石峪郊野公园建设项目；伊吾县淖毛湖克尔赛民俗村升级打造项目；伊吾县工业研学旅游基地建设项目；伊吾县幻彩湖自驾车营地建设项目；伊吾县盐池镇幻彩湖旅游酒店建设项目；伊吾县盐池镇幻彩湖玻璃星空观景房建设项目；苇子峡乡村旅游建设项目（二期）；伊吾县全域旅游标识标牌项目；伊吾县智慧旅游项目、伊吾河生态修复项目。</w:t>
                            </w:r>
                          </w:p>
                          <w:p w14:paraId="780AF948"/>
                        </w:txbxContent>
                      </wps:txbx>
                      <wps:bodyPr upright="1"/>
                    </wps:wsp>
                  </a:graphicData>
                </a:graphic>
              </wp:anchor>
            </w:drawing>
          </mc:Choice>
          <mc:Fallback>
            <w:pict>
              <v:shape id="文本框 4" o:spid="_x0000_s1026" o:spt="202" type="#_x0000_t202" style="position:absolute;left:0pt;margin-left:17.2pt;margin-top:21.85pt;height:162pt;width:402.5pt;z-index:-251657216;mso-width-relative:page;mso-height-relative:page;" fillcolor="#FFFFFF" filled="t" stroked="t" coordsize="21600,21600" o:gfxdata="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T60eP2AAAAAkBAAAPAAAAAAAA&#10;AAEAIAAAACIAAABkcnMvZG93bnJldi54bWxQSwECFAAUAAAACACHTuJAxMF3ZxICAABFBAAADgAA&#10;AAAAAAABACAAAAAnAQAAZHJzL2Uyb0RvYy54bWxQSwUGAAAAAAYABgBZAQAAqwUAAAAA&#10;">
                <v:fill on="t" focussize="0,0"/>
                <v:stroke color="#000000" joinstyle="miter"/>
                <v:imagedata o:title=""/>
                <o:lock v:ext="edit" aspectratio="f"/>
                <v:textbox>
                  <w:txbxContent>
                    <w:p w14:paraId="5EB642DA">
                      <w:pPr>
                        <w:pStyle w:val="5"/>
                        <w:ind w:left="0" w:firstLine="0" w:firstLineChars="0"/>
                        <w:rPr>
                          <w:rFonts w:hint="eastAsia" w:ascii="黑体" w:hAnsi="黑体" w:eastAsia="黑体" w:cs="宋体"/>
                          <w:bCs/>
                          <w:sz w:val="24"/>
                          <w:szCs w:val="24"/>
                          <w:lang w:val="en-US"/>
                        </w:rPr>
                      </w:pPr>
                      <w:r>
                        <w:rPr>
                          <w:rFonts w:hint="eastAsia" w:ascii="黑体" w:hAnsi="黑体" w:eastAsia="黑体" w:cs="宋体"/>
                          <w:bCs/>
                          <w:sz w:val="24"/>
                          <w:szCs w:val="24"/>
                          <w:lang w:val="en-US"/>
                        </w:rPr>
                        <w:t>专栏</w:t>
                      </w:r>
                      <w:r>
                        <w:rPr>
                          <w:rFonts w:hint="default" w:ascii="Times New Roman" w:hAnsi="Times New Roman" w:eastAsia="黑体" w:cs="Times New Roman"/>
                          <w:bCs/>
                          <w:sz w:val="24"/>
                          <w:szCs w:val="24"/>
                          <w:lang w:val="en-US" w:eastAsia="zh-CN"/>
                        </w:rPr>
                        <w:t xml:space="preserve">4  </w:t>
                      </w:r>
                      <w:r>
                        <w:rPr>
                          <w:rFonts w:hint="eastAsia" w:ascii="黑体" w:hAnsi="黑体" w:eastAsia="黑体" w:cs="宋体"/>
                          <w:bCs/>
                          <w:sz w:val="24"/>
                          <w:szCs w:val="24"/>
                          <w:lang w:val="en-US" w:eastAsia="zh-CN"/>
                        </w:rPr>
                        <w:t xml:space="preserve">                </w:t>
                      </w:r>
                      <w:r>
                        <w:rPr>
                          <w:rFonts w:hint="eastAsia" w:ascii="黑体" w:hAnsi="黑体" w:eastAsia="黑体" w:cs="宋体"/>
                          <w:bCs/>
                          <w:sz w:val="24"/>
                          <w:szCs w:val="24"/>
                          <w:lang w:val="en-US"/>
                        </w:rPr>
                        <w:t xml:space="preserve">  旅游重点建设项目</w:t>
                      </w:r>
                    </w:p>
                    <w:p w14:paraId="435320A5">
                      <w:pPr>
                        <w:pStyle w:val="5"/>
                        <w:ind w:left="0" w:firstLine="0" w:firstLineChars="0"/>
                        <w:rPr>
                          <w:rFonts w:hint="eastAsia" w:ascii="黑体" w:hAnsi="黑体" w:eastAsia="黑体" w:cs="宋体"/>
                          <w:bCs/>
                          <w:sz w:val="24"/>
                          <w:szCs w:val="24"/>
                          <w:lang w:val="en-US"/>
                        </w:rPr>
                      </w:pPr>
                    </w:p>
                    <w:p w14:paraId="2D1E4131">
                      <w:pPr>
                        <w:pStyle w:val="5"/>
                        <w:ind w:left="0" w:firstLine="480" w:firstLineChars="200"/>
                        <w:rPr>
                          <w:rFonts w:cs="宋体" w:asciiTheme="minorEastAsia" w:hAnsiTheme="minorEastAsia" w:eastAsiaTheme="minorEastAsia"/>
                          <w:bCs/>
                          <w:sz w:val="24"/>
                          <w:szCs w:val="24"/>
                          <w:lang w:val="en-US"/>
                        </w:rPr>
                      </w:pPr>
                      <w:r>
                        <w:rPr>
                          <w:rFonts w:hint="default" w:ascii="Times New Roman" w:hAnsi="Times New Roman" w:cs="Times New Roman" w:eastAsiaTheme="minorEastAsia"/>
                          <w:bCs/>
                          <w:sz w:val="24"/>
                          <w:szCs w:val="24"/>
                          <w:lang w:val="en-US"/>
                        </w:rPr>
                        <w:t>“</w:t>
                      </w:r>
                      <w:r>
                        <w:rPr>
                          <w:rFonts w:hint="eastAsia" w:cs="宋体" w:asciiTheme="minorEastAsia" w:hAnsiTheme="minorEastAsia" w:eastAsiaTheme="minorEastAsia"/>
                          <w:bCs/>
                          <w:sz w:val="24"/>
                          <w:szCs w:val="24"/>
                          <w:lang w:val="en-US"/>
                        </w:rPr>
                        <w:t>新疆迎客厅</w:t>
                      </w:r>
                      <w:r>
                        <w:rPr>
                          <w:rFonts w:hint="default" w:ascii="Times New Roman" w:hAnsi="Times New Roman" w:cs="Times New Roman" w:eastAsiaTheme="minorEastAsia"/>
                          <w:bCs/>
                          <w:sz w:val="24"/>
                          <w:szCs w:val="24"/>
                          <w:lang w:val="en-US"/>
                        </w:rPr>
                        <w:t>”</w:t>
                      </w:r>
                      <w:r>
                        <w:rPr>
                          <w:rFonts w:hint="eastAsia" w:cs="宋体" w:asciiTheme="minorEastAsia" w:hAnsiTheme="minorEastAsia" w:eastAsiaTheme="minorEastAsia"/>
                          <w:bCs/>
                          <w:sz w:val="24"/>
                          <w:szCs w:val="24"/>
                          <w:lang w:val="en-US"/>
                        </w:rPr>
                        <w:t>建设项目；苇子峡乡蝴蝶谷景点提升项目；伊吾红色旅游项目；伊吾县</w:t>
                      </w:r>
                      <w:r>
                        <w:rPr>
                          <w:rFonts w:hint="default" w:ascii="Times New Roman" w:hAnsi="Times New Roman" w:cs="Times New Roman" w:eastAsiaTheme="minorEastAsia"/>
                          <w:bCs/>
                          <w:sz w:val="24"/>
                          <w:szCs w:val="24"/>
                          <w:lang w:val="en-US"/>
                        </w:rPr>
                        <w:t>“</w:t>
                      </w:r>
                      <w:r>
                        <w:rPr>
                          <w:rFonts w:hint="eastAsia" w:cs="宋体" w:asciiTheme="minorEastAsia" w:hAnsiTheme="minorEastAsia" w:eastAsiaTheme="minorEastAsia"/>
                          <w:bCs/>
                          <w:sz w:val="24"/>
                          <w:szCs w:val="24"/>
                          <w:lang w:val="en-US"/>
                        </w:rPr>
                        <w:t>印象伊吾</w:t>
                      </w:r>
                      <w:r>
                        <w:rPr>
                          <w:rFonts w:hint="default" w:ascii="Times New Roman" w:hAnsi="Times New Roman" w:cs="Times New Roman" w:eastAsiaTheme="minorEastAsia"/>
                          <w:bCs/>
                          <w:sz w:val="24"/>
                          <w:szCs w:val="24"/>
                          <w:lang w:val="en-US"/>
                        </w:rPr>
                        <w:t>”</w:t>
                      </w:r>
                      <w:r>
                        <w:rPr>
                          <w:rFonts w:hint="eastAsia" w:cs="宋体" w:asciiTheme="minorEastAsia" w:hAnsiTheme="minorEastAsia" w:eastAsiaTheme="minorEastAsia"/>
                          <w:bCs/>
                          <w:sz w:val="24"/>
                          <w:szCs w:val="24"/>
                          <w:lang w:val="en-US"/>
                        </w:rPr>
                        <w:t>主题酒店建设项目；伊吾县下马崖自驾游驿站、丝路古镇建设项目；伊吾县太阳历广场研学旅游基地；伊吾县幻彩湖景区升级打造建设项目；伊吾县前山乡喀拉乌勒民俗村改造项目；伊吾县红石峪郊野公园建设项目；伊吾县淖毛湖克尔赛民俗村升级打造项目；伊吾县工业研学旅游基地建设项目；伊吾县幻彩湖自驾车营地建设项目；伊吾县盐池镇幻彩湖旅游酒店建设项目；伊吾县盐池镇幻彩湖玻璃星空观景房建设项目；苇子峡乡村旅游建设项目（二期）；伊吾县全域旅游标识标牌项目；伊吾县智慧旅游项目、伊吾河生态修复项目。</w:t>
                      </w:r>
                    </w:p>
                    <w:p w14:paraId="780AF948"/>
                  </w:txbxContent>
                </v:textbox>
              </v:shape>
            </w:pict>
          </mc:Fallback>
        </mc:AlternateContent>
      </w:r>
    </w:p>
    <w:p w14:paraId="5E1A13C0">
      <w:pPr>
        <w:pStyle w:val="4"/>
        <w:rPr>
          <w:rFonts w:hint="eastAsia"/>
          <w:lang w:val="en-US" w:bidi="ar-SA"/>
        </w:rPr>
      </w:pPr>
    </w:p>
    <w:p w14:paraId="13AF76F4">
      <w:pPr>
        <w:pStyle w:val="5"/>
        <w:ind w:firstLine="300"/>
        <w:rPr>
          <w:lang w:val="en-US" w:bidi="ar-SA"/>
        </w:rPr>
      </w:pPr>
    </w:p>
    <w:p w14:paraId="6E3264B8">
      <w:pPr>
        <w:pStyle w:val="4"/>
        <w:rPr>
          <w:lang w:val="en-US" w:bidi="ar-SA"/>
        </w:rPr>
      </w:pPr>
    </w:p>
    <w:p w14:paraId="7EC9CEE7">
      <w:pPr>
        <w:pStyle w:val="2"/>
        <w:keepNext/>
        <w:keepLines/>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方正楷体_GBK"/>
          <w:b w:val="0"/>
          <w:bCs w:val="0"/>
          <w:color w:val="000000"/>
          <w:kern w:val="0"/>
          <w:sz w:val="32"/>
        </w:rPr>
      </w:pPr>
      <w:bookmarkStart w:id="72" w:name="_Toc79"/>
      <w:bookmarkStart w:id="73" w:name="_Toc16242"/>
      <w:bookmarkStart w:id="74" w:name="_Toc20241"/>
      <w:bookmarkStart w:id="75" w:name="_Toc3834"/>
      <w:bookmarkStart w:id="76" w:name="_Toc75285110"/>
    </w:p>
    <w:p w14:paraId="22BF322B">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楷体_GBK"/>
          <w:b w:val="0"/>
          <w:bCs w:val="0"/>
          <w:color w:val="000000"/>
          <w:kern w:val="0"/>
          <w:sz w:val="32"/>
        </w:rPr>
      </w:pPr>
      <w:r>
        <w:rPr>
          <w:rFonts w:ascii="Times New Roman" w:hAnsi="Times New Roman" w:eastAsia="方正楷体_GBK"/>
          <w:b w:val="0"/>
          <w:bCs w:val="0"/>
          <w:color w:val="000000"/>
          <w:kern w:val="0"/>
          <w:sz w:val="32"/>
        </w:rPr>
        <w:t xml:space="preserve">第二章  </w:t>
      </w:r>
      <w:bookmarkEnd w:id="72"/>
      <w:bookmarkEnd w:id="73"/>
      <w:bookmarkEnd w:id="74"/>
      <w:bookmarkEnd w:id="75"/>
      <w:r>
        <w:rPr>
          <w:rFonts w:ascii="Times New Roman" w:hAnsi="Times New Roman" w:eastAsia="方正楷体_GBK"/>
          <w:b w:val="0"/>
          <w:bCs w:val="0"/>
          <w:color w:val="000000"/>
          <w:kern w:val="0"/>
          <w:sz w:val="32"/>
        </w:rPr>
        <w:t>促进生产性服务业提档升级</w:t>
      </w:r>
      <w:bookmarkEnd w:id="76"/>
    </w:p>
    <w:p w14:paraId="7777E011">
      <w:pPr>
        <w:spacing w:line="580"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推动生产性服务业向专业化和价值链高端延伸，引导和支持各类市场主体参与服务供给，加快发展商贸物流、电子商务、金融服务、信息通信和软件、科技服务、法律服务等服务业，推动现代服务业同先进制造业、现代农业深度融合。</w:t>
      </w:r>
    </w:p>
    <w:p w14:paraId="3C8D0586">
      <w:pPr>
        <w:spacing w:line="580" w:lineRule="exact"/>
        <w:ind w:firstLine="643"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楷体_GBK"/>
          <w:b/>
          <w:bCs/>
          <w:color w:val="000000"/>
          <w:sz w:val="32"/>
          <w:szCs w:val="32"/>
        </w:rPr>
        <w:t>提升物流业现代化水平。</w:t>
      </w:r>
      <w:r>
        <w:rPr>
          <w:rFonts w:ascii="Times New Roman" w:hAnsi="Times New Roman" w:eastAsia="方正仿宋_GBK" w:cs="Times New Roman"/>
          <w:color w:val="000000"/>
          <w:kern w:val="2"/>
          <w:sz w:val="32"/>
          <w:szCs w:val="32"/>
          <w:lang w:val="en-US" w:eastAsia="zh-CN" w:bidi="ar-SA"/>
        </w:rPr>
        <w:t>围绕伊吾工业园区需求，推动货物运输的“一单制”，支持企业运用电子运单、网上结算等服务新模式。推广企业零库存管理等模式，培育发展专业化、精细化第三方物流。支持发展第四方物流，为供方、需方和第三方物流提供物流规划编制、物流信息系统设计等服务。加快智慧物流、绿色物流发展，推进无车承运人、纯电重卡等管理模式和装备应用，研究在“碳达峰、碳中和”背景下氢能卡车的推广应用，积极提升大宗工业品物流运输的水平。</w:t>
      </w:r>
    </w:p>
    <w:p w14:paraId="397414F5">
      <w:pPr>
        <w:spacing w:line="580" w:lineRule="exact"/>
        <w:ind w:firstLine="643"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楷体_GBK"/>
          <w:b/>
          <w:bCs/>
          <w:color w:val="000000"/>
          <w:sz w:val="32"/>
          <w:szCs w:val="32"/>
        </w:rPr>
        <w:t>改造提升商贸流通业。</w:t>
      </w:r>
      <w:r>
        <w:rPr>
          <w:rFonts w:ascii="Times New Roman" w:hAnsi="Times New Roman" w:eastAsia="方正仿宋_GBK" w:cs="Times New Roman"/>
          <w:color w:val="000000"/>
          <w:kern w:val="2"/>
          <w:sz w:val="32"/>
          <w:szCs w:val="32"/>
          <w:lang w:val="en-US" w:eastAsia="zh-CN" w:bidi="ar-SA"/>
        </w:rPr>
        <w:t>拓展新型业态，创新商业模式，推动商贸流通转型升级。引导工业企业积极拓宽营销系统。支持商贸企业与电商平台合作，开展特色农副产品网络销售，拓宽伊吾优质农产品销售渠道。加快电子商务进农村步伐，推进村级电子商务服务站发挥作用。加快淖毛湖工业园区超市、蔬菜直销店、便利店、快递等服务设施，完善商业网点体系。在淖毛湖镇园区生活基地规划建设大型商业综合体，引导专业市场及物流配送中心集聚发展。实施县城老城区集贸市场改造，增强旅游观光、购物休闲的服务功能。围绕旅游业发展，改善宾馆、饭店服务设施，推进住宿餐饮业与旅游、文化、体育等产业融合发展。完善县城美食街服务设施，积极发展特色餐饮、家庭旅馆等满足群众消费需求的细分业态，扩大服务消费。</w:t>
      </w:r>
    </w:p>
    <w:p w14:paraId="31848B82">
      <w:pPr>
        <w:spacing w:line="580" w:lineRule="exact"/>
        <w:ind w:firstLine="643"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楷体_GBK"/>
          <w:b/>
          <w:bCs/>
          <w:color w:val="000000"/>
          <w:sz w:val="32"/>
          <w:szCs w:val="32"/>
        </w:rPr>
        <w:t>支持发展金融服务业。</w:t>
      </w:r>
      <w:r>
        <w:rPr>
          <w:rFonts w:ascii="Times New Roman" w:hAnsi="Times New Roman" w:eastAsia="方正仿宋_GBK" w:cs="Times New Roman"/>
          <w:color w:val="000000"/>
          <w:kern w:val="2"/>
          <w:sz w:val="32"/>
          <w:szCs w:val="32"/>
          <w:lang w:val="en-US" w:eastAsia="zh-CN" w:bidi="ar-SA"/>
        </w:rPr>
        <w:t>支持发展高效安全、绿色普惠、开放创新的现代金融服务业，提高金融服务实体经济效能。支持金融机构开展煤炭机械、矿山开采装备、煤化工装备等矿山机械融资租赁服务，引导企业利用融资租赁方式实施设备更新和技术改造、拓展市场。支持金融机构聚焦乡村振兴战略，加大对乡村旅游、现代农业示范基地的信贷支持力度。依托哈密市东天山大数据平台，加快伊吾金融数据平台建设。完善中小企业信用担保机制，支持中小企业融资担保和再担保机构发展，畅通融资渠道。推动保险机构开发现代物流、环境污染、食品安全等新型保险产品。</w:t>
      </w:r>
    </w:p>
    <w:p w14:paraId="5403CEE2">
      <w:pPr>
        <w:spacing w:line="580" w:lineRule="exact"/>
        <w:ind w:firstLine="643"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楷体_GBK"/>
          <w:b/>
          <w:bCs/>
          <w:color w:val="000000"/>
          <w:sz w:val="32"/>
          <w:szCs w:val="32"/>
        </w:rPr>
        <w:t>积极发展商务服务业。</w:t>
      </w:r>
      <w:r>
        <w:rPr>
          <w:rFonts w:ascii="Times New Roman" w:hAnsi="Times New Roman" w:eastAsia="方正仿宋_GBK" w:cs="Times New Roman"/>
          <w:color w:val="000000"/>
          <w:kern w:val="2"/>
          <w:sz w:val="32"/>
          <w:szCs w:val="32"/>
          <w:lang w:val="en-US" w:eastAsia="zh-CN" w:bidi="ar-SA"/>
        </w:rPr>
        <w:t>构建知名度高、公信力强的商务服务体系。支持企业管理服务机构与园区企业对接，开展人力资源、财务、物流等管理服务。支持发展新媒体广告，培育具有综合竞争力的市场主体。规范发展会计、咨询、评估等中介服务业，为企业提供资金融通、市场拓展、技术支持、信息咨询等服务。</w:t>
      </w:r>
    </w:p>
    <w:p w14:paraId="6568EC01">
      <w:pPr>
        <w:spacing w:line="580" w:lineRule="exact"/>
        <w:ind w:firstLine="643"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楷体_GBK"/>
          <w:b/>
          <w:bCs/>
          <w:color w:val="000000"/>
          <w:sz w:val="32"/>
          <w:szCs w:val="32"/>
        </w:rPr>
        <w:t>支持发展信息服务业。</w:t>
      </w:r>
      <w:r>
        <w:rPr>
          <w:rFonts w:ascii="Times New Roman" w:hAnsi="Times New Roman" w:eastAsia="方正仿宋_GBK" w:cs="Times New Roman"/>
          <w:color w:val="000000"/>
          <w:kern w:val="2"/>
          <w:sz w:val="32"/>
          <w:szCs w:val="32"/>
          <w:lang w:val="en-US" w:eastAsia="zh-CN" w:bidi="ar-SA"/>
        </w:rPr>
        <w:t>实施“互联网+”行动计划，推动5G、大数据、物联网、云计算、人工智能等新一代信息技术在生产制造和生活消费各个环节中的应用。建设伊吾智慧城市公共服务平台，推进信息技术在金融、医疗、教育、养老、平安等领域的应用，重点建设智慧城市APP，推动互联网金融、互联网医疗、互联网教育等新兴业态快速发展。加快5G基站建设，及早实现县城及工业园区全覆盖，全面推进华为技术有限公司与疆纳矿业合作的能源大数据与智慧矿山建设。</w:t>
      </w:r>
    </w:p>
    <w:p w14:paraId="39FC1B4A">
      <w:pPr>
        <w:ind w:firstLine="562"/>
        <w:rPr>
          <w:rFonts w:hint="eastAsia" w:ascii="Times New Roman" w:hAnsi="Times New Roman" w:eastAsia="宋体"/>
          <w:b/>
          <w:sz w:val="32"/>
          <w:szCs w:val="32"/>
          <w:lang w:eastAsia="zh-CN"/>
        </w:rPr>
      </w:pPr>
      <w:r>
        <w:rPr>
          <w:rFonts w:ascii="Times New Roman" w:hAnsi="Times New Roman"/>
        </w:rPr>
        <mc:AlternateContent>
          <mc:Choice Requires="wps">
            <w:drawing>
              <wp:anchor distT="0" distB="0" distL="114300" distR="114300" simplePos="0" relativeHeight="251660288" behindDoc="1" locked="0" layoutInCell="1" allowOverlap="1">
                <wp:simplePos x="0" y="0"/>
                <wp:positionH relativeFrom="column">
                  <wp:posOffset>175260</wp:posOffset>
                </wp:positionH>
                <wp:positionV relativeFrom="paragraph">
                  <wp:posOffset>154305</wp:posOffset>
                </wp:positionV>
                <wp:extent cx="4892040" cy="742315"/>
                <wp:effectExtent l="4445" t="4445" r="18415" b="15240"/>
                <wp:wrapNone/>
                <wp:docPr id="2" name="文本框 2729"/>
                <wp:cNvGraphicFramePr/>
                <a:graphic xmlns:a="http://schemas.openxmlformats.org/drawingml/2006/main">
                  <a:graphicData uri="http://schemas.microsoft.com/office/word/2010/wordprocessingShape">
                    <wps:wsp>
                      <wps:cNvSpPr txBox="1"/>
                      <wps:spPr>
                        <a:xfrm>
                          <a:off x="0" y="0"/>
                          <a:ext cx="4892040" cy="7423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C9C3541">
                            <w:pPr>
                              <w:pStyle w:val="5"/>
                              <w:ind w:left="0" w:firstLine="0" w:firstLineChars="0"/>
                              <w:rPr>
                                <w:rFonts w:hint="eastAsia" w:ascii="黑体" w:hAnsi="黑体" w:eastAsia="黑体" w:cs="宋体"/>
                                <w:bCs/>
                                <w:sz w:val="24"/>
                                <w:szCs w:val="24"/>
                                <w:lang w:val="en-US"/>
                              </w:rPr>
                            </w:pPr>
                            <w:r>
                              <w:rPr>
                                <w:rFonts w:hint="eastAsia" w:ascii="黑体" w:hAnsi="黑体" w:eastAsia="黑体" w:cs="宋体"/>
                                <w:bCs/>
                                <w:sz w:val="24"/>
                                <w:szCs w:val="24"/>
                                <w:lang w:val="en-US"/>
                              </w:rPr>
                              <w:t>专栏</w:t>
                            </w:r>
                            <w:r>
                              <w:rPr>
                                <w:rFonts w:hint="default" w:ascii="Times New Roman" w:hAnsi="Times New Roman" w:eastAsia="黑体" w:cs="Times New Roman"/>
                                <w:bCs/>
                                <w:sz w:val="24"/>
                                <w:szCs w:val="24"/>
                                <w:lang w:val="en-US" w:eastAsia="zh-CN"/>
                              </w:rPr>
                              <w:t>5</w:t>
                            </w:r>
                            <w:r>
                              <w:rPr>
                                <w:rFonts w:hint="eastAsia" w:ascii="黑体" w:hAnsi="黑体" w:eastAsia="黑体" w:cs="宋体"/>
                                <w:bCs/>
                                <w:sz w:val="24"/>
                                <w:szCs w:val="24"/>
                                <w:lang w:val="en-US" w:eastAsia="zh-CN"/>
                              </w:rPr>
                              <w:t xml:space="preserve">                 </w:t>
                            </w:r>
                            <w:r>
                              <w:rPr>
                                <w:rFonts w:hint="eastAsia" w:ascii="黑体" w:hAnsi="黑体" w:eastAsia="黑体" w:cs="宋体"/>
                                <w:bCs/>
                                <w:sz w:val="24"/>
                                <w:szCs w:val="24"/>
                                <w:lang w:val="en-US"/>
                              </w:rPr>
                              <w:t xml:space="preserve">  物流重点建设项目</w:t>
                            </w:r>
                          </w:p>
                          <w:p w14:paraId="07592381">
                            <w:pPr>
                              <w:pStyle w:val="5"/>
                              <w:ind w:left="0" w:firstLine="0" w:firstLineChars="0"/>
                              <w:rPr>
                                <w:rFonts w:hint="eastAsia" w:ascii="黑体" w:hAnsi="黑体" w:eastAsia="黑体" w:cs="宋体"/>
                                <w:bCs/>
                                <w:sz w:val="24"/>
                                <w:szCs w:val="24"/>
                                <w:lang w:val="en-US"/>
                              </w:rPr>
                            </w:pPr>
                          </w:p>
                          <w:p w14:paraId="336F6592">
                            <w:pPr>
                              <w:pStyle w:val="5"/>
                              <w:ind w:left="0" w:firstLine="480" w:firstLineChars="200"/>
                              <w:rPr>
                                <w:rFonts w:cs="宋体" w:asciiTheme="minorEastAsia" w:hAnsiTheme="minorEastAsia" w:eastAsiaTheme="minorEastAsia"/>
                                <w:bCs/>
                                <w:sz w:val="24"/>
                                <w:szCs w:val="24"/>
                                <w:lang w:val="en-US"/>
                              </w:rPr>
                            </w:pPr>
                            <w:r>
                              <w:rPr>
                                <w:rFonts w:cs="宋体" w:asciiTheme="minorEastAsia" w:hAnsiTheme="minorEastAsia" w:eastAsiaTheme="minorEastAsia"/>
                                <w:bCs/>
                                <w:sz w:val="24"/>
                                <w:szCs w:val="24"/>
                                <w:lang w:val="en-US"/>
                              </w:rPr>
                              <w:t>伊吾县城乡冷链物流建设项目</w:t>
                            </w:r>
                          </w:p>
                        </w:txbxContent>
                      </wps:txbx>
                      <wps:bodyPr upright="1"/>
                    </wps:wsp>
                  </a:graphicData>
                </a:graphic>
              </wp:anchor>
            </w:drawing>
          </mc:Choice>
          <mc:Fallback>
            <w:pict>
              <v:shape id="文本框 2729" o:spid="_x0000_s1026" o:spt="202" type="#_x0000_t202" style="position:absolute;left:0pt;margin-left:13.8pt;margin-top:12.15pt;height:58.45pt;width:385.2pt;z-index:-251656192;mso-width-relative:page;mso-height-relative:page;" fillcolor="#FFFFFF" filled="t" stroked="t" coordsize="21600,21600" o:gfxdata="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J/p/TZAAAACQEAAA8AAAAA&#10;AAAAAQAgAAAAIgAAAGRycy9kb3ducmV2LnhtbFBLAQIUABQAAAAIAIdO4kC6XCj3EwIAAEcEAAAO&#10;AAAAAAAAAAEAIAAAACgBAABkcnMvZTJvRG9jLnhtbFBLBQYAAAAABgAGAFkBAACtBQAAAAA=&#10;">
                <v:fill on="t" focussize="0,0"/>
                <v:stroke color="#000000" joinstyle="miter"/>
                <v:imagedata o:title=""/>
                <o:lock v:ext="edit" aspectratio="f"/>
                <v:textbox>
                  <w:txbxContent>
                    <w:p w14:paraId="5C9C3541">
                      <w:pPr>
                        <w:pStyle w:val="5"/>
                        <w:ind w:left="0" w:firstLine="0" w:firstLineChars="0"/>
                        <w:rPr>
                          <w:rFonts w:hint="eastAsia" w:ascii="黑体" w:hAnsi="黑体" w:eastAsia="黑体" w:cs="宋体"/>
                          <w:bCs/>
                          <w:sz w:val="24"/>
                          <w:szCs w:val="24"/>
                          <w:lang w:val="en-US"/>
                        </w:rPr>
                      </w:pPr>
                      <w:r>
                        <w:rPr>
                          <w:rFonts w:hint="eastAsia" w:ascii="黑体" w:hAnsi="黑体" w:eastAsia="黑体" w:cs="宋体"/>
                          <w:bCs/>
                          <w:sz w:val="24"/>
                          <w:szCs w:val="24"/>
                          <w:lang w:val="en-US"/>
                        </w:rPr>
                        <w:t>专栏</w:t>
                      </w:r>
                      <w:r>
                        <w:rPr>
                          <w:rFonts w:hint="default" w:ascii="Times New Roman" w:hAnsi="Times New Roman" w:eastAsia="黑体" w:cs="Times New Roman"/>
                          <w:bCs/>
                          <w:sz w:val="24"/>
                          <w:szCs w:val="24"/>
                          <w:lang w:val="en-US" w:eastAsia="zh-CN"/>
                        </w:rPr>
                        <w:t>5</w:t>
                      </w:r>
                      <w:r>
                        <w:rPr>
                          <w:rFonts w:hint="eastAsia" w:ascii="黑体" w:hAnsi="黑体" w:eastAsia="黑体" w:cs="宋体"/>
                          <w:bCs/>
                          <w:sz w:val="24"/>
                          <w:szCs w:val="24"/>
                          <w:lang w:val="en-US" w:eastAsia="zh-CN"/>
                        </w:rPr>
                        <w:t xml:space="preserve">                 </w:t>
                      </w:r>
                      <w:r>
                        <w:rPr>
                          <w:rFonts w:hint="eastAsia" w:ascii="黑体" w:hAnsi="黑体" w:eastAsia="黑体" w:cs="宋体"/>
                          <w:bCs/>
                          <w:sz w:val="24"/>
                          <w:szCs w:val="24"/>
                          <w:lang w:val="en-US"/>
                        </w:rPr>
                        <w:t xml:space="preserve">  物流重点建设项目</w:t>
                      </w:r>
                    </w:p>
                    <w:p w14:paraId="07592381">
                      <w:pPr>
                        <w:pStyle w:val="5"/>
                        <w:ind w:left="0" w:firstLine="0" w:firstLineChars="0"/>
                        <w:rPr>
                          <w:rFonts w:hint="eastAsia" w:ascii="黑体" w:hAnsi="黑体" w:eastAsia="黑体" w:cs="宋体"/>
                          <w:bCs/>
                          <w:sz w:val="24"/>
                          <w:szCs w:val="24"/>
                          <w:lang w:val="en-US"/>
                        </w:rPr>
                      </w:pPr>
                    </w:p>
                    <w:p w14:paraId="336F6592">
                      <w:pPr>
                        <w:pStyle w:val="5"/>
                        <w:ind w:left="0" w:firstLine="480" w:firstLineChars="200"/>
                        <w:rPr>
                          <w:rFonts w:cs="宋体" w:asciiTheme="minorEastAsia" w:hAnsiTheme="minorEastAsia" w:eastAsiaTheme="minorEastAsia"/>
                          <w:bCs/>
                          <w:sz w:val="24"/>
                          <w:szCs w:val="24"/>
                          <w:lang w:val="en-US"/>
                        </w:rPr>
                      </w:pPr>
                      <w:r>
                        <w:rPr>
                          <w:rFonts w:cs="宋体" w:asciiTheme="minorEastAsia" w:hAnsiTheme="minorEastAsia" w:eastAsiaTheme="minorEastAsia"/>
                          <w:bCs/>
                          <w:sz w:val="24"/>
                          <w:szCs w:val="24"/>
                          <w:lang w:val="en-US"/>
                        </w:rPr>
                        <w:t>伊吾县城乡冷链物流建设项目</w:t>
                      </w:r>
                    </w:p>
                  </w:txbxContent>
                </v:textbox>
              </v:shape>
            </w:pict>
          </mc:Fallback>
        </mc:AlternateContent>
      </w:r>
      <w:r>
        <w:rPr>
          <w:rFonts w:ascii="Times New Roman" w:hAnsi="Times New Roman"/>
          <w:b/>
          <w:sz w:val="32"/>
          <w:szCs w:val="32"/>
        </w:rPr>
        <w:tab/>
      </w:r>
    </w:p>
    <w:p w14:paraId="0017D0B2">
      <w:pPr>
        <w:pStyle w:val="5"/>
        <w:ind w:left="0" w:firstLine="0" w:firstLineChars="0"/>
        <w:jc w:val="center"/>
        <w:outlineLvl w:val="1"/>
        <w:rPr>
          <w:rFonts w:eastAsia="黑体"/>
          <w:bCs/>
          <w:sz w:val="32"/>
          <w:szCs w:val="32"/>
          <w:lang w:val="en-US"/>
        </w:rPr>
      </w:pPr>
      <w:bookmarkStart w:id="77" w:name="_Toc19673"/>
      <w:bookmarkStart w:id="78" w:name="_Toc7333"/>
      <w:bookmarkStart w:id="79" w:name="_Toc2648"/>
      <w:bookmarkStart w:id="80" w:name="_Toc23094"/>
      <w:r>
        <w:rPr>
          <w:sz w:val="32"/>
        </w:rPr>
        <mc:AlternateContent>
          <mc:Choice Requires="wps">
            <w:drawing>
              <wp:anchor distT="0" distB="0" distL="114300" distR="114300" simplePos="0" relativeHeight="251673600" behindDoc="0" locked="0" layoutInCell="1" allowOverlap="1">
                <wp:simplePos x="0" y="0"/>
                <wp:positionH relativeFrom="column">
                  <wp:posOffset>171450</wp:posOffset>
                </wp:positionH>
                <wp:positionV relativeFrom="paragraph">
                  <wp:posOffset>44450</wp:posOffset>
                </wp:positionV>
                <wp:extent cx="4892675" cy="24130"/>
                <wp:effectExtent l="0" t="4445" r="3175" b="9525"/>
                <wp:wrapNone/>
                <wp:docPr id="17" name="直接连接符 17"/>
                <wp:cNvGraphicFramePr/>
                <a:graphic xmlns:a="http://schemas.openxmlformats.org/drawingml/2006/main">
                  <a:graphicData uri="http://schemas.microsoft.com/office/word/2010/wordprocessingShape">
                    <wps:wsp>
                      <wps:cNvCnPr/>
                      <wps:spPr>
                        <a:xfrm flipV="1">
                          <a:off x="1147445" y="2962910"/>
                          <a:ext cx="4892675" cy="241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3.5pt;margin-top:3.5pt;height:1.9pt;width:385.25pt;z-index:251673600;mso-width-relative:page;mso-height-relative:page;" filled="f" stroked="t" coordsize="21600,21600" o:gfxdata="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S4ZrL1QAAAAcBAAAPAAAAAAAAAAEAIAAAACIAAABkcnMvZG93bnJldi54bWxQSwECFAAUAAAA&#10;CACHTuJAWPDfdfEBAAC2AwAADgAAAAAAAAABACAAAAAkAQAAZHJzL2Uyb0RvYy54bWxQSwUGAAAA&#10;AAYABgBZAQAAhwUAAAAA&#10;">
                <v:fill on="f" focussize="0,0"/>
                <v:stroke color="#000000 [3213]" joinstyle="round"/>
                <v:imagedata o:title=""/>
                <o:lock v:ext="edit" aspectratio="f"/>
              </v:line>
            </w:pict>
          </mc:Fallback>
        </mc:AlternateContent>
      </w:r>
    </w:p>
    <w:p w14:paraId="1789E86B">
      <w:pPr>
        <w:pStyle w:val="2"/>
        <w:spacing w:line="560" w:lineRule="exact"/>
        <w:jc w:val="center"/>
        <w:rPr>
          <w:rFonts w:ascii="Times New Roman" w:hAnsi="Times New Roman" w:eastAsia="方正楷体_GBK"/>
          <w:b w:val="0"/>
          <w:bCs w:val="0"/>
          <w:color w:val="000000"/>
          <w:kern w:val="0"/>
          <w:sz w:val="32"/>
        </w:rPr>
      </w:pPr>
      <w:bookmarkStart w:id="81" w:name="_Toc75285111"/>
      <w:r>
        <w:rPr>
          <w:rFonts w:ascii="Times New Roman" w:hAnsi="Times New Roman" w:eastAsia="方正楷体_GBK"/>
          <w:b w:val="0"/>
          <w:bCs w:val="0"/>
          <w:color w:val="000000"/>
          <w:kern w:val="0"/>
          <w:sz w:val="32"/>
        </w:rPr>
        <w:t>第三章  提升生活性服务业发展质量</w:t>
      </w:r>
      <w:bookmarkEnd w:id="77"/>
      <w:bookmarkEnd w:id="78"/>
      <w:bookmarkEnd w:id="79"/>
      <w:bookmarkEnd w:id="80"/>
      <w:bookmarkEnd w:id="81"/>
    </w:p>
    <w:p w14:paraId="32377F39">
      <w:pPr>
        <w:spacing w:line="580"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推动生活性服务业向高品质和多样化升级，加快发展医疗健康、育幼、文化、体育、家政、物业等服务业，加强公益性、基础性服务业供给。</w:t>
      </w:r>
    </w:p>
    <w:p w14:paraId="5F296B04">
      <w:pPr>
        <w:spacing w:line="580" w:lineRule="exact"/>
        <w:ind w:firstLine="643"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楷体_GBK"/>
          <w:b/>
          <w:bCs/>
          <w:color w:val="000000"/>
          <w:sz w:val="32"/>
          <w:szCs w:val="32"/>
        </w:rPr>
        <w:t>培育健康服务业。</w:t>
      </w:r>
      <w:r>
        <w:rPr>
          <w:rFonts w:ascii="Times New Roman" w:hAnsi="Times New Roman" w:eastAsia="方正仿宋_GBK" w:cs="Times New Roman"/>
          <w:color w:val="000000"/>
          <w:kern w:val="2"/>
          <w:sz w:val="32"/>
          <w:szCs w:val="32"/>
          <w:lang w:val="en-US" w:eastAsia="zh-CN" w:bidi="ar-SA"/>
        </w:rPr>
        <w:t>大力发展医疗卫生保健、健康管理、健康养生、健康保险、体育健身等多样化健康服务，构建覆盖全生命周期、业态丰富、结构合理的健康服务体系。进一步完善县、乡、村三级医疗卫生服务体系，坚持健康医疗服务重心下沉，推动基层医疗机构为辖区居民提供基本公共卫生服务和基本医疗服务。优化社会办医政策环境，鼓励社会资本投资健康服务业，支持发展护理、老年护理、家庭护理等社会急需的健康医疗服务，鼓励发展健康旅游、健康体检、健康咨询、健康文化等健康服务。</w:t>
      </w:r>
    </w:p>
    <w:p w14:paraId="3E816F5D">
      <w:pPr>
        <w:spacing w:line="580" w:lineRule="exact"/>
        <w:ind w:firstLine="643"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楷体_GBK"/>
          <w:b/>
          <w:bCs/>
          <w:color w:val="000000"/>
          <w:sz w:val="32"/>
          <w:szCs w:val="32"/>
        </w:rPr>
        <w:t>支持发展文化体育产业。</w:t>
      </w:r>
      <w:r>
        <w:rPr>
          <w:rFonts w:ascii="Times New Roman" w:hAnsi="Times New Roman" w:eastAsia="方正仿宋_GBK" w:cs="Times New Roman"/>
          <w:color w:val="000000"/>
          <w:kern w:val="2"/>
          <w:sz w:val="32"/>
          <w:szCs w:val="32"/>
          <w:lang w:val="en-US" w:eastAsia="zh-CN" w:bidi="ar-SA"/>
        </w:rPr>
        <w:t>完善公共文化服务体系，丰富文化产品，扩大文化体育和娱乐服务产品有效供给。引导企业和社会资本投资文化产业，培育文化产业骨干企业。推动文化与旅游、科技、信息、体育等产业融合发展，培育移动多媒体、网络广播影视、手机广播电视、虚拟仿真应用、云影音、观光农业等新业态、新模式。进一步加强对外文化交流，支持文化展览、非物质文化遗产展示等走出去，拓展区内外文化市场。继续实施体育场馆免费开放，大力开展全民健身活动，举办篮球、排球、乒乓球、武术散打、羽毛球、骑马等体育运动。大力推动体育与旅游、文化、教育、养老等相关产业良性互动融合发展，延伸发展体育康复等产业。推动体育产业与电子商务结合，构建覆盖全县的智慧体育服务网络。</w:t>
      </w:r>
    </w:p>
    <w:p w14:paraId="2F05E491">
      <w:pPr>
        <w:spacing w:line="580" w:lineRule="exact"/>
        <w:ind w:firstLine="643"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楷体_GBK"/>
          <w:b/>
          <w:bCs/>
          <w:color w:val="000000"/>
          <w:sz w:val="32"/>
          <w:szCs w:val="32"/>
        </w:rPr>
        <w:t>大力发展居民和家政服务业。</w:t>
      </w:r>
      <w:r>
        <w:rPr>
          <w:rFonts w:ascii="Times New Roman" w:hAnsi="Times New Roman" w:eastAsia="方正仿宋_GBK" w:cs="Times New Roman"/>
          <w:color w:val="000000"/>
          <w:kern w:val="2"/>
          <w:sz w:val="32"/>
          <w:szCs w:val="32"/>
          <w:lang w:val="en-US" w:eastAsia="zh-CN" w:bidi="ar-SA"/>
        </w:rPr>
        <w:t>培育家政服务市场，健全城乡居民家政服务体系。加快育幼、托老等家政服务业提质扩容，构建普惠托育服务体系。加快社区服务平台建设，构建形式多样、服务精细的居民服务体系。配套社区服务中心设施，推动社区服务中心运作的智能化、信息化。完善社区餐饮、再生资源回收等服务网点。推广“电子商务平台+社区智能便利店+集成网络终端”社区商业模式，打造一刻钟便民服务圈。加快推动家政服务业在线化，探索“云社区”“微生活”等新兴社区服务模式。</w:t>
      </w:r>
    </w:p>
    <w:p w14:paraId="08E0FE4A">
      <w:pPr>
        <w:pStyle w:val="4"/>
        <w:rPr>
          <w:rFonts w:ascii="Times New Roman" w:hAnsi="Times New Roman" w:eastAsia="宋体" w:cs="Times New Roman"/>
          <w:b/>
          <w:sz w:val="32"/>
          <w:szCs w:val="32"/>
          <w:lang w:val="en-US"/>
        </w:rPr>
      </w:pPr>
      <w:r>
        <w:rPr>
          <w:sz w:val="32"/>
        </w:rPr>
        <mc:AlternateContent>
          <mc:Choice Requires="wps">
            <w:drawing>
              <wp:anchor distT="0" distB="0" distL="114300" distR="114300" simplePos="0" relativeHeight="251674624" behindDoc="0" locked="0" layoutInCell="1" allowOverlap="1">
                <wp:simplePos x="0" y="0"/>
                <wp:positionH relativeFrom="column">
                  <wp:posOffset>75565</wp:posOffset>
                </wp:positionH>
                <wp:positionV relativeFrom="paragraph">
                  <wp:posOffset>-566420</wp:posOffset>
                </wp:positionV>
                <wp:extent cx="5526405" cy="0"/>
                <wp:effectExtent l="0" t="0" r="0" b="0"/>
                <wp:wrapNone/>
                <wp:docPr id="18" name="直接连接符 18"/>
                <wp:cNvGraphicFramePr/>
                <a:graphic xmlns:a="http://schemas.openxmlformats.org/drawingml/2006/main">
                  <a:graphicData uri="http://schemas.microsoft.com/office/word/2010/wordprocessingShape">
                    <wps:wsp>
                      <wps:cNvCnPr/>
                      <wps:spPr>
                        <a:xfrm>
                          <a:off x="1047750" y="8622030"/>
                          <a:ext cx="5526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95pt;margin-top:-44.6pt;height:0pt;width:435.15pt;z-index:251674624;mso-width-relative:page;mso-height-relative:page;" filled="f" stroked="t" coordsize="21600,21600" o:gfxdata="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G6pozWAAAA&#10;CgEAAA8AAAAAAAAAAQAgAAAAIgAAAGRycy9kb3ducmV2LnhtbFBLAQIUABQAAAAIAIdO4kAk4Ofq&#10;5gEAAKgDAAAOAAAAAAAAAAEAIAAAACUBAABkcnMvZTJvRG9jLnhtbFBLBQYAAAAABgAGAFkBAAB9&#10;BQAAAAA=&#10;">
                <v:fill on="f" focussize="0,0"/>
                <v:stroke color="#000000 [3213]" joinstyle="round"/>
                <v:imagedata o:title=""/>
                <o:lock v:ext="edit" aspectratio="f"/>
              </v:line>
            </w:pict>
          </mc:Fallback>
        </mc:AlternateContent>
      </w:r>
      <w:r>
        <w:rPr>
          <w:rFonts w:ascii="Times New Roman" w:hAnsi="Times New Roman" w:eastAsia="宋体" w:cs="Times New Roman"/>
          <w:b/>
          <w:sz w:val="32"/>
          <w:szCs w:val="32"/>
          <w:lang w:val="en-US"/>
        </w:rPr>
        <mc:AlternateContent>
          <mc:Choice Requires="wps">
            <w:drawing>
              <wp:anchor distT="0" distB="0" distL="114300" distR="114300" simplePos="0" relativeHeight="251667456" behindDoc="0" locked="0" layoutInCell="1" allowOverlap="1">
                <wp:simplePos x="0" y="0"/>
                <wp:positionH relativeFrom="column">
                  <wp:posOffset>75565</wp:posOffset>
                </wp:positionH>
                <wp:positionV relativeFrom="paragraph">
                  <wp:posOffset>213360</wp:posOffset>
                </wp:positionV>
                <wp:extent cx="5283835" cy="695325"/>
                <wp:effectExtent l="5080" t="4445" r="6985" b="5080"/>
                <wp:wrapSquare wrapText="bothSides"/>
                <wp:docPr id="11" name="文本框 2730"/>
                <wp:cNvGraphicFramePr/>
                <a:graphic xmlns:a="http://schemas.openxmlformats.org/drawingml/2006/main">
                  <a:graphicData uri="http://schemas.microsoft.com/office/word/2010/wordprocessingShape">
                    <wps:wsp>
                      <wps:cNvSpPr txBox="1"/>
                      <wps:spPr>
                        <a:xfrm>
                          <a:off x="0" y="0"/>
                          <a:ext cx="5283835" cy="695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C035888">
                            <w:pPr>
                              <w:pStyle w:val="5"/>
                              <w:ind w:left="0" w:firstLine="0" w:firstLineChars="0"/>
                              <w:rPr>
                                <w:rFonts w:hint="eastAsia" w:ascii="黑体" w:hAnsi="黑体" w:eastAsia="黑体" w:cs="宋体"/>
                                <w:bCs/>
                                <w:sz w:val="24"/>
                                <w:szCs w:val="24"/>
                                <w:lang w:val="en-US"/>
                              </w:rPr>
                            </w:pPr>
                            <w:r>
                              <w:rPr>
                                <w:rFonts w:hint="eastAsia" w:ascii="黑体" w:hAnsi="黑体" w:eastAsia="黑体" w:cs="宋体"/>
                                <w:bCs/>
                                <w:sz w:val="24"/>
                                <w:szCs w:val="24"/>
                                <w:lang w:val="en-US"/>
                              </w:rPr>
                              <w:t>专栏</w:t>
                            </w:r>
                            <w:r>
                              <w:rPr>
                                <w:rFonts w:hint="default" w:ascii="Times New Roman" w:hAnsi="Times New Roman" w:eastAsia="黑体" w:cs="Times New Roman"/>
                                <w:bCs/>
                                <w:sz w:val="24"/>
                                <w:szCs w:val="24"/>
                                <w:lang w:val="en-US" w:eastAsia="zh-CN"/>
                              </w:rPr>
                              <w:t>6</w:t>
                            </w:r>
                            <w:r>
                              <w:rPr>
                                <w:rFonts w:hint="eastAsia" w:ascii="黑体" w:hAnsi="黑体" w:eastAsia="黑体" w:cs="宋体"/>
                                <w:bCs/>
                                <w:sz w:val="24"/>
                                <w:szCs w:val="24"/>
                                <w:lang w:val="en-US" w:eastAsia="zh-CN"/>
                              </w:rPr>
                              <w:t xml:space="preserve">                  </w:t>
                            </w:r>
                            <w:r>
                              <w:rPr>
                                <w:rFonts w:hint="eastAsia" w:ascii="黑体" w:hAnsi="黑体" w:eastAsia="黑体" w:cs="宋体"/>
                                <w:bCs/>
                                <w:sz w:val="24"/>
                                <w:szCs w:val="24"/>
                                <w:lang w:val="en-US"/>
                              </w:rPr>
                              <w:t xml:space="preserve">  生活服务业重点建设项目</w:t>
                            </w:r>
                          </w:p>
                          <w:p w14:paraId="4C342A90">
                            <w:pPr>
                              <w:pStyle w:val="5"/>
                              <w:ind w:left="0" w:firstLine="0" w:firstLineChars="0"/>
                              <w:rPr>
                                <w:rFonts w:hint="eastAsia" w:ascii="黑体" w:hAnsi="黑体" w:eastAsia="黑体" w:cs="宋体"/>
                                <w:bCs/>
                                <w:sz w:val="24"/>
                                <w:szCs w:val="24"/>
                                <w:lang w:val="en-US"/>
                              </w:rPr>
                            </w:pPr>
                          </w:p>
                          <w:p w14:paraId="2B66E4CA">
                            <w:pPr>
                              <w:pStyle w:val="5"/>
                              <w:ind w:left="0" w:firstLine="480" w:firstLineChars="200"/>
                              <w:rPr>
                                <w:rFonts w:cs="宋体" w:asciiTheme="minorEastAsia" w:hAnsiTheme="minorEastAsia" w:eastAsiaTheme="minorEastAsia"/>
                                <w:bCs/>
                                <w:sz w:val="24"/>
                                <w:szCs w:val="24"/>
                                <w:lang w:val="en-US"/>
                              </w:rPr>
                            </w:pPr>
                            <w:r>
                              <w:rPr>
                                <w:rFonts w:cs="宋体" w:asciiTheme="minorEastAsia" w:hAnsiTheme="minorEastAsia" w:eastAsiaTheme="minorEastAsia"/>
                                <w:bCs/>
                                <w:sz w:val="24"/>
                                <w:szCs w:val="24"/>
                                <w:lang w:val="en-US"/>
                              </w:rPr>
                              <w:t>龙鑫汇金商业广场项目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伊吾县西区商住楼开发项目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瑞祥集贸市场改造项目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龙鑫开元汇金商业楼项目</w:t>
                            </w:r>
                            <w:r>
                              <w:rPr>
                                <w:rFonts w:hint="eastAsia" w:cs="宋体" w:asciiTheme="minorEastAsia" w:hAnsiTheme="minorEastAsia" w:eastAsiaTheme="minorEastAsia"/>
                                <w:bCs/>
                                <w:sz w:val="24"/>
                                <w:szCs w:val="24"/>
                                <w:lang w:val="en-US"/>
                              </w:rPr>
                              <w:t>；伊吾县工业园区企业员工住宅楼建设项目。</w:t>
                            </w:r>
                          </w:p>
                        </w:txbxContent>
                      </wps:txbx>
                      <wps:bodyPr wrap="none" upright="1">
                        <a:spAutoFit/>
                      </wps:bodyPr>
                    </wps:wsp>
                  </a:graphicData>
                </a:graphic>
              </wp:anchor>
            </w:drawing>
          </mc:Choice>
          <mc:Fallback>
            <w:pict>
              <v:shape id="文本框 2730" o:spid="_x0000_s1026" o:spt="202" type="#_x0000_t202" style="position:absolute;left:0pt;margin-left:5.95pt;margin-top:16.8pt;height:54.75pt;width:416.05pt;mso-wrap-distance-bottom:0pt;mso-wrap-distance-left:9pt;mso-wrap-distance-right:9pt;mso-wrap-distance-top:0pt;mso-wrap-style:none;z-index:251667456;mso-width-relative:page;mso-height-relative:page;" fillcolor="#FFFFFF" filled="t" stroked="t" coordsize="21600,21600" o:gfxdata="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f&#10;kCb42AAAAAkBAAAPAAAAAAAAAAEAIAAAACIAAABkcnMvZG93bnJldi54bWxQSwECFAAUAAAACACH&#10;TuJAX/BKcSQCAABuBAAADgAAAAAAAAABACAAAAAnAQAAZHJzL2Uyb0RvYy54bWxQSwUGAAAAAAYA&#10;BgBZAQAAvQUAAAAA&#10;">
                <v:fill on="t" focussize="0,0"/>
                <v:stroke color="#000000" joinstyle="miter"/>
                <v:imagedata o:title=""/>
                <o:lock v:ext="edit" aspectratio="f"/>
                <v:textbox style="mso-fit-shape-to-text:t;">
                  <w:txbxContent>
                    <w:p w14:paraId="1C035888">
                      <w:pPr>
                        <w:pStyle w:val="5"/>
                        <w:ind w:left="0" w:firstLine="0" w:firstLineChars="0"/>
                        <w:rPr>
                          <w:rFonts w:hint="eastAsia" w:ascii="黑体" w:hAnsi="黑体" w:eastAsia="黑体" w:cs="宋体"/>
                          <w:bCs/>
                          <w:sz w:val="24"/>
                          <w:szCs w:val="24"/>
                          <w:lang w:val="en-US"/>
                        </w:rPr>
                      </w:pPr>
                      <w:r>
                        <w:rPr>
                          <w:rFonts w:hint="eastAsia" w:ascii="黑体" w:hAnsi="黑体" w:eastAsia="黑体" w:cs="宋体"/>
                          <w:bCs/>
                          <w:sz w:val="24"/>
                          <w:szCs w:val="24"/>
                          <w:lang w:val="en-US"/>
                        </w:rPr>
                        <w:t>专栏</w:t>
                      </w:r>
                      <w:r>
                        <w:rPr>
                          <w:rFonts w:hint="default" w:ascii="Times New Roman" w:hAnsi="Times New Roman" w:eastAsia="黑体" w:cs="Times New Roman"/>
                          <w:bCs/>
                          <w:sz w:val="24"/>
                          <w:szCs w:val="24"/>
                          <w:lang w:val="en-US" w:eastAsia="zh-CN"/>
                        </w:rPr>
                        <w:t>6</w:t>
                      </w:r>
                      <w:r>
                        <w:rPr>
                          <w:rFonts w:hint="eastAsia" w:ascii="黑体" w:hAnsi="黑体" w:eastAsia="黑体" w:cs="宋体"/>
                          <w:bCs/>
                          <w:sz w:val="24"/>
                          <w:szCs w:val="24"/>
                          <w:lang w:val="en-US" w:eastAsia="zh-CN"/>
                        </w:rPr>
                        <w:t xml:space="preserve">                  </w:t>
                      </w:r>
                      <w:r>
                        <w:rPr>
                          <w:rFonts w:hint="eastAsia" w:ascii="黑体" w:hAnsi="黑体" w:eastAsia="黑体" w:cs="宋体"/>
                          <w:bCs/>
                          <w:sz w:val="24"/>
                          <w:szCs w:val="24"/>
                          <w:lang w:val="en-US"/>
                        </w:rPr>
                        <w:t xml:space="preserve">  生活服务业重点建设项目</w:t>
                      </w:r>
                    </w:p>
                    <w:p w14:paraId="4C342A90">
                      <w:pPr>
                        <w:pStyle w:val="5"/>
                        <w:ind w:left="0" w:firstLine="0" w:firstLineChars="0"/>
                        <w:rPr>
                          <w:rFonts w:hint="eastAsia" w:ascii="黑体" w:hAnsi="黑体" w:eastAsia="黑体" w:cs="宋体"/>
                          <w:bCs/>
                          <w:sz w:val="24"/>
                          <w:szCs w:val="24"/>
                          <w:lang w:val="en-US"/>
                        </w:rPr>
                      </w:pPr>
                    </w:p>
                    <w:p w14:paraId="2B66E4CA">
                      <w:pPr>
                        <w:pStyle w:val="5"/>
                        <w:ind w:left="0" w:firstLine="480" w:firstLineChars="200"/>
                        <w:rPr>
                          <w:rFonts w:cs="宋体" w:asciiTheme="minorEastAsia" w:hAnsiTheme="minorEastAsia" w:eastAsiaTheme="minorEastAsia"/>
                          <w:bCs/>
                          <w:sz w:val="24"/>
                          <w:szCs w:val="24"/>
                          <w:lang w:val="en-US"/>
                        </w:rPr>
                      </w:pPr>
                      <w:r>
                        <w:rPr>
                          <w:rFonts w:cs="宋体" w:asciiTheme="minorEastAsia" w:hAnsiTheme="minorEastAsia" w:eastAsiaTheme="minorEastAsia"/>
                          <w:bCs/>
                          <w:sz w:val="24"/>
                          <w:szCs w:val="24"/>
                          <w:lang w:val="en-US"/>
                        </w:rPr>
                        <w:t>龙鑫汇金商业广场项目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伊吾县西区商住楼开发项目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瑞祥集贸市场改造项目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龙鑫开元汇金商业楼项目</w:t>
                      </w:r>
                      <w:r>
                        <w:rPr>
                          <w:rFonts w:hint="eastAsia" w:cs="宋体" w:asciiTheme="minorEastAsia" w:hAnsiTheme="minorEastAsia" w:eastAsiaTheme="minorEastAsia"/>
                          <w:bCs/>
                          <w:sz w:val="24"/>
                          <w:szCs w:val="24"/>
                          <w:lang w:val="en-US"/>
                        </w:rPr>
                        <w:t>；伊吾县工业园区企业员工住宅楼建设项目。</w:t>
                      </w:r>
                    </w:p>
                  </w:txbxContent>
                </v:textbox>
                <w10:wrap type="square"/>
              </v:shape>
            </w:pict>
          </mc:Fallback>
        </mc:AlternateContent>
      </w:r>
    </w:p>
    <w:p w14:paraId="1A2657DC">
      <w:pPr>
        <w:pStyle w:val="3"/>
        <w:spacing w:line="560" w:lineRule="exact"/>
        <w:jc w:val="center"/>
        <w:rPr>
          <w:rFonts w:eastAsia="方正黑体_GBK"/>
          <w:b w:val="0"/>
          <w:bCs/>
          <w:color w:val="000000"/>
          <w:sz w:val="36"/>
          <w:szCs w:val="36"/>
        </w:rPr>
      </w:pPr>
      <w:bookmarkStart w:id="82" w:name="_Toc75285112"/>
      <w:r>
        <w:rPr>
          <w:rFonts w:hint="eastAsia" w:eastAsia="方正黑体_GBK"/>
          <w:b w:val="0"/>
          <w:bCs/>
          <w:color w:val="000000"/>
          <w:sz w:val="36"/>
          <w:szCs w:val="36"/>
        </w:rPr>
        <w:t>第七篇  坚持扩大内需战略基点 促进形成新发展格局</w:t>
      </w:r>
      <w:bookmarkEnd w:id="82"/>
    </w:p>
    <w:p w14:paraId="516AA5BC">
      <w:pPr>
        <w:spacing w:line="580"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坚定不移实施扩大内需战略，深化供给侧结构性改革，用好国内大市场，着力扩投资、促消费，推进向西开放，主动融入国内国际双循环，为经济高质量发展提供动力。加快智慧伊吾建设，实施城镇市政、道路基础设施智能化建设。</w:t>
      </w:r>
    </w:p>
    <w:p w14:paraId="22EAD2EA">
      <w:pPr>
        <w:pStyle w:val="2"/>
        <w:spacing w:line="560" w:lineRule="exact"/>
        <w:jc w:val="center"/>
        <w:rPr>
          <w:rFonts w:ascii="Times New Roman" w:hAnsi="Times New Roman" w:eastAsia="方正楷体_GBK"/>
          <w:b w:val="0"/>
          <w:bCs w:val="0"/>
          <w:color w:val="000000"/>
          <w:kern w:val="0"/>
          <w:sz w:val="32"/>
        </w:rPr>
      </w:pPr>
      <w:bookmarkStart w:id="83" w:name="_Toc13564"/>
      <w:bookmarkStart w:id="84" w:name="_Toc75285113"/>
      <w:r>
        <w:rPr>
          <w:rFonts w:ascii="Times New Roman" w:hAnsi="Times New Roman" w:eastAsia="方正楷体_GBK"/>
          <w:b w:val="0"/>
          <w:bCs w:val="0"/>
          <w:color w:val="000000"/>
          <w:kern w:val="0"/>
          <w:sz w:val="32"/>
        </w:rPr>
        <w:t>第一章  加强水利设施建设</w:t>
      </w:r>
      <w:bookmarkEnd w:id="83"/>
      <w:bookmarkEnd w:id="84"/>
    </w:p>
    <w:p w14:paraId="2D7F4CF1">
      <w:pPr>
        <w:spacing w:line="580"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围绕重大水利工程、农村饮水安全、水土保持与防洪、水利配套及小农水基层服务体系建设等，实施水利重点项目和水利基础设施建设，巩固提升城乡饮水工程建设，推进水利事业高质量发展。</w:t>
      </w:r>
    </w:p>
    <w:p w14:paraId="5099D481">
      <w:pPr>
        <w:spacing w:line="580" w:lineRule="exact"/>
        <w:ind w:firstLine="643" w:firstLineChars="200"/>
        <w:rPr>
          <w:rFonts w:ascii="Times New Roman" w:hAnsi="Times New Roman" w:eastAsia="方正仿宋_GBK" w:cs="Times New Roman"/>
          <w:color w:val="000000"/>
          <w:kern w:val="2"/>
          <w:sz w:val="32"/>
          <w:szCs w:val="32"/>
          <w:lang w:val="en-US" w:eastAsia="zh-CN" w:bidi="ar-SA"/>
        </w:rPr>
      </w:pPr>
      <w:bookmarkStart w:id="85" w:name="_Toc32598"/>
      <w:bookmarkStart w:id="86" w:name="_Toc17517"/>
      <w:bookmarkStart w:id="87" w:name="_Toc5246"/>
      <w:bookmarkStart w:id="88" w:name="_Toc2500"/>
      <w:bookmarkStart w:id="89" w:name="_Toc24306"/>
      <w:r>
        <w:rPr>
          <w:rFonts w:ascii="Times New Roman" w:hAnsi="Times New Roman" w:eastAsia="方正楷体_GBK"/>
          <w:b/>
          <w:bCs/>
          <w:color w:val="000000"/>
          <w:sz w:val="32"/>
          <w:szCs w:val="32"/>
        </w:rPr>
        <w:t>加快重大水利工程建设</w:t>
      </w:r>
      <w:bookmarkEnd w:id="85"/>
      <w:bookmarkEnd w:id="86"/>
      <w:bookmarkEnd w:id="87"/>
      <w:r>
        <w:rPr>
          <w:rFonts w:ascii="Times New Roman" w:hAnsi="Times New Roman" w:eastAsia="方正楷体_GBK"/>
          <w:b/>
          <w:bCs/>
          <w:color w:val="000000"/>
          <w:sz w:val="32"/>
          <w:szCs w:val="32"/>
        </w:rPr>
        <w:t>。</w:t>
      </w:r>
      <w:r>
        <w:rPr>
          <w:rFonts w:ascii="Times New Roman" w:hAnsi="Times New Roman" w:eastAsia="方正仿宋_GBK" w:cs="Times New Roman"/>
          <w:color w:val="000000"/>
          <w:kern w:val="2"/>
          <w:sz w:val="32"/>
          <w:szCs w:val="32"/>
          <w:lang w:val="en-US" w:eastAsia="zh-CN" w:bidi="ar-SA"/>
        </w:rPr>
        <w:t>全面落实河（湖）长制，深入推进河湖水域岸线管理和保护范围划界工作。完善水土保持、防洪体系等治理建设，完善伊吾河流域水土保持和水环境综合治理建设，完善区域农村饮水安全巩固提升建设，切实保障农牧民饮水安全。“十四五”期间</w:t>
      </w:r>
      <w:bookmarkEnd w:id="88"/>
      <w:bookmarkEnd w:id="89"/>
      <w:r>
        <w:rPr>
          <w:rFonts w:ascii="Times New Roman" w:hAnsi="Times New Roman" w:eastAsia="方正仿宋_GBK" w:cs="Times New Roman"/>
          <w:color w:val="000000"/>
          <w:kern w:val="2"/>
          <w:sz w:val="32"/>
          <w:szCs w:val="32"/>
          <w:lang w:val="en-US" w:eastAsia="zh-CN" w:bidi="ar-SA"/>
        </w:rPr>
        <w:t>重点推进</w:t>
      </w:r>
      <w:r>
        <w:rPr>
          <w:rFonts w:hint="eastAsia" w:ascii="Times New Roman" w:hAnsi="Times New Roman" w:eastAsia="方正仿宋_GBK" w:cs="Times New Roman"/>
          <w:color w:val="000000"/>
          <w:kern w:val="2"/>
          <w:sz w:val="32"/>
          <w:szCs w:val="32"/>
          <w:lang w:val="en-US" w:eastAsia="zh-CN" w:bidi="ar-SA"/>
        </w:rPr>
        <w:t>水利</w:t>
      </w:r>
      <w:r>
        <w:rPr>
          <w:rFonts w:ascii="Times New Roman" w:hAnsi="Times New Roman" w:eastAsia="方正仿宋_GBK" w:cs="Times New Roman"/>
          <w:color w:val="000000"/>
          <w:kern w:val="2"/>
          <w:sz w:val="32"/>
          <w:szCs w:val="32"/>
          <w:lang w:val="en-US" w:eastAsia="zh-CN" w:bidi="ar-SA"/>
        </w:rPr>
        <w:t>工程、峡沟水库提质增效、灌区续建配套与现代化改造、伊吾河水土保持综合治理、城乡一体化供水工程、代尔昆代水库工程、工业园区新区供水管道工程、农村智慧供水等项目；优化水利配套设施，加强水利行业现代化监管水平。</w:t>
      </w:r>
    </w:p>
    <w:p w14:paraId="4FCE5851">
      <w:pPr>
        <w:spacing w:line="580" w:lineRule="exact"/>
        <w:ind w:firstLine="643" w:firstLineChars="200"/>
        <w:rPr>
          <w:rFonts w:ascii="Times New Roman" w:hAnsi="Times New Roman" w:eastAsia="方正仿宋_GBK" w:cs="Times New Roman"/>
          <w:color w:val="000000"/>
          <w:kern w:val="2"/>
          <w:sz w:val="32"/>
          <w:szCs w:val="32"/>
          <w:lang w:val="en-US" w:eastAsia="zh-CN" w:bidi="ar-SA"/>
        </w:rPr>
      </w:pPr>
      <w:bookmarkStart w:id="90" w:name="_Toc25768"/>
      <w:bookmarkStart w:id="91" w:name="_Toc28139"/>
      <w:bookmarkStart w:id="92" w:name="_Toc24871"/>
      <w:bookmarkStart w:id="93" w:name="_Toc200"/>
      <w:bookmarkStart w:id="94" w:name="_Toc11996"/>
      <w:r>
        <w:rPr>
          <w:rFonts w:ascii="Times New Roman" w:hAnsi="Times New Roman" w:eastAsia="方正楷体_GBK"/>
          <w:b/>
          <w:bCs/>
          <w:color w:val="000000"/>
          <w:sz w:val="32"/>
          <w:szCs w:val="32"/>
        </w:rPr>
        <w:t>优化水利配套设施</w:t>
      </w:r>
      <w:bookmarkEnd w:id="90"/>
      <w:bookmarkEnd w:id="91"/>
      <w:bookmarkEnd w:id="92"/>
      <w:r>
        <w:rPr>
          <w:rFonts w:ascii="Times New Roman" w:hAnsi="Times New Roman" w:eastAsia="方正楷体_GBK"/>
          <w:b/>
          <w:bCs/>
          <w:color w:val="000000"/>
          <w:sz w:val="32"/>
          <w:szCs w:val="32"/>
        </w:rPr>
        <w:t>。</w:t>
      </w:r>
      <w:r>
        <w:rPr>
          <w:rFonts w:ascii="Times New Roman" w:hAnsi="Times New Roman" w:eastAsia="方正仿宋_GBK" w:cs="Times New Roman"/>
          <w:color w:val="000000"/>
          <w:kern w:val="2"/>
          <w:sz w:val="32"/>
          <w:szCs w:val="32"/>
          <w:lang w:val="en-US" w:eastAsia="zh-CN" w:bidi="ar-SA"/>
        </w:rPr>
        <w:t>升级完善城乡园区企业防汛会商环境，建设重点水库、淖毛湖、伊吾镇会商调度室。维护水利设施自动</w:t>
      </w:r>
      <w:r>
        <w:rPr>
          <w:rFonts w:hint="eastAsia" w:ascii="Times New Roman" w:hAnsi="Times New Roman" w:eastAsia="方正仿宋_GBK" w:cs="Times New Roman"/>
          <w:color w:val="000000"/>
          <w:kern w:val="2"/>
          <w:sz w:val="32"/>
          <w:szCs w:val="32"/>
          <w:lang w:val="en-US" w:eastAsia="zh-CN" w:bidi="ar-SA"/>
        </w:rPr>
        <w:t>监测</w:t>
      </w:r>
      <w:r>
        <w:rPr>
          <w:rFonts w:ascii="Times New Roman" w:hAnsi="Times New Roman" w:eastAsia="方正仿宋_GBK" w:cs="Times New Roman"/>
          <w:color w:val="000000"/>
          <w:kern w:val="2"/>
          <w:sz w:val="32"/>
          <w:szCs w:val="32"/>
          <w:lang w:val="en-US" w:eastAsia="zh-CN" w:bidi="ar-SA"/>
        </w:rPr>
        <w:t>站网和分中心运转。保障机井、引水管网、计量设施等正常运转，推进伊吾河流域、淖毛湖灌区、吐葫芦灌区等区域农业水价综合改革</w:t>
      </w:r>
      <w:r>
        <w:rPr>
          <w:rFonts w:hint="eastAsia" w:ascii="Times New Roman" w:hAnsi="Times New Roman" w:eastAsia="方正仿宋_GBK" w:cs="Times New Roman"/>
          <w:color w:val="000000"/>
          <w:kern w:val="2"/>
          <w:sz w:val="32"/>
          <w:szCs w:val="32"/>
          <w:lang w:val="en-US" w:eastAsia="zh-CN" w:bidi="ar-SA"/>
        </w:rPr>
        <w:t>、</w:t>
      </w:r>
      <w:r>
        <w:rPr>
          <w:rFonts w:ascii="Times New Roman" w:hAnsi="Times New Roman" w:eastAsia="方正仿宋_GBK" w:cs="Times New Roman"/>
          <w:color w:val="000000"/>
          <w:kern w:val="2"/>
          <w:sz w:val="32"/>
          <w:szCs w:val="32"/>
          <w:lang w:val="en-US" w:eastAsia="zh-CN" w:bidi="ar-SA"/>
        </w:rPr>
        <w:t>量测水设施配套建设。推进节水配套改造项目建设。</w:t>
      </w:r>
      <w:bookmarkEnd w:id="93"/>
      <w:bookmarkEnd w:id="94"/>
    </w:p>
    <w:p w14:paraId="7D948DC6">
      <w:pPr>
        <w:pStyle w:val="2"/>
        <w:jc w:val="center"/>
        <w:rPr>
          <w:rFonts w:ascii="Times New Roman" w:hAnsi="Times New Roman" w:eastAsia="方正楷体_GBK"/>
          <w:b w:val="0"/>
          <w:bCs w:val="0"/>
          <w:color w:val="000000"/>
          <w:kern w:val="0"/>
          <w:sz w:val="32"/>
        </w:rPr>
      </w:pPr>
      <w:r>
        <w:rPr>
          <w:sz w:val="32"/>
        </w:rPr>
        <mc:AlternateContent>
          <mc:Choice Requires="wps">
            <w:drawing>
              <wp:anchor distT="0" distB="0" distL="114300" distR="114300" simplePos="0" relativeHeight="251675648" behindDoc="0" locked="0" layoutInCell="1" allowOverlap="1">
                <wp:simplePos x="0" y="0"/>
                <wp:positionH relativeFrom="column">
                  <wp:posOffset>42545</wp:posOffset>
                </wp:positionH>
                <wp:positionV relativeFrom="paragraph">
                  <wp:posOffset>572770</wp:posOffset>
                </wp:positionV>
                <wp:extent cx="5589905" cy="0"/>
                <wp:effectExtent l="0" t="0" r="0" b="0"/>
                <wp:wrapNone/>
                <wp:docPr id="19" name="直接连接符 19"/>
                <wp:cNvGraphicFramePr/>
                <a:graphic xmlns:a="http://schemas.openxmlformats.org/drawingml/2006/main">
                  <a:graphicData uri="http://schemas.microsoft.com/office/word/2010/wordprocessingShape">
                    <wps:wsp>
                      <wps:cNvCnPr/>
                      <wps:spPr>
                        <a:xfrm>
                          <a:off x="1014730" y="4470400"/>
                          <a:ext cx="55899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35pt;margin-top:45.1pt;height:0pt;width:440.15pt;z-index:251675648;mso-width-relative:page;mso-height-relative:page;" filled="f" stroked="t" coordsize="21600,21600" o:gfxdata="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rKZCR1AAAAAcB&#10;AAAPAAAAAAAAAAEAIAAAACIAAABkcnMvZG93bnJldi54bWxQSwECFAAUAAAACACHTuJA//h3JOYB&#10;AACoAwAADgAAAAAAAAABACAAAAAjAQAAZHJzL2Uyb0RvYy54bWxQSwUGAAAAAAYABgBZAQAAewUA&#10;AAAA&#10;">
                <v:fill on="f" focussize="0,0"/>
                <v:stroke color="#000000 [3213]" joinstyle="round"/>
                <v:imagedata o:title=""/>
                <o:lock v:ext="edit" aspectratio="f"/>
              </v:line>
            </w:pict>
          </mc:Fallback>
        </mc:AlternateContent>
      </w:r>
      <w:r>
        <w:rPr>
          <w:rFonts w:ascii="Times New Roman" w:hAnsi="Times New Roman" w:eastAsia="方正楷体_GBK"/>
          <w:b/>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42545</wp:posOffset>
                </wp:positionH>
                <wp:positionV relativeFrom="paragraph">
                  <wp:posOffset>255270</wp:posOffset>
                </wp:positionV>
                <wp:extent cx="5283835" cy="1884045"/>
                <wp:effectExtent l="5080" t="4445" r="6985" b="16510"/>
                <wp:wrapSquare wrapText="bothSides"/>
                <wp:docPr id="4" name="文本框 2704"/>
                <wp:cNvGraphicFramePr/>
                <a:graphic xmlns:a="http://schemas.openxmlformats.org/drawingml/2006/main">
                  <a:graphicData uri="http://schemas.microsoft.com/office/word/2010/wordprocessingShape">
                    <wps:wsp>
                      <wps:cNvSpPr txBox="1"/>
                      <wps:spPr>
                        <a:xfrm>
                          <a:off x="0" y="0"/>
                          <a:ext cx="5283835" cy="1884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B222E7F">
                            <w:pPr>
                              <w:pStyle w:val="5"/>
                              <w:ind w:left="0" w:firstLine="0" w:firstLineChars="0"/>
                              <w:rPr>
                                <w:rFonts w:hint="eastAsia" w:ascii="黑体" w:hAnsi="黑体" w:eastAsia="黑体" w:cs="宋体"/>
                                <w:bCs/>
                                <w:sz w:val="24"/>
                                <w:szCs w:val="24"/>
                                <w:lang w:val="en-US"/>
                              </w:rPr>
                            </w:pPr>
                            <w:r>
                              <w:rPr>
                                <w:rFonts w:hint="eastAsia" w:ascii="黑体" w:hAnsi="黑体" w:eastAsia="黑体" w:cs="宋体"/>
                                <w:bCs/>
                                <w:sz w:val="24"/>
                                <w:szCs w:val="24"/>
                                <w:lang w:val="en-US"/>
                              </w:rPr>
                              <w:t>专栏</w:t>
                            </w:r>
                            <w:r>
                              <w:rPr>
                                <w:rFonts w:hint="default" w:ascii="Times New Roman" w:hAnsi="Times New Roman" w:eastAsia="黑体" w:cs="Times New Roman"/>
                                <w:bCs/>
                                <w:sz w:val="24"/>
                                <w:szCs w:val="24"/>
                                <w:lang w:val="en-US" w:eastAsia="zh-CN"/>
                              </w:rPr>
                              <w:t xml:space="preserve">7 </w:t>
                            </w:r>
                            <w:r>
                              <w:rPr>
                                <w:rFonts w:hint="eastAsia" w:ascii="黑体" w:hAnsi="黑体" w:eastAsia="黑体" w:cs="宋体"/>
                                <w:bCs/>
                                <w:sz w:val="24"/>
                                <w:szCs w:val="24"/>
                                <w:lang w:val="en-US" w:eastAsia="zh-CN"/>
                              </w:rPr>
                              <w:t xml:space="preserve">                    </w:t>
                            </w:r>
                            <w:r>
                              <w:rPr>
                                <w:rFonts w:hint="eastAsia" w:ascii="黑体" w:hAnsi="黑体" w:eastAsia="黑体" w:cs="宋体"/>
                                <w:bCs/>
                                <w:sz w:val="24"/>
                                <w:szCs w:val="24"/>
                                <w:lang w:val="en-US"/>
                              </w:rPr>
                              <w:t xml:space="preserve">  水利重点建设项目</w:t>
                            </w:r>
                          </w:p>
                          <w:p w14:paraId="5A126E97">
                            <w:pPr>
                              <w:pStyle w:val="5"/>
                              <w:ind w:left="0" w:firstLine="0" w:firstLineChars="0"/>
                              <w:rPr>
                                <w:rFonts w:hint="eastAsia" w:ascii="黑体" w:hAnsi="黑体" w:eastAsia="黑体" w:cs="宋体"/>
                                <w:bCs/>
                                <w:sz w:val="24"/>
                                <w:szCs w:val="24"/>
                                <w:lang w:val="en-US"/>
                              </w:rPr>
                            </w:pPr>
                          </w:p>
                          <w:p w14:paraId="6260EC15">
                            <w:pPr>
                              <w:pStyle w:val="5"/>
                              <w:ind w:left="0" w:firstLine="480" w:firstLineChars="200"/>
                              <w:rPr>
                                <w:rFonts w:cs="宋体" w:asciiTheme="minorEastAsia" w:hAnsiTheme="minorEastAsia" w:eastAsiaTheme="minorEastAsia"/>
                                <w:bCs/>
                                <w:sz w:val="24"/>
                                <w:szCs w:val="24"/>
                                <w:lang w:val="en-US"/>
                              </w:rPr>
                            </w:pPr>
                            <w:r>
                              <w:rPr>
                                <w:rFonts w:cs="宋体" w:asciiTheme="minorEastAsia" w:hAnsiTheme="minorEastAsia" w:eastAsiaTheme="minorEastAsia"/>
                                <w:bCs/>
                                <w:sz w:val="24"/>
                                <w:szCs w:val="24"/>
                                <w:lang w:val="en-US"/>
                              </w:rPr>
                              <w:t>吐葫芦灌区续建配套与现代化改造建设项目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四道白杨沟水库管理提升工程</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伊吾河水环境综合治理工程</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伊吾河水土保持综合治理项目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淖毛湖渠首除险加固工程项目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吐葫芦乡大白杨沟防洪治理工程</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下马崖水库除险加固工程</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托勒库勒湖生态环境修复与保护项目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西部城乡一体化工程</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山洪沟治理项目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代尔昆代水库工程</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工业园区新区供水管道工程</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伊吾县东部城乡一体化工程</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淖毛湖灌区续建配套与现代化改造</w:t>
                            </w:r>
                            <w:r>
                              <w:rPr>
                                <w:rFonts w:hint="eastAsia" w:cs="宋体" w:asciiTheme="minorEastAsia" w:hAnsiTheme="minorEastAsia" w:eastAsiaTheme="minorEastAsia"/>
                                <w:bCs/>
                                <w:sz w:val="24"/>
                                <w:szCs w:val="24"/>
                                <w:lang w:val="en-US"/>
                              </w:rPr>
                              <w:t>项目；</w:t>
                            </w:r>
                            <w:r>
                              <w:rPr>
                                <w:rFonts w:cs="宋体" w:asciiTheme="minorEastAsia" w:hAnsiTheme="minorEastAsia" w:eastAsiaTheme="minorEastAsia"/>
                                <w:bCs/>
                                <w:sz w:val="24"/>
                                <w:szCs w:val="24"/>
                                <w:lang w:val="en-US"/>
                              </w:rPr>
                              <w:t>小型农田水利工程建设项目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前山乡标准水厂建设及供水管网维修项目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小型水库维修养护工程</w:t>
                            </w:r>
                            <w:r>
                              <w:rPr>
                                <w:rFonts w:hint="eastAsia" w:cs="宋体" w:asciiTheme="minorEastAsia" w:hAnsiTheme="minorEastAsia" w:eastAsiaTheme="minorEastAsia"/>
                                <w:bCs/>
                                <w:sz w:val="24"/>
                                <w:szCs w:val="24"/>
                                <w:lang w:val="en-US"/>
                              </w:rPr>
                              <w:t>；苇子峡乡至淖毛湖段绿色通道灌溉系统更新改建项目；伊吾县峡沟水库提质增效项目。</w:t>
                            </w:r>
                          </w:p>
                        </w:txbxContent>
                      </wps:txbx>
                      <wps:bodyPr wrap="none" upright="1">
                        <a:spAutoFit/>
                      </wps:bodyPr>
                    </wps:wsp>
                  </a:graphicData>
                </a:graphic>
              </wp:anchor>
            </w:drawing>
          </mc:Choice>
          <mc:Fallback>
            <w:pict>
              <v:shape id="文本框 2704" o:spid="_x0000_s1026" o:spt="202" type="#_x0000_t202" style="position:absolute;left:0pt;margin-left:3.35pt;margin-top:20.1pt;height:148.35pt;width:416.05pt;mso-wrap-distance-bottom:0pt;mso-wrap-distance-left:9pt;mso-wrap-distance-right:9pt;mso-wrap-distance-top:0pt;mso-wrap-style:none;z-index:251661312;mso-width-relative:page;mso-height-relative:page;" fillcolor="#FFFFFF" filled="t" stroked="t" coordsize="21600,21600" o:gfxdata="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f/suT2gAAAAgBAAAPAAAAAAAAAAEAIAAAACIAAABkcnMvZG93bnJldi54bWxQSwECFAAUAAAA&#10;CACHTuJAgcqKBiUCAABuBAAADgAAAAAAAAABACAAAAApAQAAZHJzL2Uyb0RvYy54bWxQSwUGAAAA&#10;AAYABgBZAQAAwAUAAAAA&#10;">
                <v:fill on="t" focussize="0,0"/>
                <v:stroke color="#000000" joinstyle="miter"/>
                <v:imagedata o:title=""/>
                <o:lock v:ext="edit" aspectratio="f"/>
                <v:textbox style="mso-fit-shape-to-text:t;">
                  <w:txbxContent>
                    <w:p w14:paraId="3B222E7F">
                      <w:pPr>
                        <w:pStyle w:val="5"/>
                        <w:ind w:left="0" w:firstLine="0" w:firstLineChars="0"/>
                        <w:rPr>
                          <w:rFonts w:hint="eastAsia" w:ascii="黑体" w:hAnsi="黑体" w:eastAsia="黑体" w:cs="宋体"/>
                          <w:bCs/>
                          <w:sz w:val="24"/>
                          <w:szCs w:val="24"/>
                          <w:lang w:val="en-US"/>
                        </w:rPr>
                      </w:pPr>
                      <w:r>
                        <w:rPr>
                          <w:rFonts w:hint="eastAsia" w:ascii="黑体" w:hAnsi="黑体" w:eastAsia="黑体" w:cs="宋体"/>
                          <w:bCs/>
                          <w:sz w:val="24"/>
                          <w:szCs w:val="24"/>
                          <w:lang w:val="en-US"/>
                        </w:rPr>
                        <w:t>专栏</w:t>
                      </w:r>
                      <w:r>
                        <w:rPr>
                          <w:rFonts w:hint="default" w:ascii="Times New Roman" w:hAnsi="Times New Roman" w:eastAsia="黑体" w:cs="Times New Roman"/>
                          <w:bCs/>
                          <w:sz w:val="24"/>
                          <w:szCs w:val="24"/>
                          <w:lang w:val="en-US" w:eastAsia="zh-CN"/>
                        </w:rPr>
                        <w:t xml:space="preserve">7 </w:t>
                      </w:r>
                      <w:r>
                        <w:rPr>
                          <w:rFonts w:hint="eastAsia" w:ascii="黑体" w:hAnsi="黑体" w:eastAsia="黑体" w:cs="宋体"/>
                          <w:bCs/>
                          <w:sz w:val="24"/>
                          <w:szCs w:val="24"/>
                          <w:lang w:val="en-US" w:eastAsia="zh-CN"/>
                        </w:rPr>
                        <w:t xml:space="preserve">                    </w:t>
                      </w:r>
                      <w:r>
                        <w:rPr>
                          <w:rFonts w:hint="eastAsia" w:ascii="黑体" w:hAnsi="黑体" w:eastAsia="黑体" w:cs="宋体"/>
                          <w:bCs/>
                          <w:sz w:val="24"/>
                          <w:szCs w:val="24"/>
                          <w:lang w:val="en-US"/>
                        </w:rPr>
                        <w:t xml:space="preserve">  水利重点建设项目</w:t>
                      </w:r>
                    </w:p>
                    <w:p w14:paraId="5A126E97">
                      <w:pPr>
                        <w:pStyle w:val="5"/>
                        <w:ind w:left="0" w:firstLine="0" w:firstLineChars="0"/>
                        <w:rPr>
                          <w:rFonts w:hint="eastAsia" w:ascii="黑体" w:hAnsi="黑体" w:eastAsia="黑体" w:cs="宋体"/>
                          <w:bCs/>
                          <w:sz w:val="24"/>
                          <w:szCs w:val="24"/>
                          <w:lang w:val="en-US"/>
                        </w:rPr>
                      </w:pPr>
                    </w:p>
                    <w:p w14:paraId="6260EC15">
                      <w:pPr>
                        <w:pStyle w:val="5"/>
                        <w:ind w:left="0" w:firstLine="480" w:firstLineChars="200"/>
                        <w:rPr>
                          <w:rFonts w:cs="宋体" w:asciiTheme="minorEastAsia" w:hAnsiTheme="minorEastAsia" w:eastAsiaTheme="minorEastAsia"/>
                          <w:bCs/>
                          <w:sz w:val="24"/>
                          <w:szCs w:val="24"/>
                          <w:lang w:val="en-US"/>
                        </w:rPr>
                      </w:pPr>
                      <w:r>
                        <w:rPr>
                          <w:rFonts w:cs="宋体" w:asciiTheme="minorEastAsia" w:hAnsiTheme="minorEastAsia" w:eastAsiaTheme="minorEastAsia"/>
                          <w:bCs/>
                          <w:sz w:val="24"/>
                          <w:szCs w:val="24"/>
                          <w:lang w:val="en-US"/>
                        </w:rPr>
                        <w:t>吐葫芦灌区续建配套与现代化改造建设项目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四道白杨沟水库管理提升工程</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伊吾河水环境综合治理工程</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伊吾河水土保持综合治理项目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淖毛湖渠首除险加固工程项目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吐葫芦乡大白杨沟防洪治理工程</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下马崖水库除险加固工程</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托勒库勒湖生态环境修复与保护项目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西部城乡一体化工程</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山洪沟治理项目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代尔昆代水库工程</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工业园区新区供水管道工程</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伊吾县东部城乡一体化工程</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淖毛湖灌区续建配套与现代化改造</w:t>
                      </w:r>
                      <w:r>
                        <w:rPr>
                          <w:rFonts w:hint="eastAsia" w:cs="宋体" w:asciiTheme="minorEastAsia" w:hAnsiTheme="minorEastAsia" w:eastAsiaTheme="minorEastAsia"/>
                          <w:bCs/>
                          <w:sz w:val="24"/>
                          <w:szCs w:val="24"/>
                          <w:lang w:val="en-US"/>
                        </w:rPr>
                        <w:t>项目；</w:t>
                      </w:r>
                      <w:r>
                        <w:rPr>
                          <w:rFonts w:cs="宋体" w:asciiTheme="minorEastAsia" w:hAnsiTheme="minorEastAsia" w:eastAsiaTheme="minorEastAsia"/>
                          <w:bCs/>
                          <w:sz w:val="24"/>
                          <w:szCs w:val="24"/>
                          <w:lang w:val="en-US"/>
                        </w:rPr>
                        <w:t>小型农田水利工程建设项目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前山乡标准水厂建设及供水管网维修项目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小型水库维修养护工程</w:t>
                      </w:r>
                      <w:r>
                        <w:rPr>
                          <w:rFonts w:hint="eastAsia" w:cs="宋体" w:asciiTheme="minorEastAsia" w:hAnsiTheme="minorEastAsia" w:eastAsiaTheme="minorEastAsia"/>
                          <w:bCs/>
                          <w:sz w:val="24"/>
                          <w:szCs w:val="24"/>
                          <w:lang w:val="en-US"/>
                        </w:rPr>
                        <w:t>；苇子峡乡至淖毛湖段绿色通道灌溉系统更新改建项目；伊吾县峡沟水库提质增效项目。</w:t>
                      </w:r>
                    </w:p>
                  </w:txbxContent>
                </v:textbox>
                <w10:wrap type="square"/>
              </v:shape>
            </w:pict>
          </mc:Fallback>
        </mc:AlternateContent>
      </w:r>
      <w:bookmarkStart w:id="95" w:name="_Toc31473"/>
      <w:bookmarkStart w:id="96" w:name="_Toc75285114"/>
      <w:r>
        <w:rPr>
          <w:rFonts w:ascii="Times New Roman" w:hAnsi="Times New Roman" w:eastAsia="方正楷体_GBK"/>
          <w:b w:val="0"/>
          <w:bCs w:val="0"/>
          <w:color w:val="000000"/>
          <w:kern w:val="0"/>
          <w:sz w:val="32"/>
        </w:rPr>
        <w:t>第二章  加强交通设施建设</w:t>
      </w:r>
      <w:bookmarkEnd w:id="95"/>
      <w:bookmarkEnd w:id="96"/>
    </w:p>
    <w:p w14:paraId="7F8246D5">
      <w:pPr>
        <w:spacing w:line="580"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完善交通规划布局，夯实基础设施建设，加大科技示范引领，强化城市公共交通与其他交通方式衔接，促进伊吾交通内通外达、便捷高效、立体互联，打造交通强县，推进交通事业高质量发展。</w:t>
      </w:r>
    </w:p>
    <w:p w14:paraId="0F554B7F">
      <w:pPr>
        <w:spacing w:line="580" w:lineRule="exact"/>
        <w:ind w:firstLine="643" w:firstLineChars="200"/>
        <w:rPr>
          <w:rFonts w:ascii="Times New Roman" w:hAnsi="Times New Roman" w:eastAsia="方正仿宋_GBK" w:cs="Times New Roman"/>
          <w:color w:val="000000"/>
          <w:kern w:val="2"/>
          <w:sz w:val="32"/>
          <w:szCs w:val="32"/>
          <w:lang w:val="en-US" w:eastAsia="zh-CN" w:bidi="ar-SA"/>
        </w:rPr>
      </w:pPr>
      <w:bookmarkStart w:id="97" w:name="_Toc4211"/>
      <w:bookmarkStart w:id="98" w:name="_Toc17546"/>
      <w:bookmarkStart w:id="99" w:name="_Toc14523"/>
      <w:bookmarkStart w:id="100" w:name="_Toc16074"/>
      <w:bookmarkStart w:id="101" w:name="_Toc14925"/>
      <w:r>
        <w:rPr>
          <w:rFonts w:ascii="Times New Roman" w:hAnsi="Times New Roman" w:eastAsia="方正楷体_GBK"/>
          <w:b/>
          <w:bCs/>
          <w:color w:val="000000"/>
          <w:sz w:val="32"/>
          <w:szCs w:val="32"/>
        </w:rPr>
        <w:t>完善交通网络</w:t>
      </w:r>
      <w:bookmarkEnd w:id="97"/>
      <w:bookmarkEnd w:id="98"/>
      <w:bookmarkEnd w:id="99"/>
      <w:r>
        <w:rPr>
          <w:rFonts w:ascii="Times New Roman" w:hAnsi="Times New Roman" w:eastAsia="方正楷体_GBK"/>
          <w:b/>
          <w:bCs/>
          <w:color w:val="000000"/>
          <w:sz w:val="32"/>
          <w:szCs w:val="32"/>
        </w:rPr>
        <w:t>体系。</w:t>
      </w:r>
      <w:r>
        <w:rPr>
          <w:rFonts w:ascii="Times New Roman" w:hAnsi="Times New Roman" w:eastAsia="方正仿宋_GBK" w:cs="Times New Roman"/>
          <w:color w:val="000000"/>
          <w:kern w:val="2"/>
          <w:sz w:val="32"/>
          <w:szCs w:val="32"/>
          <w:lang w:val="en-US" w:eastAsia="zh-CN" w:bidi="ar-SA"/>
        </w:rPr>
        <w:t>加快构建“公路+铁路+航空”立体交通网。加快推进伊吾通用机场项目建设，力争“十四五”期间建成通航。重点推进将军庙-淖毛湖铁路建设，提升工业园区铁路快装系统建设，完善联通兰新、哈临两个出疆通道。重点推进G331线伊吾段建设，抓好牛圈湖-前山资源公路、县城到苇子峡公路提升改造、县城潮州路提升改造项目等交通建设项目进度。推进城乡“断头路”畅通工程和“瓶颈路”拓宽工程。完善农村公路网络，进一步开展农村公路黑色化工程，提高路面铺装水平。全面提高农村公路网密度、扩大连通度加快旅游公路建设，抓好苇子峡至玉尔墩等旅游路建设项目。高起点建设一批旅游路、产业路、资源路，有力推动美丽乡村建设，促进交通引领、旅游主导、产业融合、文化带动等深度融合，形成县城公路交通、文化与旅游融合发展大格局。</w:t>
      </w:r>
      <w:bookmarkEnd w:id="100"/>
      <w:bookmarkEnd w:id="101"/>
    </w:p>
    <w:p w14:paraId="70FBA495">
      <w:pPr>
        <w:spacing w:line="580" w:lineRule="exact"/>
        <w:ind w:firstLine="643" w:firstLineChars="200"/>
        <w:rPr>
          <w:rFonts w:ascii="Times New Roman" w:hAnsi="Times New Roman" w:eastAsia="方正仿宋_GBK" w:cs="Times New Roman"/>
          <w:color w:val="000000"/>
          <w:kern w:val="2"/>
          <w:sz w:val="32"/>
          <w:szCs w:val="32"/>
          <w:lang w:val="en-US" w:eastAsia="zh-CN" w:bidi="ar-SA"/>
        </w:rPr>
      </w:pPr>
      <w:bookmarkStart w:id="102" w:name="_Toc26459"/>
      <w:bookmarkStart w:id="103" w:name="_Toc11821"/>
      <w:bookmarkStart w:id="104" w:name="_Toc18449"/>
      <w:bookmarkStart w:id="105" w:name="_Toc29728"/>
      <w:bookmarkStart w:id="106" w:name="_Toc18977"/>
      <w:r>
        <w:rPr>
          <w:rFonts w:ascii="Times New Roman" w:hAnsi="Times New Roman" w:eastAsia="方正楷体_GBK"/>
          <w:b/>
          <w:bCs/>
          <w:color w:val="000000"/>
          <w:sz w:val="32"/>
          <w:szCs w:val="32"/>
        </w:rPr>
        <w:t>提升交通配套</w:t>
      </w:r>
      <w:bookmarkEnd w:id="102"/>
      <w:bookmarkEnd w:id="103"/>
      <w:bookmarkEnd w:id="104"/>
      <w:r>
        <w:rPr>
          <w:rFonts w:ascii="Times New Roman" w:hAnsi="Times New Roman" w:eastAsia="方正楷体_GBK"/>
          <w:b/>
          <w:bCs/>
          <w:color w:val="000000"/>
          <w:sz w:val="32"/>
          <w:szCs w:val="32"/>
        </w:rPr>
        <w:t>设施水平。</w:t>
      </w:r>
      <w:r>
        <w:rPr>
          <w:rFonts w:ascii="Times New Roman" w:hAnsi="Times New Roman" w:eastAsia="方正仿宋_GBK" w:cs="Times New Roman"/>
          <w:color w:val="000000"/>
          <w:kern w:val="2"/>
          <w:sz w:val="32"/>
          <w:szCs w:val="32"/>
          <w:lang w:val="en-US" w:eastAsia="zh-CN" w:bidi="ar-SA"/>
        </w:rPr>
        <w:t>完善充电桩、加气站、城乡客运站等布局建设，提升立体交通网络联通周转、快速接驳效率。推动运输信息共享和监管协同，健全运营补偿和结算机制。提升5G、物联网等支撑现代交通能力建设，全面推进城市公交信息化管理，建设内容涵盖电子站牌、公交“一卡通”、公交智能化调度等。加快城区主要公交站台的智能显示屏建设，提供交通状况、站点信息、换乘服务和相关综合信息服务，推动网约车智能化管理，提高出租服务能力。</w:t>
      </w:r>
      <w:bookmarkEnd w:id="105"/>
      <w:bookmarkEnd w:id="106"/>
    </w:p>
    <w:p w14:paraId="1342F03F">
      <w:pPr>
        <w:pStyle w:val="5"/>
        <w:ind w:left="0" w:leftChars="0" w:firstLine="0" w:firstLineChars="0"/>
        <w:jc w:val="center"/>
        <w:rPr>
          <w:rFonts w:ascii="Times New Roman" w:hAnsi="Times New Roman" w:eastAsia="方正楷体_GBK" w:cs="Times New Roman"/>
          <w:b w:val="0"/>
          <w:bCs w:val="0"/>
          <w:color w:val="000000"/>
          <w:kern w:val="0"/>
          <w:sz w:val="32"/>
          <w:szCs w:val="32"/>
          <w:lang w:val="en-US" w:eastAsia="zh-CN" w:bidi="ar-SA"/>
        </w:rPr>
      </w:pPr>
      <w:r>
        <w:rPr>
          <w:sz w:val="32"/>
        </w:rPr>
        <mc:AlternateContent>
          <mc:Choice Requires="wps">
            <w:drawing>
              <wp:anchor distT="0" distB="0" distL="114300" distR="114300" simplePos="0" relativeHeight="251676672" behindDoc="0" locked="0" layoutInCell="1" allowOverlap="1">
                <wp:simplePos x="0" y="0"/>
                <wp:positionH relativeFrom="column">
                  <wp:posOffset>6350</wp:posOffset>
                </wp:positionH>
                <wp:positionV relativeFrom="paragraph">
                  <wp:posOffset>320040</wp:posOffset>
                </wp:positionV>
                <wp:extent cx="5589905" cy="0"/>
                <wp:effectExtent l="0" t="0" r="0" b="0"/>
                <wp:wrapNone/>
                <wp:docPr id="20" name="直接连接符 20"/>
                <wp:cNvGraphicFramePr/>
                <a:graphic xmlns:a="http://schemas.openxmlformats.org/drawingml/2006/main">
                  <a:graphicData uri="http://schemas.microsoft.com/office/word/2010/wordprocessingShape">
                    <wps:wsp>
                      <wps:cNvCnPr/>
                      <wps:spPr>
                        <a:xfrm>
                          <a:off x="978535" y="2280920"/>
                          <a:ext cx="55899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25.2pt;height:0pt;width:440.15pt;z-index:251676672;mso-width-relative:page;mso-height-relative:page;" filled="f" stroked="t" coordsize="21600,21600" o:gfxdata="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YCmotQAAAAHAQAA&#10;DwAAAAAAAAABACAAAAAiAAAAZHJzL2Rvd25yZXYueG1sUEsBAhQAFAAAAAgAh07iQLvwt1bkAQAA&#10;pwMAAA4AAAAAAAAAAQAgAAAAIwEAAGRycy9lMm9Eb2MueG1sUEsFBgAAAAAGAAYAWQEAAHkFAAAA&#10;AA==&#10;">
                <v:fill on="f" focussize="0,0"/>
                <v:stroke color="#000000 [3213]" joinstyle="round"/>
                <v:imagedata o:title=""/>
                <o:lock v:ext="edit" aspectratio="f"/>
              </v:line>
            </w:pict>
          </mc:Fallback>
        </mc:AlternateContent>
      </w:r>
      <w:r>
        <w:rPr>
          <w:rFonts w:ascii="Times New Roman" w:hAnsi="Times New Roman" w:eastAsia="方正楷体_GBK" w:cs="Times New Roman"/>
          <w:b w:val="0"/>
          <w:bCs w:val="0"/>
          <w:color w:val="000000"/>
          <w:kern w:val="0"/>
          <w:sz w:val="32"/>
          <w:szCs w:val="32"/>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6350</wp:posOffset>
                </wp:positionV>
                <wp:extent cx="5283835" cy="1685925"/>
                <wp:effectExtent l="5080" t="4445" r="6985" b="5080"/>
                <wp:wrapSquare wrapText="bothSides"/>
                <wp:docPr id="5" name="文本框 2705"/>
                <wp:cNvGraphicFramePr/>
                <a:graphic xmlns:a="http://schemas.openxmlformats.org/drawingml/2006/main">
                  <a:graphicData uri="http://schemas.microsoft.com/office/word/2010/wordprocessingShape">
                    <wps:wsp>
                      <wps:cNvSpPr txBox="1"/>
                      <wps:spPr>
                        <a:xfrm>
                          <a:off x="0" y="0"/>
                          <a:ext cx="5283835" cy="16859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4434EDC">
                            <w:pPr>
                              <w:pStyle w:val="5"/>
                              <w:ind w:left="0" w:firstLine="0" w:firstLineChars="0"/>
                              <w:rPr>
                                <w:rFonts w:hint="eastAsia" w:ascii="黑体" w:hAnsi="黑体" w:eastAsia="黑体" w:cs="宋体"/>
                                <w:bCs/>
                                <w:sz w:val="24"/>
                                <w:szCs w:val="24"/>
                                <w:lang w:val="en-US"/>
                              </w:rPr>
                            </w:pPr>
                            <w:r>
                              <w:rPr>
                                <w:rFonts w:hint="eastAsia" w:ascii="黑体" w:hAnsi="黑体" w:eastAsia="黑体" w:cs="宋体"/>
                                <w:bCs/>
                                <w:sz w:val="24"/>
                                <w:szCs w:val="24"/>
                                <w:lang w:val="en-US"/>
                              </w:rPr>
                              <w:t>专栏</w:t>
                            </w:r>
                            <w:r>
                              <w:rPr>
                                <w:rFonts w:hint="default" w:ascii="Times New Roman" w:hAnsi="Times New Roman" w:eastAsia="黑体" w:cs="Times New Roman"/>
                                <w:bCs/>
                                <w:sz w:val="24"/>
                                <w:szCs w:val="24"/>
                                <w:lang w:val="en-US" w:eastAsia="zh-CN"/>
                              </w:rPr>
                              <w:t xml:space="preserve">8 </w:t>
                            </w:r>
                            <w:r>
                              <w:rPr>
                                <w:rFonts w:hint="eastAsia" w:ascii="黑体" w:hAnsi="黑体" w:eastAsia="黑体" w:cs="宋体"/>
                                <w:bCs/>
                                <w:sz w:val="24"/>
                                <w:szCs w:val="24"/>
                                <w:lang w:val="en-US" w:eastAsia="zh-CN"/>
                              </w:rPr>
                              <w:t xml:space="preserve">                    </w:t>
                            </w:r>
                            <w:r>
                              <w:rPr>
                                <w:rFonts w:hint="eastAsia" w:ascii="黑体" w:hAnsi="黑体" w:eastAsia="黑体" w:cs="宋体"/>
                                <w:bCs/>
                                <w:sz w:val="24"/>
                                <w:szCs w:val="24"/>
                                <w:lang w:val="en-US"/>
                              </w:rPr>
                              <w:t xml:space="preserve">  交通重点建设项目</w:t>
                            </w:r>
                          </w:p>
                          <w:p w14:paraId="0F3DBE28">
                            <w:pPr>
                              <w:pStyle w:val="5"/>
                              <w:ind w:left="0" w:firstLine="0" w:firstLineChars="0"/>
                              <w:rPr>
                                <w:rFonts w:hint="eastAsia" w:ascii="黑体" w:hAnsi="黑体" w:eastAsia="黑体" w:cs="宋体"/>
                                <w:bCs/>
                                <w:sz w:val="24"/>
                                <w:szCs w:val="24"/>
                                <w:lang w:val="en-US"/>
                              </w:rPr>
                            </w:pPr>
                          </w:p>
                          <w:p w14:paraId="0981853C">
                            <w:pPr>
                              <w:pStyle w:val="5"/>
                              <w:ind w:left="0" w:firstLine="480" w:firstLineChars="200"/>
                              <w:rPr>
                                <w:rFonts w:cs="宋体" w:asciiTheme="minorEastAsia" w:hAnsiTheme="minorEastAsia" w:eastAsiaTheme="minorEastAsia"/>
                                <w:bCs/>
                                <w:sz w:val="24"/>
                                <w:szCs w:val="24"/>
                                <w:lang w:val="en-US"/>
                              </w:rPr>
                            </w:pPr>
                            <w:r>
                              <w:rPr>
                                <w:rFonts w:hint="eastAsia" w:cs="宋体" w:asciiTheme="minorEastAsia" w:hAnsiTheme="minorEastAsia" w:eastAsiaTheme="minorEastAsia"/>
                                <w:bCs/>
                                <w:sz w:val="24"/>
                                <w:szCs w:val="24"/>
                                <w:lang w:val="en-US"/>
                              </w:rPr>
                              <w:t>1、公路。淖毛湖镇民光村-胡杨林入口道路工程；吐葫芦库吕克-大白杨沟道路工程；伊吾县村级道路工程；G335线至七个鹿村道路工程；G335线至玉里贵村道路工程；下马崖乡至G331连接线建设项目；伊吾县通自然村硬化路建设项目；伊吾县撤并建制村通硬化路建设项目；X115潮洲路段改建工程山南开发区2021年村级主干道工程；伊吾县县城迎宾大道西延建设项目。</w:t>
                            </w:r>
                          </w:p>
                          <w:p w14:paraId="6565E093">
                            <w:pPr>
                              <w:pStyle w:val="5"/>
                              <w:ind w:left="0" w:firstLine="480" w:firstLineChars="200"/>
                              <w:rPr>
                                <w:rFonts w:cs="宋体" w:asciiTheme="minorEastAsia" w:hAnsiTheme="minorEastAsia" w:eastAsiaTheme="minorEastAsia"/>
                                <w:bCs/>
                                <w:sz w:val="24"/>
                                <w:szCs w:val="24"/>
                                <w:lang w:val="en-US"/>
                              </w:rPr>
                            </w:pPr>
                            <w:r>
                              <w:rPr>
                                <w:rFonts w:hint="eastAsia" w:cs="宋体" w:asciiTheme="minorEastAsia" w:hAnsiTheme="minorEastAsia" w:eastAsiaTheme="minorEastAsia"/>
                                <w:bCs/>
                                <w:sz w:val="24"/>
                                <w:szCs w:val="24"/>
                                <w:lang w:val="en-US"/>
                              </w:rPr>
                              <w:t>2、铁路。新疆红淖三铁路有限公司红淖铁路广汇站新建集装箱货场项目；将军庙—淖毛湖铁路建设项目（伊吾段）；伊吾工业园区铁路快装线建设项目。</w:t>
                            </w:r>
                          </w:p>
                        </w:txbxContent>
                      </wps:txbx>
                      <wps:bodyPr wrap="none" upright="1">
                        <a:spAutoFit/>
                      </wps:bodyPr>
                    </wps:wsp>
                  </a:graphicData>
                </a:graphic>
              </wp:anchor>
            </w:drawing>
          </mc:Choice>
          <mc:Fallback>
            <w:pict>
              <v:shape id="文本框 2705" o:spid="_x0000_s1026" o:spt="202" type="#_x0000_t202" style="position:absolute;left:0pt;margin-left:0.5pt;margin-top:0.5pt;height:132.75pt;width:416.05pt;mso-wrap-distance-bottom:0pt;mso-wrap-distance-left:9pt;mso-wrap-distance-right:9pt;mso-wrap-distance-top:0pt;mso-wrap-style:none;z-index:251662336;mso-width-relative:page;mso-height-relative:page;" fillcolor="#FFFFFF" filled="t" stroked="t" coordsize="21600,21600" o:gfxdata="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T1rwNgAAAAHAQAADwAAAAAAAAABACAAAAAiAAAAZHJzL2Rvd25yZXYueG1sUEsBAhQAFAAA&#10;AAgAh07iQJfMDD0oAgAAbgQAAA4AAAAAAAAAAQAgAAAAJwEAAGRycy9lMm9Eb2MueG1sUEsFBgAA&#10;AAAGAAYAWQEAAMEFAAAAAA==&#10;">
                <v:fill on="t" focussize="0,0"/>
                <v:stroke color="#000000" joinstyle="miter"/>
                <v:imagedata o:title=""/>
                <o:lock v:ext="edit" aspectratio="f"/>
                <v:textbox style="mso-fit-shape-to-text:t;">
                  <w:txbxContent>
                    <w:p w14:paraId="74434EDC">
                      <w:pPr>
                        <w:pStyle w:val="5"/>
                        <w:ind w:left="0" w:firstLine="0" w:firstLineChars="0"/>
                        <w:rPr>
                          <w:rFonts w:hint="eastAsia" w:ascii="黑体" w:hAnsi="黑体" w:eastAsia="黑体" w:cs="宋体"/>
                          <w:bCs/>
                          <w:sz w:val="24"/>
                          <w:szCs w:val="24"/>
                          <w:lang w:val="en-US"/>
                        </w:rPr>
                      </w:pPr>
                      <w:r>
                        <w:rPr>
                          <w:rFonts w:hint="eastAsia" w:ascii="黑体" w:hAnsi="黑体" w:eastAsia="黑体" w:cs="宋体"/>
                          <w:bCs/>
                          <w:sz w:val="24"/>
                          <w:szCs w:val="24"/>
                          <w:lang w:val="en-US"/>
                        </w:rPr>
                        <w:t>专栏</w:t>
                      </w:r>
                      <w:r>
                        <w:rPr>
                          <w:rFonts w:hint="default" w:ascii="Times New Roman" w:hAnsi="Times New Roman" w:eastAsia="黑体" w:cs="Times New Roman"/>
                          <w:bCs/>
                          <w:sz w:val="24"/>
                          <w:szCs w:val="24"/>
                          <w:lang w:val="en-US" w:eastAsia="zh-CN"/>
                        </w:rPr>
                        <w:t xml:space="preserve">8 </w:t>
                      </w:r>
                      <w:r>
                        <w:rPr>
                          <w:rFonts w:hint="eastAsia" w:ascii="黑体" w:hAnsi="黑体" w:eastAsia="黑体" w:cs="宋体"/>
                          <w:bCs/>
                          <w:sz w:val="24"/>
                          <w:szCs w:val="24"/>
                          <w:lang w:val="en-US" w:eastAsia="zh-CN"/>
                        </w:rPr>
                        <w:t xml:space="preserve">                    </w:t>
                      </w:r>
                      <w:r>
                        <w:rPr>
                          <w:rFonts w:hint="eastAsia" w:ascii="黑体" w:hAnsi="黑体" w:eastAsia="黑体" w:cs="宋体"/>
                          <w:bCs/>
                          <w:sz w:val="24"/>
                          <w:szCs w:val="24"/>
                          <w:lang w:val="en-US"/>
                        </w:rPr>
                        <w:t xml:space="preserve">  交通重点建设项目</w:t>
                      </w:r>
                    </w:p>
                    <w:p w14:paraId="0F3DBE28">
                      <w:pPr>
                        <w:pStyle w:val="5"/>
                        <w:ind w:left="0" w:firstLine="0" w:firstLineChars="0"/>
                        <w:rPr>
                          <w:rFonts w:hint="eastAsia" w:ascii="黑体" w:hAnsi="黑体" w:eastAsia="黑体" w:cs="宋体"/>
                          <w:bCs/>
                          <w:sz w:val="24"/>
                          <w:szCs w:val="24"/>
                          <w:lang w:val="en-US"/>
                        </w:rPr>
                      </w:pPr>
                    </w:p>
                    <w:p w14:paraId="0981853C">
                      <w:pPr>
                        <w:pStyle w:val="5"/>
                        <w:ind w:left="0" w:firstLine="480" w:firstLineChars="200"/>
                        <w:rPr>
                          <w:rFonts w:cs="宋体" w:asciiTheme="minorEastAsia" w:hAnsiTheme="minorEastAsia" w:eastAsiaTheme="minorEastAsia"/>
                          <w:bCs/>
                          <w:sz w:val="24"/>
                          <w:szCs w:val="24"/>
                          <w:lang w:val="en-US"/>
                        </w:rPr>
                      </w:pPr>
                      <w:r>
                        <w:rPr>
                          <w:rFonts w:hint="eastAsia" w:cs="宋体" w:asciiTheme="minorEastAsia" w:hAnsiTheme="minorEastAsia" w:eastAsiaTheme="minorEastAsia"/>
                          <w:bCs/>
                          <w:sz w:val="24"/>
                          <w:szCs w:val="24"/>
                          <w:lang w:val="en-US"/>
                        </w:rPr>
                        <w:t>1、公路。淖毛湖镇民光村-胡杨林入口道路工程；吐葫芦库吕克-大白杨沟道路工程；伊吾县村级道路工程；G335线至七个鹿村道路工程；G335线至玉里贵村道路工程；下马崖乡至G331连接线建设项目；伊吾县通自然村硬化路建设项目；伊吾县撤并建制村通硬化路建设项目；X115潮洲路段改建工程山南开发区2021年村级主干道工程；伊吾县县城迎宾大道西延建设项目。</w:t>
                      </w:r>
                    </w:p>
                    <w:p w14:paraId="6565E093">
                      <w:pPr>
                        <w:pStyle w:val="5"/>
                        <w:ind w:left="0" w:firstLine="480" w:firstLineChars="200"/>
                        <w:rPr>
                          <w:rFonts w:cs="宋体" w:asciiTheme="minorEastAsia" w:hAnsiTheme="minorEastAsia" w:eastAsiaTheme="minorEastAsia"/>
                          <w:bCs/>
                          <w:sz w:val="24"/>
                          <w:szCs w:val="24"/>
                          <w:lang w:val="en-US"/>
                        </w:rPr>
                      </w:pPr>
                      <w:r>
                        <w:rPr>
                          <w:rFonts w:hint="eastAsia" w:cs="宋体" w:asciiTheme="minorEastAsia" w:hAnsiTheme="minorEastAsia" w:eastAsiaTheme="minorEastAsia"/>
                          <w:bCs/>
                          <w:sz w:val="24"/>
                          <w:szCs w:val="24"/>
                          <w:lang w:val="en-US"/>
                        </w:rPr>
                        <w:t>2、铁路。新疆红淖三铁路有限公司红淖铁路广汇站新建集装箱货场项目；将军庙—淖毛湖铁路建设项目（伊吾段）；伊吾工业园区铁路快装线建设项目。</w:t>
                      </w:r>
                    </w:p>
                  </w:txbxContent>
                </v:textbox>
                <w10:wrap type="square"/>
              </v:shape>
            </w:pict>
          </mc:Fallback>
        </mc:AlternateContent>
      </w:r>
      <w:bookmarkStart w:id="107" w:name="_Toc5291"/>
      <w:r>
        <w:rPr>
          <w:rFonts w:ascii="Times New Roman" w:hAnsi="Times New Roman" w:eastAsia="方正楷体_GBK" w:cs="Times New Roman"/>
          <w:b w:val="0"/>
          <w:bCs w:val="0"/>
          <w:color w:val="000000"/>
          <w:kern w:val="0"/>
          <w:sz w:val="32"/>
          <w:szCs w:val="32"/>
          <w:lang w:val="en-US" w:eastAsia="zh-CN" w:bidi="ar-SA"/>
        </w:rPr>
        <w:t>第三章  加强能源设施建设</w:t>
      </w:r>
      <w:bookmarkEnd w:id="107"/>
    </w:p>
    <w:p w14:paraId="60F98F00">
      <w:pPr>
        <w:spacing w:line="580"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补齐电力、油气等传统能源设施建设短板，完善配套服务体系，推进节能、新能源等产业发展，推进能源事业高质量发展。</w:t>
      </w:r>
    </w:p>
    <w:p w14:paraId="47D771D7">
      <w:pPr>
        <w:spacing w:line="580" w:lineRule="exact"/>
        <w:ind w:firstLine="643" w:firstLineChars="200"/>
        <w:rPr>
          <w:rFonts w:ascii="Times New Roman" w:hAnsi="Times New Roman" w:eastAsia="方正仿宋_GBK" w:cs="Times New Roman"/>
          <w:color w:val="000000"/>
          <w:kern w:val="2"/>
          <w:sz w:val="32"/>
          <w:szCs w:val="32"/>
          <w:lang w:val="en-US" w:eastAsia="zh-CN" w:bidi="ar-SA"/>
        </w:rPr>
      </w:pPr>
      <w:bookmarkStart w:id="108" w:name="_Toc12552"/>
      <w:bookmarkStart w:id="109" w:name="_Toc28441"/>
      <w:r>
        <w:rPr>
          <w:rFonts w:ascii="Times New Roman" w:hAnsi="Times New Roman" w:eastAsia="方正楷体_GBK"/>
          <w:b/>
          <w:bCs/>
          <w:color w:val="000000"/>
          <w:sz w:val="32"/>
          <w:szCs w:val="32"/>
        </w:rPr>
        <w:t>提升电力基础设施水平。</w:t>
      </w:r>
      <w:r>
        <w:rPr>
          <w:rFonts w:ascii="Times New Roman" w:hAnsi="Times New Roman" w:eastAsia="方正仿宋_GBK" w:cs="Times New Roman"/>
          <w:color w:val="000000"/>
          <w:kern w:val="2"/>
          <w:sz w:val="32"/>
          <w:szCs w:val="32"/>
          <w:lang w:val="en-US" w:eastAsia="zh-CN" w:bidi="ar-SA"/>
        </w:rPr>
        <w:t>围绕能源消费结构转变以及电力需求增长的要求，着力构筑坚强智能受端电网，进一步提升城乡电网的可靠性和供电能力。加快智能电网建设，推广建设智能变电站，开发、应用输变电设备状态诊断、智能巡检等新技术，加快部署配电自动化系统。建设百万千瓦级风光发电基地、“风光水火储一体化”、“源网荷储一体化”基地，加快推进“疆电外送”第三通道、淖毛湖750KV输变电工程、国网华电送出220KV主变扩容、伊吾淖毛湖风之力220千伏汇集站、园区电网改造、新区电网等项目建设。实施“互联网+”电力计划，积极探索将云计算、大数据、物联网、能源路由器等信息通信技术应用于电网建设，满足分布式能源、电动汽车发展等对电网的需求。加强农村电网升级改造，为农村改善生产生活条件奠定基础。</w:t>
      </w:r>
      <w:bookmarkEnd w:id="108"/>
      <w:bookmarkEnd w:id="109"/>
      <w:r>
        <w:rPr>
          <w:rFonts w:ascii="Times New Roman" w:hAnsi="Times New Roman" w:eastAsia="方正仿宋_GBK" w:cs="Times New Roman"/>
          <w:color w:val="000000"/>
          <w:kern w:val="2"/>
          <w:sz w:val="32"/>
          <w:szCs w:val="32"/>
          <w:lang w:val="en-US" w:eastAsia="zh-CN" w:bidi="ar-SA"/>
        </w:rPr>
        <w:t>积极参与谋划“疆电外送”通道前期工作。</w:t>
      </w:r>
    </w:p>
    <w:p w14:paraId="2D71041D">
      <w:pPr>
        <w:spacing w:line="580" w:lineRule="exact"/>
        <w:ind w:firstLine="643" w:firstLineChars="200"/>
        <w:rPr>
          <w:rFonts w:ascii="Times New Roman" w:hAnsi="Times New Roman" w:eastAsia="方正仿宋_GBK" w:cs="Times New Roman"/>
          <w:color w:val="000000"/>
          <w:kern w:val="2"/>
          <w:sz w:val="32"/>
          <w:szCs w:val="32"/>
          <w:lang w:val="en-US" w:eastAsia="zh-CN" w:bidi="ar-SA"/>
        </w:rPr>
      </w:pPr>
      <w:bookmarkStart w:id="110" w:name="_Toc11275"/>
      <w:bookmarkStart w:id="111" w:name="_Toc28444"/>
      <w:bookmarkStart w:id="112" w:name="_Toc7521"/>
      <w:bookmarkStart w:id="113" w:name="_Toc10670"/>
      <w:bookmarkStart w:id="114" w:name="_Toc28149"/>
      <w:r>
        <w:rPr>
          <w:rFonts w:ascii="Times New Roman" w:hAnsi="Times New Roman" w:eastAsia="方正楷体_GBK"/>
          <w:b/>
          <w:bCs/>
          <w:color w:val="000000"/>
          <w:sz w:val="32"/>
          <w:szCs w:val="32"/>
        </w:rPr>
        <w:t>提高燃气</w:t>
      </w:r>
      <w:bookmarkEnd w:id="110"/>
      <w:bookmarkEnd w:id="111"/>
      <w:bookmarkEnd w:id="112"/>
      <w:r>
        <w:rPr>
          <w:rFonts w:ascii="Times New Roman" w:hAnsi="Times New Roman" w:eastAsia="方正楷体_GBK"/>
          <w:b/>
          <w:bCs/>
          <w:color w:val="000000"/>
          <w:sz w:val="32"/>
          <w:szCs w:val="32"/>
        </w:rPr>
        <w:t>覆盖程度。</w:t>
      </w:r>
      <w:r>
        <w:rPr>
          <w:rFonts w:ascii="Times New Roman" w:hAnsi="Times New Roman" w:eastAsia="方正仿宋_GBK" w:cs="Times New Roman"/>
          <w:color w:val="000000"/>
          <w:kern w:val="2"/>
          <w:sz w:val="32"/>
          <w:szCs w:val="32"/>
          <w:lang w:val="en-US" w:eastAsia="zh-CN" w:bidi="ar-SA"/>
        </w:rPr>
        <w:t>完善城乡天然气管网输配体系，形成全域覆盖、稳定安全的天然气供应网络，加快天然气管线建设，实现主城镇全覆盖。实现有条件的城镇乡村和新型社区接通管道天然气。稳步推进加气站建设，完善车用燃气供应网络。实施智慧燃气工程，开发、利用物联网、红外及光纤探测等传感新技术，重点在城乡大型综合体、园区等场所和城镇地下燃气管网推广应用，构建智能化的燃气可视监控系统、调度系统等。</w:t>
      </w:r>
      <w:bookmarkEnd w:id="113"/>
      <w:bookmarkEnd w:id="114"/>
    </w:p>
    <w:p w14:paraId="36EF55DA">
      <w:pPr>
        <w:spacing w:line="580" w:lineRule="exact"/>
        <w:ind w:firstLine="643" w:firstLineChars="200"/>
        <w:rPr>
          <w:rFonts w:ascii="Times New Roman" w:hAnsi="Times New Roman" w:eastAsia="方正仿宋_GBK" w:cs="Times New Roman"/>
          <w:color w:val="000000"/>
          <w:kern w:val="2"/>
          <w:sz w:val="32"/>
          <w:szCs w:val="32"/>
          <w:lang w:val="en-US" w:eastAsia="zh-CN" w:bidi="ar-SA"/>
        </w:rPr>
      </w:pPr>
      <w:bookmarkStart w:id="115" w:name="_Toc27578"/>
      <w:bookmarkStart w:id="116" w:name="_Toc20765"/>
      <w:bookmarkStart w:id="117" w:name="_Toc30894"/>
      <w:bookmarkStart w:id="118" w:name="_Toc16220"/>
      <w:bookmarkStart w:id="119" w:name="_Toc21002"/>
      <w:r>
        <w:rPr>
          <w:rFonts w:ascii="Times New Roman" w:hAnsi="Times New Roman" w:eastAsia="方正楷体_GBK"/>
          <w:b/>
          <w:bCs/>
          <w:color w:val="000000"/>
          <w:sz w:val="32"/>
          <w:szCs w:val="32"/>
        </w:rPr>
        <w:t>加快成品油设施建设</w:t>
      </w:r>
      <w:bookmarkEnd w:id="115"/>
      <w:bookmarkEnd w:id="116"/>
      <w:bookmarkEnd w:id="117"/>
      <w:r>
        <w:rPr>
          <w:rFonts w:ascii="Times New Roman" w:hAnsi="Times New Roman" w:eastAsia="方正楷体_GBK"/>
          <w:b/>
          <w:bCs/>
          <w:color w:val="000000"/>
          <w:sz w:val="32"/>
          <w:szCs w:val="32"/>
        </w:rPr>
        <w:t>。</w:t>
      </w:r>
      <w:r>
        <w:rPr>
          <w:rFonts w:ascii="Times New Roman" w:hAnsi="Times New Roman" w:eastAsia="方正仿宋_GBK" w:cs="Times New Roman"/>
          <w:color w:val="000000"/>
          <w:kern w:val="2"/>
          <w:sz w:val="32"/>
          <w:szCs w:val="32"/>
          <w:lang w:val="en-US" w:eastAsia="zh-CN" w:bidi="ar-SA"/>
        </w:rPr>
        <w:t>推进吐哈油气盆地油气勘探开发。根据城镇化进程和过境高速公路服务站点需要，科学合理布局加油站站点和新增站点建设，持续完善加油站分销布局体系，满足加油需求，形成覆盖城乡、便捷安全的成品油零售网络体系。</w:t>
      </w:r>
      <w:bookmarkEnd w:id="118"/>
      <w:bookmarkEnd w:id="119"/>
    </w:p>
    <w:p w14:paraId="75A8D513">
      <w:pPr>
        <w:spacing w:line="580" w:lineRule="exact"/>
        <w:ind w:firstLine="643" w:firstLineChars="200"/>
        <w:rPr>
          <w:rFonts w:ascii="Times New Roman" w:hAnsi="Times New Roman" w:eastAsia="方正仿宋_GBK" w:cs="Times New Roman"/>
          <w:color w:val="000000"/>
          <w:kern w:val="2"/>
          <w:sz w:val="32"/>
          <w:szCs w:val="32"/>
          <w:lang w:val="en-US" w:eastAsia="zh-CN" w:bidi="ar-SA"/>
        </w:rPr>
      </w:pPr>
      <w:bookmarkStart w:id="120" w:name="_Toc8967"/>
      <w:bookmarkStart w:id="121" w:name="_Toc27296"/>
      <w:bookmarkStart w:id="122" w:name="_Toc5426"/>
      <w:bookmarkStart w:id="123" w:name="_Toc13187"/>
      <w:bookmarkStart w:id="124" w:name="_Toc23264"/>
      <w:r>
        <w:rPr>
          <w:rFonts w:ascii="Times New Roman" w:hAnsi="Times New Roman" w:eastAsia="方正楷体_GBK"/>
          <w:b/>
          <w:bCs/>
          <w:color w:val="000000"/>
          <w:sz w:val="32"/>
          <w:szCs w:val="32"/>
        </w:rPr>
        <w:t>推进新能源</w:t>
      </w:r>
      <w:bookmarkEnd w:id="120"/>
      <w:bookmarkEnd w:id="121"/>
      <w:bookmarkEnd w:id="122"/>
      <w:r>
        <w:rPr>
          <w:rFonts w:ascii="Times New Roman" w:hAnsi="Times New Roman" w:eastAsia="方正楷体_GBK"/>
          <w:b/>
          <w:bCs/>
          <w:color w:val="000000"/>
          <w:sz w:val="32"/>
          <w:szCs w:val="32"/>
        </w:rPr>
        <w:t>行业发展。</w:t>
      </w:r>
      <w:r>
        <w:rPr>
          <w:rFonts w:ascii="Times New Roman" w:hAnsi="Times New Roman" w:eastAsia="方正仿宋_GBK" w:cs="Times New Roman"/>
          <w:color w:val="000000"/>
          <w:kern w:val="2"/>
          <w:sz w:val="32"/>
          <w:szCs w:val="32"/>
          <w:lang w:val="en-US" w:eastAsia="zh-CN" w:bidi="ar-SA"/>
        </w:rPr>
        <w:t>按照因地制宜、统筹兼顾、综合利用、提高效率的思路，积极谋划一批新能源先导工程项目，进一步推进“疆电外送”第三通道配套电源项目，开展风电平价上网项目研究和建设，支持风、光、热等新能源发电行业发展壮大。</w:t>
      </w:r>
      <w:bookmarkEnd w:id="123"/>
      <w:bookmarkEnd w:id="124"/>
    </w:p>
    <w:p w14:paraId="5EC05320">
      <w:pPr>
        <w:pStyle w:val="2"/>
        <w:spacing w:line="560" w:lineRule="exact"/>
        <w:jc w:val="center"/>
        <w:rPr>
          <w:rFonts w:ascii="Times New Roman" w:hAnsi="Times New Roman" w:eastAsia="方正楷体_GBK"/>
          <w:b w:val="0"/>
          <w:bCs w:val="0"/>
          <w:color w:val="000000"/>
          <w:kern w:val="0"/>
          <w:sz w:val="32"/>
        </w:rPr>
      </w:pPr>
      <w:bookmarkStart w:id="125" w:name="_Toc75285115"/>
      <w:bookmarkStart w:id="126" w:name="_Toc8600"/>
      <w:r>
        <w:rPr>
          <w:rFonts w:ascii="Times New Roman" w:hAnsi="Times New Roman" w:eastAsia="方正楷体_GBK"/>
          <w:b w:val="0"/>
          <w:bCs w:val="0"/>
          <w:color w:val="000000"/>
          <w:kern w:val="0"/>
          <w:sz w:val="32"/>
        </w:rPr>
        <w:t>第四章  加强信息设施建设</w:t>
      </w:r>
      <w:bookmarkEnd w:id="125"/>
      <w:bookmarkEnd w:id="126"/>
    </w:p>
    <w:p w14:paraId="1CF950E4">
      <w:pPr>
        <w:spacing w:line="580" w:lineRule="exact"/>
        <w:ind w:firstLine="640" w:firstLineChars="200"/>
        <w:rPr>
          <w:rFonts w:ascii="Times New Roman" w:hAnsi="Times New Roman" w:eastAsia="仿宋_GB2312"/>
          <w:bCs/>
          <w:sz w:val="32"/>
          <w:szCs w:val="32"/>
        </w:rPr>
      </w:pPr>
      <w:r>
        <w:rPr>
          <w:rFonts w:ascii="Times New Roman" w:hAnsi="Times New Roman" w:eastAsia="方正仿宋_GBK" w:cs="Times New Roman"/>
          <w:color w:val="000000"/>
          <w:kern w:val="2"/>
          <w:sz w:val="32"/>
          <w:szCs w:val="32"/>
          <w:lang w:val="en-US" w:eastAsia="zh-CN" w:bidi="ar-SA"/>
        </w:rPr>
        <w:t>全面推进信息化基础设施建设，提升信息化建设水平，增强产业融合、城乡融合和公共服务建设的信息化、智能化、智慧化能力，推进信息事业高质量发展。积极开展试点示范，探索5G、人工智能、5G智慧矿山、5G电力系统、物联网等新一代信息技术在传统基础设施建设运营中的应用模式，持续推进深度融合，提升传统基础设施运行效率，实现高质量供给和服务能力。</w:t>
      </w:r>
    </w:p>
    <w:p w14:paraId="48AF06B0">
      <w:pPr>
        <w:spacing w:line="580" w:lineRule="exact"/>
        <w:ind w:firstLine="643" w:firstLineChars="200"/>
        <w:rPr>
          <w:rFonts w:ascii="Times New Roman" w:hAnsi="Times New Roman" w:eastAsia="方正仿宋_GBK" w:cs="Times New Roman"/>
          <w:color w:val="000000"/>
          <w:kern w:val="2"/>
          <w:sz w:val="32"/>
          <w:szCs w:val="32"/>
          <w:lang w:val="en-US" w:eastAsia="zh-CN" w:bidi="ar-SA"/>
        </w:rPr>
      </w:pPr>
      <w:bookmarkStart w:id="127" w:name="_Toc9375"/>
      <w:bookmarkStart w:id="128" w:name="_Toc28070"/>
      <w:bookmarkStart w:id="129" w:name="_Toc16524"/>
      <w:bookmarkStart w:id="130" w:name="_Toc668"/>
      <w:bookmarkStart w:id="131" w:name="_Toc16097"/>
      <w:r>
        <w:rPr>
          <w:rFonts w:ascii="Times New Roman" w:hAnsi="Times New Roman" w:eastAsia="方正楷体_GBK"/>
          <w:b/>
          <w:bCs/>
          <w:color w:val="000000"/>
          <w:sz w:val="32"/>
          <w:szCs w:val="32"/>
        </w:rPr>
        <w:t>提高信息基础设施建设</w:t>
      </w:r>
      <w:bookmarkEnd w:id="127"/>
      <w:bookmarkEnd w:id="128"/>
      <w:bookmarkEnd w:id="129"/>
      <w:r>
        <w:rPr>
          <w:rFonts w:ascii="Times New Roman" w:hAnsi="Times New Roman" w:eastAsia="方正楷体_GBK"/>
          <w:b/>
          <w:bCs/>
          <w:color w:val="000000"/>
          <w:sz w:val="32"/>
          <w:szCs w:val="32"/>
        </w:rPr>
        <w:t>水平。</w:t>
      </w:r>
      <w:r>
        <w:rPr>
          <w:rFonts w:ascii="Times New Roman" w:hAnsi="Times New Roman" w:eastAsia="方正仿宋_GBK" w:cs="Times New Roman"/>
          <w:color w:val="000000"/>
          <w:kern w:val="2"/>
          <w:sz w:val="32"/>
          <w:szCs w:val="32"/>
          <w:lang w:val="en-US" w:eastAsia="zh-CN" w:bidi="ar-SA"/>
        </w:rPr>
        <w:t>加快实施“数字伊吾智慧城市”战略，完善城乡信息网络一体化布局，完善城乡一体化通信设施建设，加快推进5G网络的全面开放和无线宽带覆盖建设，推进新一代信息基础设施节点布局，完善“最后一公里”光纤入户建设，尽早实现县城、工业园区5G网络全覆盖。搭建好“互联网+”政务、商务、教育、医疗、物流、文化、5G应用、综治等使用融合平台，实现信息基础设施服务好“数字乡村”建设，促进信息基础设施支撑好“美丽伊吾”建设。</w:t>
      </w:r>
      <w:bookmarkEnd w:id="130"/>
      <w:bookmarkEnd w:id="131"/>
    </w:p>
    <w:p w14:paraId="083D81B7">
      <w:pPr>
        <w:spacing w:line="580" w:lineRule="exact"/>
        <w:ind w:firstLine="643" w:firstLineChars="200"/>
        <w:rPr>
          <w:rFonts w:ascii="Times New Roman" w:hAnsi="Times New Roman" w:eastAsia="方正仿宋_GBK" w:cs="Times New Roman"/>
          <w:color w:val="000000"/>
          <w:kern w:val="2"/>
          <w:sz w:val="32"/>
          <w:szCs w:val="32"/>
          <w:lang w:val="en-US" w:eastAsia="zh-CN" w:bidi="ar-SA"/>
        </w:rPr>
      </w:pPr>
      <w:bookmarkStart w:id="132" w:name="_Toc1065"/>
      <w:bookmarkStart w:id="133" w:name="_Toc4372"/>
      <w:bookmarkStart w:id="134" w:name="_Toc7368"/>
      <w:bookmarkStart w:id="135" w:name="_Toc13919"/>
      <w:bookmarkStart w:id="136" w:name="_Toc12712"/>
      <w:r>
        <w:rPr>
          <w:rFonts w:ascii="Times New Roman" w:hAnsi="Times New Roman" w:eastAsia="方正楷体_GBK"/>
          <w:b/>
          <w:bCs/>
          <w:color w:val="000000"/>
          <w:sz w:val="32"/>
          <w:szCs w:val="32"/>
        </w:rPr>
        <w:t>提升信息应用配套</w:t>
      </w:r>
      <w:bookmarkEnd w:id="132"/>
      <w:bookmarkEnd w:id="133"/>
      <w:bookmarkEnd w:id="134"/>
      <w:r>
        <w:rPr>
          <w:rFonts w:ascii="Times New Roman" w:hAnsi="Times New Roman" w:eastAsia="方正楷体_GBK"/>
          <w:b/>
          <w:bCs/>
          <w:color w:val="000000"/>
          <w:sz w:val="32"/>
          <w:szCs w:val="32"/>
        </w:rPr>
        <w:t>能力。</w:t>
      </w:r>
      <w:r>
        <w:rPr>
          <w:rFonts w:ascii="Times New Roman" w:hAnsi="Times New Roman" w:eastAsia="方正仿宋_GBK" w:cs="Times New Roman"/>
          <w:color w:val="000000"/>
          <w:kern w:val="2"/>
          <w:sz w:val="32"/>
          <w:szCs w:val="32"/>
          <w:lang w:val="en-US" w:eastAsia="zh-CN" w:bidi="ar-SA"/>
        </w:rPr>
        <w:t>加快“数字伊吾”建设，推动城镇市政基础设施、城乡交通、医疗、环卫、物流、仓储等设施智能化改造，全面提升城乡管理和服务水平。推进信息资源共享交换平台建设，实现跨行业和系统的行政审批服务和资源交易数据共享共用。加强信息网络体系人才队伍体系建设，做好信息设施及数据库保护工作。</w:t>
      </w:r>
      <w:bookmarkEnd w:id="135"/>
      <w:bookmarkEnd w:id="136"/>
    </w:p>
    <w:p w14:paraId="7A3C4097">
      <w:pPr>
        <w:spacing w:line="580" w:lineRule="exact"/>
        <w:ind w:firstLine="643"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楷体_GBK"/>
          <w:b/>
          <w:bCs/>
          <w:color w:val="000000"/>
          <w:sz w:val="32"/>
          <w:szCs w:val="32"/>
        </w:rPr>
        <w:t>集约建设县城综合信息载体。</w:t>
      </w:r>
      <w:r>
        <w:rPr>
          <w:rFonts w:ascii="Times New Roman" w:hAnsi="Times New Roman" w:eastAsia="方正仿宋_GBK" w:cs="Times New Roman"/>
          <w:color w:val="000000"/>
          <w:kern w:val="2"/>
          <w:sz w:val="32"/>
          <w:szCs w:val="32"/>
          <w:lang w:val="en-US" w:eastAsia="zh-CN" w:bidi="ar-SA"/>
        </w:rPr>
        <w:t>城市感知设施统一建设涉及杆柱、管道等载体的配套，应统筹规划多功能信息杆柱建设，构建伊吾县统一杆塔信息平台，探索建立杆塔资源共建共享和有偿使用制度。积极推动智慧管网(廊)建设，统筹部署或预埋环境感知、状态监测、信号传输、运行控制等各类数字化设施，建设支撑管网、管廊智能检修设备的综合运营平台。</w:t>
      </w:r>
    </w:p>
    <w:p w14:paraId="45209F0B">
      <w:pPr>
        <w:pStyle w:val="2"/>
        <w:spacing w:line="560" w:lineRule="exact"/>
        <w:jc w:val="center"/>
        <w:rPr>
          <w:rFonts w:ascii="Times New Roman" w:hAnsi="Times New Roman" w:eastAsia="方正楷体_GBK"/>
          <w:b w:val="0"/>
          <w:bCs w:val="0"/>
          <w:color w:val="000000"/>
          <w:kern w:val="0"/>
          <w:sz w:val="32"/>
        </w:rPr>
      </w:pPr>
      <w:bookmarkStart w:id="137" w:name="_Toc75285116"/>
      <w:r>
        <w:rPr>
          <w:rFonts w:ascii="Times New Roman" w:hAnsi="Times New Roman" w:eastAsia="方正楷体_GBK"/>
          <w:b w:val="0"/>
          <w:bCs w:val="0"/>
          <w:color w:val="000000"/>
          <w:kern w:val="0"/>
          <w:sz w:val="32"/>
        </w:rPr>
        <w:t>第五章  着力促进消费</w:t>
      </w:r>
      <w:bookmarkEnd w:id="137"/>
    </w:p>
    <w:p w14:paraId="7ED70A00">
      <w:pPr>
        <w:spacing w:line="580"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顺应消费升级趋势，完善促进消费体制机制，提升传统消费，培育新型消费，合理增加公共消费，增强消费对经济发展的基础性作用。以打造品牌经济为重点，促进消费向绿色、健康、安全发展，鼓励消费新模式新业态发展。持续扩大旅游消费，加快旅游消费恢复性增长，刺激关联产业扩大生产消费，促进实物消费和服务消费。持续扩大新型消费，大力发展“互联网＋”消费模式，发展无接触交易服务，打造新零售全渠道商业模式，促进线上线下消费融合发展，探索智能技术推动消费升级。持续扩大城乡消费，优化城乡商业网点布局，实现电商、快递进农村全覆盖，促进工业品下乡和农产品进城双向流通，激发农村消费潜力。着力改善消费供给，发展夜间经济和“跳蚤市场”，规范发展“直播带货”。促进住房消费健康发展。发展服务消费，补齐服务消费短板，放宽服务消费领域市场准入。落实带薪休假制度，扩大节假日消费。改善消费环境，强化消费者权益保护。</w:t>
      </w:r>
    </w:p>
    <w:p w14:paraId="21BFDF59">
      <w:pPr>
        <w:pStyle w:val="2"/>
        <w:spacing w:line="560" w:lineRule="exact"/>
        <w:jc w:val="center"/>
        <w:rPr>
          <w:rFonts w:ascii="Times New Roman" w:hAnsi="Times New Roman" w:eastAsia="方正楷体_GBK"/>
          <w:b w:val="0"/>
          <w:bCs w:val="0"/>
          <w:color w:val="000000"/>
          <w:kern w:val="0"/>
          <w:sz w:val="32"/>
        </w:rPr>
      </w:pPr>
      <w:bookmarkStart w:id="138" w:name="_Toc75285117"/>
      <w:r>
        <w:rPr>
          <w:rFonts w:ascii="Times New Roman" w:hAnsi="Times New Roman" w:eastAsia="方正楷体_GBK"/>
          <w:b w:val="0"/>
          <w:bCs w:val="0"/>
          <w:color w:val="000000"/>
          <w:kern w:val="0"/>
          <w:sz w:val="32"/>
        </w:rPr>
        <w:t>第六章  积极融入国内大循环和国内国际双循环</w:t>
      </w:r>
      <w:bookmarkEnd w:id="138"/>
    </w:p>
    <w:p w14:paraId="5C74FC95">
      <w:pPr>
        <w:spacing w:line="580" w:lineRule="exact"/>
        <w:ind w:firstLine="640" w:firstLineChars="200"/>
        <w:rPr>
          <w:rFonts w:ascii="Times New Roman" w:hAnsi="Times New Roman" w:eastAsia="仿宋_GB2312"/>
          <w:bCs/>
          <w:sz w:val="32"/>
          <w:szCs w:val="32"/>
        </w:rPr>
      </w:pPr>
      <w:r>
        <w:rPr>
          <w:rFonts w:ascii="Times New Roman" w:hAnsi="Times New Roman" w:eastAsia="方正仿宋_GBK" w:cs="Times New Roman"/>
          <w:color w:val="000000"/>
          <w:kern w:val="2"/>
          <w:sz w:val="32"/>
          <w:szCs w:val="32"/>
          <w:lang w:val="en-US" w:eastAsia="zh-CN" w:bidi="ar-SA"/>
        </w:rPr>
        <w:t>充分把握伊吾县在国内大循环和国内国际双循环中的位置和比较优势，把构建新发展格局同丝绸之路经济带核心区、“三基地一通道”建设等有机衔接起来。深化供给侧结构性改革，围绕服务国内大市场，优化供给结构，改善供给质量，不断提高供给体系对国内需求的适配性，以创新驱动、高质量供给引领和创造新需求。立足新疆资源要素丰富、产业门类齐全、全国对口援疆等优势，主动承接内地发达地区产业梯度转移，加快建立完善产品营销体系，为全国市场提供更加多样、更高品质供给。坚持运用改革思维，构建充满活力的市场主体，营造鼓励创新的制度环境，破除妨碍生产要素市场化配置和商品服务流通的体制机制障碍，形成高效规范、公平竞争、充分开放的市场环境，使生产、分配、流通、消费更多依托国内市场，畅通国内大循环。充分发挥“西引东来”“东联西出”的区位优势，积极参与西部陆海新通道战略、西部省区协调向西开放等省际交流发展，发展开放型经济，拓展开放空间。充分利用国内国际两个市场两种资源，优化出口商品结构、贸易方式，提高出口产品质量，增加优质产品进口，参与国内国际双循环。</w:t>
      </w:r>
    </w:p>
    <w:p w14:paraId="72B00A08">
      <w:pPr>
        <w:pStyle w:val="3"/>
        <w:spacing w:line="560" w:lineRule="exact"/>
        <w:jc w:val="center"/>
        <w:rPr>
          <w:rFonts w:eastAsia="方正黑体_GBK"/>
          <w:b w:val="0"/>
          <w:bCs/>
          <w:color w:val="000000"/>
          <w:sz w:val="36"/>
          <w:szCs w:val="36"/>
        </w:rPr>
      </w:pPr>
      <w:bookmarkStart w:id="139" w:name="_Toc75285118"/>
      <w:r>
        <w:rPr>
          <w:rFonts w:hint="eastAsia" w:eastAsia="方正黑体_GBK"/>
          <w:b w:val="0"/>
          <w:bCs/>
          <w:color w:val="000000"/>
          <w:sz w:val="36"/>
          <w:szCs w:val="36"/>
        </w:rPr>
        <w:t>第八篇</w:t>
      </w:r>
      <w:r>
        <w:rPr>
          <w:rFonts w:eastAsia="方正黑体_GBK"/>
          <w:b w:val="0"/>
          <w:bCs/>
          <w:color w:val="000000"/>
          <w:sz w:val="36"/>
          <w:szCs w:val="36"/>
        </w:rPr>
        <w:t xml:space="preserve"> 加快建设丝绸之路经济带核心区</w:t>
      </w:r>
      <w:r>
        <w:rPr>
          <w:rFonts w:hint="eastAsia" w:eastAsia="方正黑体_GBK"/>
          <w:b w:val="0"/>
          <w:bCs/>
          <w:color w:val="000000"/>
          <w:sz w:val="36"/>
          <w:szCs w:val="36"/>
        </w:rPr>
        <w:t xml:space="preserve">  </w:t>
      </w:r>
      <w:r>
        <w:rPr>
          <w:rFonts w:eastAsia="方正黑体_GBK"/>
          <w:b w:val="0"/>
          <w:bCs/>
          <w:color w:val="000000"/>
          <w:sz w:val="36"/>
          <w:szCs w:val="36"/>
        </w:rPr>
        <w:t>打造我国内陆开放和沿边开放高地</w:t>
      </w:r>
      <w:bookmarkEnd w:id="139"/>
    </w:p>
    <w:p w14:paraId="5F2F11F8">
      <w:pPr>
        <w:spacing w:line="580"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以推进丝绸之路经济带核心区建设为驱动，把新疆纳入国家丝绸之路经济带建设、向西开放的总体布局中统筹谋划，丰富对外开放载体，提升对外开放层次，创新开放型经济体制，构建更大范围、更宽领域、更深层次的高水平开放新格局。</w:t>
      </w:r>
    </w:p>
    <w:p w14:paraId="3A76B2A0">
      <w:pPr>
        <w:pStyle w:val="2"/>
        <w:spacing w:line="560" w:lineRule="exact"/>
        <w:jc w:val="center"/>
        <w:rPr>
          <w:rFonts w:ascii="Times New Roman" w:hAnsi="Times New Roman" w:eastAsia="方正楷体_GBK"/>
          <w:b w:val="0"/>
          <w:bCs w:val="0"/>
          <w:color w:val="000000"/>
          <w:kern w:val="0"/>
          <w:sz w:val="32"/>
        </w:rPr>
      </w:pPr>
      <w:bookmarkStart w:id="140" w:name="_Toc32338"/>
      <w:bookmarkStart w:id="141" w:name="_Toc75285119"/>
      <w:r>
        <w:rPr>
          <w:rFonts w:ascii="Times New Roman" w:hAnsi="Times New Roman" w:eastAsia="方正楷体_GBK"/>
          <w:b w:val="0"/>
          <w:bCs w:val="0"/>
          <w:color w:val="000000"/>
          <w:kern w:val="0"/>
          <w:sz w:val="32"/>
        </w:rPr>
        <w:t>第一章  加强联通基础平台建设</w:t>
      </w:r>
      <w:bookmarkEnd w:id="140"/>
      <w:bookmarkEnd w:id="141"/>
    </w:p>
    <w:p w14:paraId="5D69E62D">
      <w:pPr>
        <w:spacing w:line="580"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争取国家、区、市相关部门支持，加快建设科技、旅游、医疗、教育等联通基础平台。加强与企业、科研院所紧密合作，推动丝绸之路经济带核心区科技成果转移转化、科技专项等创新平台建设，增强伊吾自主创新能力，夯实伊吾协同发展基础。依托国家级园林县城优势，承办丝绸之路经济带特色体育赛事，推动教育、文化、体育领域的交流交融。</w:t>
      </w:r>
    </w:p>
    <w:p w14:paraId="07AD2C2D">
      <w:pPr>
        <w:pStyle w:val="2"/>
        <w:spacing w:line="560" w:lineRule="exact"/>
        <w:jc w:val="center"/>
        <w:rPr>
          <w:rFonts w:eastAsia="黑体"/>
          <w:bCs w:val="0"/>
          <w:sz w:val="32"/>
        </w:rPr>
      </w:pPr>
      <w:bookmarkStart w:id="142" w:name="_Toc75285120"/>
      <w:bookmarkStart w:id="143" w:name="_Toc7554"/>
      <w:r>
        <w:rPr>
          <w:rFonts w:ascii="Times New Roman" w:hAnsi="Times New Roman" w:eastAsia="方正楷体_GBK"/>
          <w:b w:val="0"/>
          <w:bCs w:val="0"/>
          <w:color w:val="000000"/>
          <w:kern w:val="0"/>
          <w:sz w:val="32"/>
        </w:rPr>
        <w:t>第二章  加强国际经贸领域交流互动</w:t>
      </w:r>
      <w:bookmarkEnd w:id="142"/>
      <w:bookmarkEnd w:id="143"/>
    </w:p>
    <w:p w14:paraId="11F9B06E">
      <w:pPr>
        <w:spacing w:line="580"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推动构建政府主导、企业参与、市场运作的国际经贸文化交流互动工作机制，加强与国内、国际市场的信息沟通，拓展对外合作渠道，扩大对外合作领域。鼓励有比较优势的企业以股权置换、合资合作等多种方式开展境外资源开发、境外加工贸易、农业合作和服务业领域的投资。发挥龙头企业的示范引领作用，引导伊吾县各类企业联合“走出去”。引导企业开展服务贸易、人才培训、劳务合作和营销网络等建设，构建全方位合作格局。</w:t>
      </w:r>
    </w:p>
    <w:p w14:paraId="1413C6B5">
      <w:pPr>
        <w:pStyle w:val="2"/>
        <w:spacing w:line="560" w:lineRule="exact"/>
        <w:jc w:val="center"/>
        <w:rPr>
          <w:rFonts w:eastAsia="黑体"/>
          <w:bCs w:val="0"/>
          <w:sz w:val="32"/>
        </w:rPr>
      </w:pPr>
      <w:bookmarkStart w:id="144" w:name="_Toc18378"/>
      <w:bookmarkStart w:id="145" w:name="_Toc75285121"/>
      <w:r>
        <w:rPr>
          <w:rFonts w:ascii="Times New Roman" w:hAnsi="Times New Roman" w:eastAsia="方正楷体_GBK"/>
          <w:b w:val="0"/>
          <w:bCs w:val="0"/>
          <w:color w:val="000000"/>
          <w:kern w:val="0"/>
          <w:sz w:val="32"/>
        </w:rPr>
        <w:t>第三章  发挥园区开放引领作用</w:t>
      </w:r>
      <w:bookmarkEnd w:id="144"/>
      <w:bookmarkEnd w:id="145"/>
    </w:p>
    <w:p w14:paraId="51B2DD28">
      <w:pPr>
        <w:spacing w:line="580"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坚持“绿色发展、循环发展”，推动产业再造和功能重建，促进伊吾产业园转型升级。实现由产业园区向生态园区的转变，实现由资源型工业向高新技术产业的转变。做强高新技术产业、提升传统优势产业、培育潜力产业、开发未来产业，全面提高发展的质量和效益。破除小微企业融资瓶颈，打造服务众多小微企业的创业“梦工厂”，破解小微企业创业中的空间制约，激发小微企业的创业活力，发展壮大一批小微企业。采取财政资金引导、金融贷款支持、招商引资推动、社会资本投入和企业资本补充等多种形式，进一步完善园区基础设施。大力发展循环经济、清洁生产，推进产业配套延伸，深入挖掘循环经济产业链，拓展企业中循环和园区内部的循环，将工业园区建成“环保型、节约型、循环型”经济示范园区。</w:t>
      </w:r>
    </w:p>
    <w:p w14:paraId="51A4A6A6">
      <w:pPr>
        <w:pStyle w:val="2"/>
        <w:spacing w:line="560" w:lineRule="exact"/>
        <w:jc w:val="center"/>
        <w:rPr>
          <w:rFonts w:ascii="Times New Roman" w:hAnsi="Times New Roman" w:eastAsia="方正楷体_GBK"/>
          <w:b w:val="0"/>
          <w:bCs w:val="0"/>
          <w:color w:val="000000"/>
          <w:kern w:val="0"/>
          <w:sz w:val="32"/>
        </w:rPr>
      </w:pPr>
      <w:bookmarkStart w:id="146" w:name="_Toc75285122"/>
      <w:bookmarkStart w:id="147" w:name="_Toc12504"/>
      <w:r>
        <w:rPr>
          <w:rFonts w:ascii="Times New Roman" w:hAnsi="Times New Roman" w:eastAsia="方正楷体_GBK"/>
          <w:b w:val="0"/>
          <w:bCs w:val="0"/>
          <w:color w:val="000000"/>
          <w:kern w:val="0"/>
          <w:sz w:val="32"/>
        </w:rPr>
        <w:t>第四章  培育外贸增长新动能</w:t>
      </w:r>
      <w:bookmarkEnd w:id="146"/>
      <w:bookmarkEnd w:id="147"/>
    </w:p>
    <w:p w14:paraId="03039D4D">
      <w:pPr>
        <w:spacing w:line="580"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围绕自治区“西气东输”“西电东送”“西煤东运”三大通道建设，积极参与能源通道建设，构建煤炭资源就地转化产业体系。探索扩大服务业对外开放，重点在旅游文化、商贸服务、科技服务等领域取得突破。加强与丝绸之路经济带沿线国家和区域的贸易往来。实施积极的进口战略，鼓励先进技术、关键零部件进口。</w:t>
      </w:r>
    </w:p>
    <w:p w14:paraId="297359EC">
      <w:pPr>
        <w:pStyle w:val="2"/>
        <w:spacing w:line="560" w:lineRule="exact"/>
        <w:jc w:val="center"/>
        <w:rPr>
          <w:rFonts w:ascii="Times New Roman" w:hAnsi="Times New Roman" w:eastAsia="方正楷体_GBK"/>
          <w:b w:val="0"/>
          <w:bCs w:val="0"/>
          <w:color w:val="000000"/>
          <w:kern w:val="0"/>
          <w:sz w:val="32"/>
        </w:rPr>
      </w:pPr>
      <w:bookmarkStart w:id="148" w:name="_Toc32687"/>
      <w:bookmarkStart w:id="149" w:name="_Toc75285123"/>
      <w:r>
        <w:rPr>
          <w:rFonts w:ascii="Times New Roman" w:hAnsi="Times New Roman" w:eastAsia="方正楷体_GBK"/>
          <w:b w:val="0"/>
          <w:bCs w:val="0"/>
          <w:color w:val="000000"/>
          <w:kern w:val="0"/>
          <w:sz w:val="32"/>
        </w:rPr>
        <w:t xml:space="preserve">第五章  </w:t>
      </w:r>
      <w:bookmarkEnd w:id="148"/>
      <w:r>
        <w:rPr>
          <w:rFonts w:ascii="Times New Roman" w:hAnsi="Times New Roman" w:eastAsia="方正楷体_GBK"/>
          <w:b w:val="0"/>
          <w:bCs w:val="0"/>
          <w:color w:val="000000"/>
          <w:kern w:val="0"/>
          <w:sz w:val="32"/>
        </w:rPr>
        <w:t> 提高对内对外开放水平</w:t>
      </w:r>
      <w:bookmarkEnd w:id="149"/>
    </w:p>
    <w:p w14:paraId="3FE88474">
      <w:pPr>
        <w:spacing w:line="580"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坚持“引进来”与“走出去”并重，促进内需和外需、进口和出口、货物贸易和服务贸易、</w:t>
      </w:r>
      <w:r>
        <w:rPr>
          <w:rFonts w:hint="eastAsia" w:ascii="Times New Roman" w:hAnsi="Times New Roman" w:eastAsia="方正仿宋_GBK" w:cs="Times New Roman"/>
          <w:color w:val="000000"/>
          <w:kern w:val="2"/>
          <w:sz w:val="32"/>
          <w:szCs w:val="32"/>
          <w:highlight w:val="none"/>
          <w:lang w:val="en-US" w:eastAsia="zh-CN" w:bidi="ar-SA"/>
        </w:rPr>
        <w:t>培育内资</w:t>
      </w:r>
      <w:r>
        <w:rPr>
          <w:rFonts w:ascii="Times New Roman" w:hAnsi="Times New Roman" w:eastAsia="方正仿宋_GBK" w:cs="Times New Roman"/>
          <w:color w:val="000000"/>
          <w:kern w:val="2"/>
          <w:sz w:val="32"/>
          <w:szCs w:val="32"/>
          <w:highlight w:val="none"/>
          <w:lang w:val="en-US" w:eastAsia="zh-CN" w:bidi="ar-SA"/>
        </w:rPr>
        <w:t>引进外资</w:t>
      </w:r>
      <w:r>
        <w:rPr>
          <w:rFonts w:ascii="Times New Roman" w:hAnsi="Times New Roman" w:eastAsia="方正仿宋_GBK" w:cs="Times New Roman"/>
          <w:color w:val="000000"/>
          <w:kern w:val="2"/>
          <w:sz w:val="32"/>
          <w:szCs w:val="32"/>
          <w:lang w:val="en-US" w:eastAsia="zh-CN" w:bidi="ar-SA"/>
        </w:rPr>
        <w:t>和对外投资协调发展。推进对内开放，用好国内大市场。优化对外开放空间布局，深度参与“一带一路”国际合作经济走廊建设，构建中心突出、东西贯通、南北辐射、层次分明、错位发展的开放型经济空间布局。深化国际产能合作，加强境外经贸合作园区、边境经济合作区建设，带动商品、技术和装备出口，拓展与丝绸之路沿线国家和地区多层次、多领域务实合作。</w:t>
      </w:r>
    </w:p>
    <w:p w14:paraId="6C846381">
      <w:pPr>
        <w:pStyle w:val="3"/>
        <w:spacing w:line="560" w:lineRule="exact"/>
        <w:jc w:val="center"/>
        <w:rPr>
          <w:rFonts w:eastAsia="方正黑体_GBK"/>
          <w:b w:val="0"/>
          <w:bCs/>
          <w:color w:val="000000"/>
          <w:sz w:val="36"/>
          <w:szCs w:val="36"/>
        </w:rPr>
      </w:pPr>
      <w:bookmarkStart w:id="150" w:name="_Toc75285124"/>
      <w:r>
        <w:rPr>
          <w:rFonts w:hint="eastAsia" w:eastAsia="方正黑体_GBK"/>
          <w:b w:val="0"/>
          <w:bCs/>
          <w:color w:val="000000"/>
          <w:sz w:val="36"/>
          <w:szCs w:val="36"/>
        </w:rPr>
        <w:t>第九篇  全面深化改革 增强经济发展的动力活力</w:t>
      </w:r>
      <w:bookmarkEnd w:id="150"/>
    </w:p>
    <w:p w14:paraId="5E56A2E7">
      <w:pPr>
        <w:spacing w:line="580"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坚持和完善社会主义基本经济制度，充分发挥市场在资源配置中的决定性作用，更好发挥政府作用，破除体制障碍，推动有效市场和有为政府更好结合，最大限度激活发展潜能。</w:t>
      </w:r>
    </w:p>
    <w:p w14:paraId="1DA5225D">
      <w:pPr>
        <w:pStyle w:val="2"/>
        <w:spacing w:line="560" w:lineRule="exact"/>
        <w:jc w:val="center"/>
        <w:rPr>
          <w:rFonts w:ascii="Times New Roman" w:hAnsi="Times New Roman" w:eastAsia="方正楷体_GBK"/>
          <w:b w:val="0"/>
          <w:bCs w:val="0"/>
          <w:color w:val="000000"/>
          <w:kern w:val="0"/>
          <w:sz w:val="32"/>
        </w:rPr>
      </w:pPr>
      <w:bookmarkStart w:id="151" w:name="_Toc75285125"/>
      <w:r>
        <w:rPr>
          <w:rFonts w:ascii="Times New Roman" w:hAnsi="Times New Roman" w:eastAsia="方正楷体_GBK"/>
          <w:b w:val="0"/>
          <w:bCs w:val="0"/>
          <w:color w:val="000000"/>
          <w:kern w:val="0"/>
          <w:sz w:val="32"/>
        </w:rPr>
        <w:t>第一章  坚持和完善社会主义基本经济制度</w:t>
      </w:r>
      <w:bookmarkEnd w:id="151"/>
    </w:p>
    <w:p w14:paraId="2F92EF98">
      <w:pPr>
        <w:spacing w:line="580"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坚持和发展以公有制为主体、多种所有制经济共同发展的基本经济制度，毫不动摇巩固和发展公有制经济，毫不动摇鼓励、支持、引导非公有制经济发展。深化国有企业改革，实施伊吾县国有企业改革三年行动，健全国有企业法人治理结构和市场化经营机制，完善中国特色现代企业制度。推进混合所有制改革，规范有序发展混合所有制经济，实现各种所有制经济相互促进、共同发展。鼓励支持中央企业深入参与伊吾县建设。健全国有资产监管体制，加强国有资产的管理和监督，深化国有资本投资、运营公司改革。实施民营企业培优工程，重点扶持一批市场前景好、成长性高、带动作用强的民营企业，打造一批产业链、价值链高端企业。优化民营经济发展环境，构建亲清政商关系，依法平等保护民营企业产权和企业家权益，破除制约民营企业发展的各种壁垒，完善促进中小微企业和个体工商户发展的法律环境和政策体系。</w:t>
      </w:r>
    </w:p>
    <w:p w14:paraId="03E691FF">
      <w:pPr>
        <w:pStyle w:val="2"/>
        <w:spacing w:line="560" w:lineRule="exact"/>
        <w:jc w:val="center"/>
        <w:rPr>
          <w:rFonts w:ascii="Times New Roman" w:hAnsi="Times New Roman" w:eastAsia="方正楷体_GBK"/>
          <w:b w:val="0"/>
          <w:bCs w:val="0"/>
          <w:color w:val="000000"/>
          <w:kern w:val="0"/>
          <w:sz w:val="32"/>
        </w:rPr>
      </w:pPr>
      <w:bookmarkStart w:id="152" w:name="_Toc75285126"/>
      <w:r>
        <w:rPr>
          <w:rFonts w:ascii="Times New Roman" w:hAnsi="Times New Roman" w:eastAsia="方正楷体_GBK"/>
          <w:b w:val="0"/>
          <w:bCs w:val="0"/>
          <w:color w:val="000000"/>
          <w:kern w:val="0"/>
          <w:sz w:val="32"/>
        </w:rPr>
        <w:t>第二章  深化财税金融体制改革</w:t>
      </w:r>
      <w:bookmarkEnd w:id="152"/>
    </w:p>
    <w:p w14:paraId="6F7A1280">
      <w:pPr>
        <w:spacing w:line="580" w:lineRule="exact"/>
        <w:ind w:firstLine="640" w:firstLineChars="200"/>
        <w:rPr>
          <w:b/>
          <w:sz w:val="32"/>
          <w:szCs w:val="32"/>
          <w:lang w:val="en-US"/>
        </w:rPr>
      </w:pPr>
      <w:r>
        <w:rPr>
          <w:rFonts w:ascii="Times New Roman" w:hAnsi="Times New Roman" w:eastAsia="方正仿宋_GBK" w:cs="Times New Roman"/>
          <w:color w:val="000000"/>
          <w:kern w:val="2"/>
          <w:sz w:val="32"/>
          <w:szCs w:val="32"/>
          <w:lang w:val="en-US" w:eastAsia="zh-CN" w:bidi="ar-SA"/>
        </w:rPr>
        <w:t>加强财政管理，加快建立现代财政制度。深化预算管理体制改革，加强预算执行审计监督，强化预算约束和绩效管理。稳妥推进财政事权与支出责任划分改革。深化转移支付制度改革，调整优化支出结构。完善支持推动高质量发展的财税政策，落实减税降费政策，实质性减轻企业负担。健全政府债务管理制度。支持做强银行、证券、保险等金融主体，完善金融机构体系，提升金融科技水平，发挥政策性金融作用，加大金融对实体经济、传统产业改造提升和新兴产业培育的支持力度，进一步加强对“三农”和中小微企业的普惠金融服务。深化农村信用社改革，支持地方商业银行健康发展。发挥资本市场融资功能，提高直接融资比重，拓宽市场主体融资渠道。完善地方金融监管体系，健全金融风险防控机制，提高风险管理水平。</w:t>
      </w:r>
    </w:p>
    <w:p w14:paraId="32660C11">
      <w:pPr>
        <w:pStyle w:val="2"/>
        <w:spacing w:line="560" w:lineRule="exact"/>
        <w:jc w:val="center"/>
        <w:rPr>
          <w:rFonts w:ascii="Times New Roman" w:hAnsi="Times New Roman" w:eastAsia="方正楷体_GBK"/>
          <w:b w:val="0"/>
          <w:bCs w:val="0"/>
          <w:color w:val="000000"/>
          <w:kern w:val="0"/>
          <w:sz w:val="32"/>
        </w:rPr>
      </w:pPr>
      <w:bookmarkStart w:id="153" w:name="_Toc75285127"/>
      <w:r>
        <w:rPr>
          <w:rFonts w:ascii="Times New Roman" w:hAnsi="Times New Roman" w:eastAsia="方正仿宋_GBK" w:cs="Times New Roman"/>
          <w:b w:val="0"/>
          <w:bCs w:val="0"/>
          <w:color w:val="000000"/>
          <w:kern w:val="2"/>
          <w:sz w:val="32"/>
          <w:szCs w:val="32"/>
          <w:lang w:val="en-US" w:eastAsia="zh-CN" w:bidi="ar-SA"/>
        </w:rPr>
        <w:t>第三</w:t>
      </w:r>
      <w:r>
        <w:rPr>
          <w:rFonts w:ascii="Times New Roman" w:hAnsi="Times New Roman" w:eastAsia="方正楷体_GBK"/>
          <w:b w:val="0"/>
          <w:bCs w:val="0"/>
          <w:color w:val="000000"/>
          <w:kern w:val="0"/>
          <w:sz w:val="32"/>
        </w:rPr>
        <w:t>章  深化投融资体制改革</w:t>
      </w:r>
      <w:bookmarkEnd w:id="153"/>
    </w:p>
    <w:p w14:paraId="350B191A">
      <w:pPr>
        <w:spacing w:line="580"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坚持市场主体原则，强化政府服务，激发民间投资活力，加快形成融资方式丰富多元、公平开放的投融资体制，保持投资合理增长。完善政府投资管理制度，深化投资报建审批改革，健全投资运行监测预警体系、投资监管执法体系、投资社会服务体系。规范有序推进政府和社会资本合作，进一步放宽基础设施和公共事业等领域限制，支持重点建设项目开展股权和债权融资。充分发挥预算内投资作用，鼓励金融机构提供配套融资支持，优化投融资结构。</w:t>
      </w:r>
    </w:p>
    <w:p w14:paraId="0E8907E4">
      <w:pPr>
        <w:pStyle w:val="2"/>
        <w:spacing w:line="560" w:lineRule="exact"/>
        <w:jc w:val="center"/>
        <w:rPr>
          <w:rFonts w:ascii="Times New Roman" w:hAnsi="Times New Roman" w:eastAsia="方正楷体_GBK"/>
          <w:b w:val="0"/>
          <w:bCs w:val="0"/>
          <w:color w:val="000000"/>
          <w:kern w:val="0"/>
          <w:sz w:val="32"/>
        </w:rPr>
      </w:pPr>
      <w:bookmarkStart w:id="154" w:name="_Toc75285128"/>
      <w:r>
        <w:rPr>
          <w:rFonts w:ascii="Times New Roman" w:hAnsi="Times New Roman" w:eastAsia="方正楷体_GBK"/>
          <w:b w:val="0"/>
          <w:bCs w:val="0"/>
          <w:color w:val="000000"/>
          <w:kern w:val="0"/>
          <w:sz w:val="32"/>
        </w:rPr>
        <w:t>第四章  推进高标准市场体系建设</w:t>
      </w:r>
      <w:bookmarkEnd w:id="154"/>
    </w:p>
    <w:p w14:paraId="2480DDEF">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坚持保护产权、维护契约、统一市场、平等交换、公平竞争的基本导向，健全归属清晰、权责明确、保护严格、流转畅通的现代产权制度。开展高标准市场体系建设行动，实施新一轮标准化战略，完善地方标准体系。落实产权执法司法保护制度。全面实施市场准入负面清单制度，严格落实全国一张清单，继续放宽准入限制。提升市场综合监管能力。深化土地管理制度改革。深化资源性产品价格改革，推进输配电价改革。健全要素市场运行机制，完善要素交易规则和服务体系。</w:t>
      </w:r>
    </w:p>
    <w:p w14:paraId="2B638DF5">
      <w:pPr>
        <w:pStyle w:val="2"/>
        <w:spacing w:line="560" w:lineRule="exact"/>
        <w:jc w:val="center"/>
        <w:rPr>
          <w:rFonts w:ascii="Times New Roman" w:hAnsi="Times New Roman" w:eastAsia="方正楷体_GBK"/>
          <w:b w:val="0"/>
          <w:bCs w:val="0"/>
          <w:color w:val="000000"/>
          <w:kern w:val="0"/>
          <w:sz w:val="32"/>
        </w:rPr>
      </w:pPr>
      <w:bookmarkStart w:id="155" w:name="_Toc75285129"/>
      <w:r>
        <w:rPr>
          <w:rFonts w:ascii="Times New Roman" w:hAnsi="Times New Roman" w:eastAsia="方正楷体_GBK"/>
          <w:b w:val="0"/>
          <w:bCs w:val="0"/>
          <w:color w:val="000000"/>
          <w:kern w:val="0"/>
          <w:sz w:val="32"/>
        </w:rPr>
        <w:t>第五章  着力优化营商环境</w:t>
      </w:r>
      <w:bookmarkEnd w:id="155"/>
    </w:p>
    <w:p w14:paraId="1CEE0BC3">
      <w:pPr>
        <w:spacing w:line="580"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强化政府市场意识、法治意识、服务意识，持续深化“放管服”改革，继续简政放权、加快政府职能转变，全面实行政府权责清单制度，推行“最多跑一趟”“最快送一次”改革，推行“马上办、网上办、掌上办、自助办、就近办”，推动更多政务服务事项“多件事一次办”，减少审批程序，提高办事效率。开展营商环境专项整治，大力整治不作为、乱作为、慢作为问题，整治落实政策不到位、损害市场主体合法权益等问题。全面落实公平竞争审查制度和市场平等准入政策，实施市场准入负面清单制度和外商投资准入前国民待遇加负面清单管理制度，加强反垄断和反不正当竞争执法司法，提升市场综合监管能力。推进商事制度改革，深化“多证合一”“证照分离”改革。加强信用体系建设，推进分级分类监管、“双随机、一公开”监管和联合监管。实施涉企经营许可事项清单管理，加强事中事后监管，对新产业新业态实行包容审慎监管。建立健全企业家参与政策制定机制、企业困难诉求反映机制。落实惠企政策，加强要素保障，精准优质服务，推动大中小各类企业一起激活、竞相发展，国企民企混合所有制企业和个体工商户协同并进、全面发力，推动各类市场主体发展壮大。</w:t>
      </w:r>
    </w:p>
    <w:p w14:paraId="60D13A69">
      <w:pPr>
        <w:pStyle w:val="2"/>
        <w:spacing w:line="560" w:lineRule="exact"/>
        <w:jc w:val="center"/>
        <w:rPr>
          <w:rFonts w:ascii="Times New Roman" w:hAnsi="Times New Roman" w:eastAsia="方正楷体_GBK"/>
          <w:b w:val="0"/>
          <w:bCs w:val="0"/>
          <w:color w:val="000000"/>
          <w:kern w:val="0"/>
          <w:sz w:val="32"/>
        </w:rPr>
      </w:pPr>
      <w:bookmarkStart w:id="156" w:name="_Toc75285130"/>
      <w:r>
        <w:rPr>
          <w:rFonts w:ascii="Times New Roman" w:hAnsi="Times New Roman" w:eastAsia="方正楷体_GBK"/>
          <w:b w:val="0"/>
          <w:bCs w:val="0"/>
          <w:color w:val="000000"/>
          <w:kern w:val="0"/>
          <w:sz w:val="32"/>
        </w:rPr>
        <w:t>第六章  深化农村改革</w:t>
      </w:r>
      <w:bookmarkEnd w:id="156"/>
    </w:p>
    <w:p w14:paraId="51A341C9">
      <w:pPr>
        <w:spacing w:line="580"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坚持农村土地集体所有，落实第二轮土地承包到期后再延长30年政策，保持农村土地承包关系稳定并长久不变。健全城乡统一的建设用地市场。全面推进农村土地征收制度改革，建立土地征收公共利益用地认定机制，缩小土地征收范围。稳妥推进宅基地制度改革，探索宅基地所有权、资格权、使用权分置实现形式。保障进城落户农民土地承包权、宅基地使用权、集体收益分配权，维护农民宅基地使用权益，鼓励依法自愿有偿转让。深化农村集体产权制度改革，发展新型农村集体经济。深化农业水价综合改革，完善用水计量设施，健全农业节水激励机制。健全农村金融服务体系。</w:t>
      </w:r>
    </w:p>
    <w:p w14:paraId="180206FC">
      <w:pPr>
        <w:pStyle w:val="2"/>
        <w:spacing w:line="560" w:lineRule="exact"/>
        <w:jc w:val="center"/>
        <w:rPr>
          <w:rFonts w:ascii="Times New Roman" w:hAnsi="Times New Roman" w:eastAsia="方正楷体_GBK"/>
          <w:b w:val="0"/>
          <w:bCs w:val="0"/>
          <w:color w:val="000000"/>
          <w:kern w:val="0"/>
          <w:sz w:val="32"/>
        </w:rPr>
      </w:pPr>
      <w:bookmarkStart w:id="157" w:name="_Toc75285131"/>
      <w:r>
        <w:rPr>
          <w:rFonts w:ascii="Times New Roman" w:hAnsi="Times New Roman" w:eastAsia="方正楷体_GBK"/>
          <w:b w:val="0"/>
          <w:bCs w:val="0"/>
          <w:color w:val="000000"/>
          <w:kern w:val="0"/>
          <w:sz w:val="32"/>
        </w:rPr>
        <w:t>第七章  深化社会事业改革</w:t>
      </w:r>
      <w:bookmarkEnd w:id="157"/>
    </w:p>
    <w:p w14:paraId="421374DB">
      <w:pPr>
        <w:spacing w:line="580"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深化教育领域综合改革，统筹推进教育评价、考试招生、教育督导、体育美育和劳动教育、服务全民终身学习等方面的体制机制改革，支持和规范民办教育发展。深化医药卫生体制改革，统筹推进医疗服务、公共卫生、监管体制综合改革。改革疾病预防控制体系，完善监测预警、风险评估、流行病学调查、检验检测、应急处置等职能。全面取消以药养医，探索医疗服务与药品分开支付。推进医疗保障制度改革，深化药品、医用耗材集中带量采购使用改革，完善医药服务价格形成机制。加快医保支付方式改革。推进文化体制改革，完善文旅融合发展体制机制，引导新型文化业态健康发展。推进体育事业改革，深化体教融合，促进青少年健康发展。</w:t>
      </w:r>
    </w:p>
    <w:p w14:paraId="774EC739">
      <w:pPr>
        <w:pStyle w:val="2"/>
        <w:spacing w:line="560" w:lineRule="exact"/>
        <w:jc w:val="center"/>
        <w:rPr>
          <w:rFonts w:ascii="Times New Roman" w:hAnsi="Times New Roman" w:eastAsia="方正楷体_GBK"/>
          <w:b w:val="0"/>
          <w:bCs w:val="0"/>
          <w:color w:val="000000"/>
          <w:kern w:val="0"/>
          <w:sz w:val="32"/>
        </w:rPr>
      </w:pPr>
      <w:bookmarkStart w:id="158" w:name="_Toc75285132"/>
      <w:r>
        <w:rPr>
          <w:rFonts w:ascii="Times New Roman" w:hAnsi="Times New Roman" w:eastAsia="方正楷体_GBK"/>
          <w:b w:val="0"/>
          <w:bCs w:val="0"/>
          <w:color w:val="000000"/>
          <w:kern w:val="0"/>
          <w:sz w:val="32"/>
        </w:rPr>
        <w:t>第八章  深化收入分配制度改革</w:t>
      </w:r>
      <w:bookmarkEnd w:id="158"/>
    </w:p>
    <w:p w14:paraId="1743FC4D">
      <w:pPr>
        <w:spacing w:line="580"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坚持按劳分配为主体、多种分配方式并存，提高劳动报酬在初次分配中的比重。健全劳动、资本、土地、知识、技术等生产要素由市场评价贡献、按贡献决定报酬的机制。探索通过土地、资本等要素使用权、收益权增加中低收入群体要素收入，多渠道增加城乡居民财产性收入，确保城乡居民收入和劳动报酬增长不低于经济增长。</w:t>
      </w:r>
    </w:p>
    <w:p w14:paraId="37453C52">
      <w:pPr>
        <w:pStyle w:val="2"/>
        <w:spacing w:line="560" w:lineRule="exact"/>
        <w:jc w:val="center"/>
        <w:rPr>
          <w:rFonts w:ascii="Times New Roman" w:hAnsi="Times New Roman" w:eastAsia="方正楷体_GBK"/>
          <w:b w:val="0"/>
          <w:bCs w:val="0"/>
          <w:color w:val="000000"/>
          <w:kern w:val="0"/>
          <w:sz w:val="32"/>
        </w:rPr>
      </w:pPr>
      <w:bookmarkStart w:id="159" w:name="_Toc75285133"/>
      <w:r>
        <w:rPr>
          <w:rFonts w:ascii="Times New Roman" w:hAnsi="Times New Roman" w:eastAsia="方正楷体_GBK"/>
          <w:b w:val="0"/>
          <w:bCs w:val="0"/>
          <w:color w:val="000000"/>
          <w:kern w:val="0"/>
          <w:sz w:val="32"/>
        </w:rPr>
        <w:t>第九章  深化人才发展体制机制改革</w:t>
      </w:r>
      <w:bookmarkEnd w:id="159"/>
    </w:p>
    <w:p w14:paraId="1DE34730">
      <w:pPr>
        <w:spacing w:line="580"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紧盯高质量发展人才需求，坚持把人才作为支撑发展的第一资源，贯彻尊重劳动、尊重知识、尊重人才、尊重创造方针，深入实施人才强县战略。创新人才引进模式，推进重点产业产才融合，围绕重大项目建设、重点领域</w:t>
      </w:r>
      <w:r>
        <w:rPr>
          <w:rFonts w:hint="eastAsia" w:ascii="Times New Roman" w:hAnsi="Times New Roman" w:eastAsia="方正仿宋_GBK" w:cs="Times New Roman"/>
          <w:color w:val="000000"/>
          <w:kern w:val="2"/>
          <w:sz w:val="32"/>
          <w:szCs w:val="32"/>
          <w:lang w:val="en-US" w:eastAsia="zh-CN" w:bidi="ar-SA"/>
        </w:rPr>
        <w:t>关键</w:t>
      </w:r>
      <w:r>
        <w:rPr>
          <w:rFonts w:ascii="Times New Roman" w:hAnsi="Times New Roman" w:eastAsia="方正仿宋_GBK" w:cs="Times New Roman"/>
          <w:color w:val="000000"/>
          <w:kern w:val="2"/>
          <w:sz w:val="32"/>
          <w:szCs w:val="32"/>
          <w:lang w:val="en-US" w:eastAsia="zh-CN" w:bidi="ar-SA"/>
        </w:rPr>
        <w:t>核心技术攻关和行业发展需要，实施“高层次和急需紧缺人才引进计划”、“国内知名专家助力伊吾”项目，推动人才引领产业发展，以产业吸引人才聚集。完善人才培养机制，实施知识更新工程、技能提升行动，改进产学研用结合的协同育人模式，加强创新</w:t>
      </w:r>
      <w:r>
        <w:rPr>
          <w:rFonts w:hint="eastAsia" w:ascii="Times New Roman" w:hAnsi="Times New Roman" w:eastAsia="方正仿宋_GBK" w:cs="Times New Roman"/>
          <w:color w:val="000000"/>
          <w:kern w:val="2"/>
          <w:sz w:val="32"/>
          <w:szCs w:val="32"/>
          <w:lang w:val="en-US" w:eastAsia="zh-CN" w:bidi="ar-SA"/>
        </w:rPr>
        <w:t>型</w:t>
      </w:r>
      <w:r>
        <w:rPr>
          <w:rFonts w:ascii="Times New Roman" w:hAnsi="Times New Roman" w:eastAsia="方正仿宋_GBK" w:cs="Times New Roman"/>
          <w:color w:val="000000"/>
          <w:kern w:val="2"/>
          <w:sz w:val="32"/>
          <w:szCs w:val="32"/>
          <w:lang w:val="en-US" w:eastAsia="zh-CN" w:bidi="ar-SA"/>
        </w:rPr>
        <w:t>、应用</w:t>
      </w:r>
      <w:r>
        <w:rPr>
          <w:rFonts w:hint="eastAsia" w:ascii="Times New Roman" w:hAnsi="Times New Roman" w:eastAsia="方正仿宋_GBK" w:cs="Times New Roman"/>
          <w:color w:val="000000"/>
          <w:kern w:val="2"/>
          <w:sz w:val="32"/>
          <w:szCs w:val="32"/>
          <w:lang w:val="en-US" w:eastAsia="zh-CN" w:bidi="ar-SA"/>
        </w:rPr>
        <w:t>型</w:t>
      </w:r>
      <w:r>
        <w:rPr>
          <w:rFonts w:ascii="Times New Roman" w:hAnsi="Times New Roman" w:eastAsia="方正仿宋_GBK" w:cs="Times New Roman"/>
          <w:color w:val="000000"/>
          <w:kern w:val="2"/>
          <w:sz w:val="32"/>
          <w:szCs w:val="32"/>
          <w:lang w:val="en-US" w:eastAsia="zh-CN" w:bidi="ar-SA"/>
        </w:rPr>
        <w:t>、技能型人才和科技领军人才、骨干人才、优秀年轻人才的培养。强化人才正向激励，建立政府、企业、社会多元化人才投入机制，健全以创新能力、质量、实效、贡献为导向的科技人才评价体系，着力集聚优秀人才，充分发挥各类人才作用，为推进伊吾经济社会高质量发展提供有力人才支撑和智力保障。</w:t>
      </w:r>
    </w:p>
    <w:p w14:paraId="65FBE505">
      <w:pPr>
        <w:pStyle w:val="3"/>
        <w:spacing w:line="560" w:lineRule="exact"/>
        <w:jc w:val="center"/>
        <w:rPr>
          <w:rFonts w:eastAsia="方正黑体_GBK"/>
          <w:bCs/>
          <w:color w:val="000000"/>
          <w:sz w:val="36"/>
          <w:szCs w:val="36"/>
        </w:rPr>
      </w:pPr>
      <w:bookmarkStart w:id="160" w:name="_Toc75285134"/>
      <w:r>
        <w:rPr>
          <w:rFonts w:hint="eastAsia" w:eastAsia="方正黑体_GBK"/>
          <w:b w:val="0"/>
          <w:bCs/>
          <w:color w:val="000000"/>
          <w:sz w:val="36"/>
          <w:szCs w:val="36"/>
        </w:rPr>
        <w:t xml:space="preserve">第十篇 </w:t>
      </w:r>
      <w:r>
        <w:rPr>
          <w:rFonts w:eastAsia="方正黑体_GBK"/>
          <w:b w:val="0"/>
          <w:bCs/>
          <w:color w:val="000000"/>
          <w:sz w:val="36"/>
          <w:szCs w:val="36"/>
        </w:rPr>
        <w:t>加快推进新型城镇化 全面提升城镇化质量</w:t>
      </w:r>
      <w:bookmarkEnd w:id="160"/>
    </w:p>
    <w:p w14:paraId="74B41B2E">
      <w:pPr>
        <w:spacing w:line="580"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坚持以人的城镇化为核心、以提高质量为导向，深入实施新型城镇化战略，全面提升城镇化发展质量和效益，走出一条以人为本、四化同步、产城融合、城乡统筹、兵地一体、民族团结、和谐稳定的新时代新型城镇化高质量发展道路。</w:t>
      </w:r>
    </w:p>
    <w:p w14:paraId="29EC2154">
      <w:pPr>
        <w:pStyle w:val="2"/>
        <w:spacing w:line="560" w:lineRule="exact"/>
        <w:jc w:val="center"/>
        <w:rPr>
          <w:rFonts w:ascii="Times New Roman" w:hAnsi="Times New Roman" w:eastAsia="方正楷体_GBK"/>
          <w:b w:val="0"/>
          <w:bCs w:val="0"/>
          <w:color w:val="000000"/>
          <w:kern w:val="0"/>
          <w:sz w:val="32"/>
        </w:rPr>
      </w:pPr>
      <w:bookmarkStart w:id="161" w:name="_Toc75285135"/>
      <w:r>
        <w:rPr>
          <w:rFonts w:ascii="Times New Roman" w:hAnsi="Times New Roman" w:eastAsia="方正楷体_GBK"/>
          <w:b w:val="0"/>
          <w:bCs w:val="0"/>
          <w:color w:val="000000"/>
          <w:kern w:val="0"/>
          <w:sz w:val="32"/>
        </w:rPr>
        <w:t>第一章  促进城乡融合发展</w:t>
      </w:r>
      <w:bookmarkEnd w:id="161"/>
    </w:p>
    <w:p w14:paraId="3DC7DC4C">
      <w:pPr>
        <w:spacing w:line="580"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构建城乡规划布局、要素配置、生产发展、基础设施、公共服务、生态保护等相互融合协调发展的体制机制，构筑功能一体、空间融合的城乡体系，促进城乡要素自由流动、平等交换和公共资源的合理配置，形成工农互促、城乡互补、全面融合、共同繁荣的新型城乡关系，缩小城乡建设之间、居民生活水平之间的发展差距。</w:t>
      </w:r>
    </w:p>
    <w:p w14:paraId="35DADEF7">
      <w:pPr>
        <w:spacing w:line="580" w:lineRule="exact"/>
        <w:ind w:firstLine="643"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楷体_GBK"/>
          <w:b/>
          <w:bCs/>
          <w:color w:val="000000"/>
          <w:sz w:val="32"/>
          <w:szCs w:val="32"/>
        </w:rPr>
        <w:t>健全城乡要素合理配置机制。</w:t>
      </w:r>
      <w:r>
        <w:rPr>
          <w:rFonts w:ascii="Times New Roman" w:hAnsi="Times New Roman" w:eastAsia="方正仿宋_GBK" w:cs="Times New Roman"/>
          <w:color w:val="000000"/>
          <w:kern w:val="2"/>
          <w:sz w:val="32"/>
          <w:szCs w:val="32"/>
          <w:lang w:val="en-US" w:eastAsia="zh-CN" w:bidi="ar-SA"/>
        </w:rPr>
        <w:t>积极推动城乡人才、土地、资金、产业、金融、技术、信息等要素合理配置，完善人才返乡入乡创业激励机制；稳妥推进土地征收、经营性建设用地入市、宅基地制度改革试点，探索推进城乡区域融合发展模式；健全财政和金融投入保障机制，促进各类要素更多更好向乡村流动，激活优质资源市场化运作，为乡村发展注入新动力；完善技术和信息基础设施及平台建设，提升城乡融合发展运行效率。</w:t>
      </w:r>
    </w:p>
    <w:p w14:paraId="3D432DDA">
      <w:pPr>
        <w:spacing w:line="580" w:lineRule="exact"/>
        <w:ind w:firstLine="643"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楷体_GBK"/>
          <w:b/>
          <w:bCs/>
          <w:color w:val="000000"/>
          <w:sz w:val="32"/>
          <w:szCs w:val="32"/>
        </w:rPr>
        <w:t>推动城乡基本公共服务普惠共享。</w:t>
      </w:r>
      <w:r>
        <w:rPr>
          <w:rFonts w:ascii="Times New Roman" w:hAnsi="Times New Roman" w:eastAsia="方正仿宋_GBK" w:cs="Times New Roman"/>
          <w:color w:val="000000"/>
          <w:kern w:val="2"/>
          <w:sz w:val="32"/>
          <w:szCs w:val="32"/>
          <w:lang w:val="en-US" w:eastAsia="zh-CN" w:bidi="ar-SA"/>
        </w:rPr>
        <w:t>推进城乡基本公共服务标准统一、制度并轨，实现公共服务向乡村延伸，促进社会事业向乡村覆盖；促进优质教育资源城乡共享，推动城乡义务教育学校集团化办学、捆绑式发展；加强城乡“紧密型”医共体建设，构建县乡（镇）村（社区）三级联动的医疗服务体系；统筹城乡公共文化设施布局、服务供给和人才队伍建设，向乡村重点倾斜政策支持和文化资源投入；完善统一的城乡居民基本医疗保险、大病保险和基本养老保险制度。</w:t>
      </w:r>
    </w:p>
    <w:p w14:paraId="38D58F1B">
      <w:pPr>
        <w:spacing w:line="580" w:lineRule="exact"/>
        <w:ind w:firstLine="643"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楷体_GBK"/>
          <w:b/>
          <w:bCs/>
          <w:color w:val="000000"/>
          <w:sz w:val="32"/>
          <w:szCs w:val="32"/>
        </w:rPr>
        <w:t>推进城乡基础设施一体化发展。</w:t>
      </w:r>
      <w:r>
        <w:rPr>
          <w:rFonts w:ascii="Times New Roman" w:hAnsi="Times New Roman" w:eastAsia="方正仿宋_GBK" w:cs="Times New Roman"/>
          <w:color w:val="000000"/>
          <w:kern w:val="2"/>
          <w:sz w:val="32"/>
          <w:szCs w:val="32"/>
          <w:lang w:val="en-US" w:eastAsia="zh-CN" w:bidi="ar-SA"/>
        </w:rPr>
        <w:t>推动城乡基础设施统一规划、建设和管理，促进城区供排水、供暖、供气、垃圾处理等重要市政公用设施向城郊乡村、园区及规模化程度较高的区域延伸，加快推动乡村基础设施提档升级，实现城乡基础设施一体化发展；推进城乡生活垃圾分类工作。完善城乡交通、信息、能源、物流等基础设施建设，畅通城乡一体化发展通道；有序发展和完善提升特色小镇、现代农业产业园区、工业园区等建设水平，推动乡村现代化进程。</w:t>
      </w:r>
    </w:p>
    <w:p w14:paraId="6A93D70A">
      <w:pPr>
        <w:pStyle w:val="2"/>
        <w:spacing w:line="560" w:lineRule="exact"/>
        <w:jc w:val="center"/>
        <w:rPr>
          <w:rFonts w:ascii="Times New Roman" w:hAnsi="Times New Roman" w:eastAsia="方正楷体_GBK"/>
          <w:b w:val="0"/>
          <w:bCs w:val="0"/>
          <w:color w:val="000000"/>
          <w:kern w:val="0"/>
          <w:sz w:val="32"/>
        </w:rPr>
      </w:pPr>
      <w:bookmarkStart w:id="162" w:name="_Toc75285136"/>
      <w:r>
        <w:rPr>
          <w:rFonts w:ascii="Times New Roman" w:hAnsi="Times New Roman" w:eastAsia="方正楷体_GBK"/>
          <w:b w:val="0"/>
          <w:bCs w:val="0"/>
          <w:color w:val="000000"/>
          <w:kern w:val="0"/>
          <w:sz w:val="32"/>
        </w:rPr>
        <w:t>第二章  增强城区管理系统性</w:t>
      </w:r>
      <w:bookmarkEnd w:id="162"/>
    </w:p>
    <w:p w14:paraId="29696C6E">
      <w:pPr>
        <w:spacing w:line="580"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加强城市运行维护，保障城市设施有序运营，构建科学有效、统一协调城市维护管理体制、财政保障机制和监督考核办法。创新建设运营管理理念，完善城市管理标准综合评价体系，引入市场化、社会化机制，提高主城区维护水平和服务质量。创新城市服务理念，强化主城区公共服务设施标准化和规范化，提升主城区服务水平。丰富志愿者、市民热线等社会公众参与主城区管理的途径，实现共治共管、共建共享。</w:t>
      </w:r>
    </w:p>
    <w:p w14:paraId="1DC875C5">
      <w:pPr>
        <w:spacing w:line="580"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构筑智能型基础设施。与哈密市东天山大数据中心实现无缝对接和数据下载服务，推动大数据应用，实施覆盖全社会、各行业的智能化工程。加速基础设施的智能化、感知化转型，支持城区交通、通讯、供排水、供电和能源等需求的智能响应。</w:t>
      </w:r>
    </w:p>
    <w:p w14:paraId="6D693AD9">
      <w:pPr>
        <w:spacing w:line="580"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建立“智慧伊吾”公共服务平台，发展和普及决策信息、市民一卡通等智慧型公共服务。发展民生服务智慧应用，构建覆盖城乡的便民服务智能化体系，实现医疗、教育、文化、社保、社区服务、食品安全、环卫等社会公共服务智能化共享和一体化管理，营造安全、高效、舒适、便利的智能化人居环境。构建平安县城信息基础平台，实现多部门协同应对的综合指挥调度，促进县城高效运行和专业管理。</w:t>
      </w:r>
    </w:p>
    <w:p w14:paraId="65451375">
      <w:pPr>
        <w:pStyle w:val="2"/>
        <w:spacing w:line="560" w:lineRule="exact"/>
        <w:jc w:val="center"/>
        <w:rPr>
          <w:rFonts w:ascii="Times New Roman" w:hAnsi="Times New Roman" w:eastAsia="方正楷体_GBK"/>
          <w:b w:val="0"/>
          <w:bCs w:val="0"/>
          <w:color w:val="000000"/>
          <w:kern w:val="0"/>
          <w:sz w:val="32"/>
        </w:rPr>
      </w:pPr>
      <w:bookmarkStart w:id="163" w:name="_Toc75285137"/>
      <w:r>
        <w:rPr>
          <w:rFonts w:ascii="Times New Roman" w:hAnsi="Times New Roman" w:eastAsia="方正楷体_GBK"/>
          <w:b w:val="0"/>
          <w:bCs w:val="0"/>
          <w:color w:val="000000"/>
          <w:kern w:val="0"/>
          <w:sz w:val="32"/>
        </w:rPr>
        <w:t>第</w:t>
      </w:r>
      <w:r>
        <w:rPr>
          <w:rFonts w:hint="eastAsia" w:ascii="Times New Roman" w:hAnsi="Times New Roman" w:eastAsia="方正楷体_GBK"/>
          <w:b w:val="0"/>
          <w:bCs w:val="0"/>
          <w:color w:val="000000"/>
          <w:kern w:val="0"/>
          <w:sz w:val="32"/>
        </w:rPr>
        <w:t>三</w:t>
      </w:r>
      <w:r>
        <w:rPr>
          <w:rFonts w:ascii="Times New Roman" w:hAnsi="Times New Roman" w:eastAsia="方正楷体_GBK"/>
          <w:b w:val="0"/>
          <w:bCs w:val="0"/>
          <w:color w:val="000000"/>
          <w:kern w:val="0"/>
          <w:sz w:val="32"/>
        </w:rPr>
        <w:t>章  着力推动现代城市高质量发展</w:t>
      </w:r>
      <w:bookmarkEnd w:id="163"/>
    </w:p>
    <w:p w14:paraId="7E49F0F8">
      <w:pPr>
        <w:spacing w:line="580"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统筹优化城市国土空间规划、产业布局和人口分布，提升城市可持续发展能力，建设宜业宜居、富有特色、充满活力的现代化城市。建设集约节约型城市。按照集约适度、绿色发展要求合理划定城镇开发边界，提高国土空间利用效率。科学预留一定比例的留白区，为城镇未来发展留有空间，促进土地节约集约利用，推动城镇发展由外延扩张向内涵提升转变，推动城市集约、高效、绿色发展。优化城乡职业和居住用地结构，合理布局生产生活生态空间，方便城市居民工作生活。</w:t>
      </w:r>
    </w:p>
    <w:p w14:paraId="3B491783">
      <w:pPr>
        <w:pStyle w:val="2"/>
        <w:spacing w:line="560" w:lineRule="exact"/>
        <w:jc w:val="center"/>
        <w:rPr>
          <w:rFonts w:ascii="Times New Roman" w:hAnsi="Times New Roman" w:eastAsia="方正楷体_GBK"/>
          <w:b w:val="0"/>
          <w:bCs w:val="0"/>
          <w:color w:val="000000"/>
          <w:kern w:val="0"/>
          <w:sz w:val="32"/>
        </w:rPr>
      </w:pPr>
      <w:bookmarkStart w:id="164" w:name="_Toc75285138"/>
      <w:r>
        <w:rPr>
          <w:rFonts w:ascii="Times New Roman" w:hAnsi="Times New Roman" w:eastAsia="方正楷体_GBK"/>
          <w:b w:val="0"/>
          <w:bCs w:val="0"/>
          <w:color w:val="000000"/>
          <w:kern w:val="0"/>
          <w:sz w:val="32"/>
        </w:rPr>
        <w:t>第</w:t>
      </w:r>
      <w:r>
        <w:rPr>
          <w:rFonts w:hint="eastAsia" w:ascii="Times New Roman" w:hAnsi="Times New Roman" w:eastAsia="方正楷体_GBK"/>
          <w:b w:val="0"/>
          <w:bCs w:val="0"/>
          <w:color w:val="000000"/>
          <w:kern w:val="0"/>
          <w:sz w:val="32"/>
        </w:rPr>
        <w:t>四</w:t>
      </w:r>
      <w:r>
        <w:rPr>
          <w:rFonts w:ascii="Times New Roman" w:hAnsi="Times New Roman" w:eastAsia="方正楷体_GBK"/>
          <w:b w:val="0"/>
          <w:bCs w:val="0"/>
          <w:color w:val="000000"/>
          <w:kern w:val="0"/>
          <w:sz w:val="32"/>
        </w:rPr>
        <w:t>章  积极发展特色小城镇</w:t>
      </w:r>
      <w:bookmarkEnd w:id="164"/>
    </w:p>
    <w:p w14:paraId="7F6DA851">
      <w:pPr>
        <w:spacing w:line="580" w:lineRule="exact"/>
        <w:ind w:firstLine="640" w:firstLineChars="200"/>
        <w:rPr>
          <w:rFonts w:ascii="Times New Roman" w:hAnsi="Times New Roman" w:eastAsia="仿宋_GB2312"/>
          <w:bCs/>
          <w:sz w:val="32"/>
          <w:szCs w:val="32"/>
        </w:rPr>
      </w:pPr>
      <w:r>
        <w:rPr>
          <w:rFonts w:ascii="Times New Roman" w:hAnsi="Times New Roman" w:eastAsia="方正仿宋_GBK" w:cs="Times New Roman"/>
          <w:color w:val="000000"/>
          <w:kern w:val="2"/>
          <w:sz w:val="32"/>
          <w:szCs w:val="32"/>
          <w:lang w:val="en-US" w:eastAsia="zh-CN" w:bidi="ar-SA"/>
        </w:rPr>
        <w:t>坚持政府引导、企业主体、市场化运作，建立健全特色小城镇高质量发展机制，加快发展产业特色鲜明、服务便捷高效、文化浓郁深厚、环境美丽宜人的特色小城镇，释放城乡融合发展和内需增长空间，推动新型城镇化建设和经济转型升级。加强县城城镇化补短板强弱项工作，以提高县城综合承载能力为重点，加强县城空间拓展和宜居环境建设，推进环境卫生设施提级扩能、市政公用设施提</w:t>
      </w:r>
      <w:r>
        <w:rPr>
          <w:rFonts w:hint="eastAsia" w:ascii="Times New Roman" w:hAnsi="Times New Roman" w:eastAsia="方正仿宋_GBK" w:cs="Times New Roman"/>
          <w:color w:val="000000"/>
          <w:kern w:val="2"/>
          <w:sz w:val="32"/>
          <w:szCs w:val="32"/>
          <w:lang w:val="en-US" w:eastAsia="zh-CN" w:bidi="ar-SA"/>
        </w:rPr>
        <w:t>档</w:t>
      </w:r>
      <w:r>
        <w:rPr>
          <w:rFonts w:ascii="Times New Roman" w:hAnsi="Times New Roman" w:eastAsia="方正仿宋_GBK" w:cs="Times New Roman"/>
          <w:color w:val="000000"/>
          <w:kern w:val="2"/>
          <w:sz w:val="32"/>
          <w:szCs w:val="32"/>
          <w:lang w:val="en-US" w:eastAsia="zh-CN" w:bidi="ar-SA"/>
        </w:rPr>
        <w:t>升级、公共服务设施提标扩面、产业配套设施提质增效，建设一批县城新型城镇化示范工程。持续推进“一主两翼”城镇发展战略，提升山水园林县城品质，把淖毛湖镇打造成“工业强镇、瓜乡名镇、商贸旅游重镇”，把盐池镇、前山乡、吐葫芦乡打造成精品农牧业特色乡镇，把苇子峡乡、下马崖乡打造成精品旅游区，建设宜居宜业、生态优良的新型城镇体系。</w:t>
      </w:r>
    </w:p>
    <w:p w14:paraId="569D924C">
      <w:pPr>
        <w:pStyle w:val="4"/>
        <w:ind w:left="0"/>
        <w:rPr>
          <w:rFonts w:eastAsia="仿宋_GB2312"/>
          <w:bCs/>
          <w:sz w:val="32"/>
          <w:szCs w:val="32"/>
          <w:lang w:val="en-US" w:bidi="ar-SA"/>
        </w:rPr>
      </w:pPr>
      <w:r>
        <w:rPr>
          <w:rFonts w:ascii="Times New Roman" w:hAnsi="Times New Roman" w:eastAsia="仿宋_GB2312" w:cs="Times New Roman"/>
          <w:bCs/>
          <w:sz w:val="32"/>
          <w:szCs w:val="32"/>
          <w:lang w:val="en-US" w:bidi="ar-SA"/>
        </w:rPr>
        <mc:AlternateContent>
          <mc:Choice Requires="wps">
            <w:drawing>
              <wp:anchor distT="0" distB="0" distL="114300" distR="114300" simplePos="0" relativeHeight="251663360" behindDoc="0" locked="0" layoutInCell="1" allowOverlap="1">
                <wp:simplePos x="0" y="0"/>
                <wp:positionH relativeFrom="column">
                  <wp:posOffset>132080</wp:posOffset>
                </wp:positionH>
                <wp:positionV relativeFrom="paragraph">
                  <wp:posOffset>431165</wp:posOffset>
                </wp:positionV>
                <wp:extent cx="5589905" cy="1858010"/>
                <wp:effectExtent l="4445" t="5080" r="6350" b="22860"/>
                <wp:wrapSquare wrapText="bothSides"/>
                <wp:docPr id="3" name="文本框 2709"/>
                <wp:cNvGraphicFramePr/>
                <a:graphic xmlns:a="http://schemas.openxmlformats.org/drawingml/2006/main">
                  <a:graphicData uri="http://schemas.microsoft.com/office/word/2010/wordprocessingShape">
                    <wps:wsp>
                      <wps:cNvSpPr txBox="1"/>
                      <wps:spPr>
                        <a:xfrm>
                          <a:off x="0" y="0"/>
                          <a:ext cx="5589905" cy="18580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62322A">
                            <w:pPr>
                              <w:pStyle w:val="5"/>
                              <w:ind w:left="0" w:firstLine="0" w:firstLineChars="0"/>
                              <w:rPr>
                                <w:rFonts w:hint="eastAsia" w:ascii="黑体" w:hAnsi="黑体" w:eastAsia="黑体" w:cs="宋体"/>
                                <w:bCs/>
                                <w:sz w:val="24"/>
                                <w:szCs w:val="24"/>
                                <w:lang w:val="en-US"/>
                              </w:rPr>
                            </w:pPr>
                            <w:r>
                              <w:rPr>
                                <w:rFonts w:hint="eastAsia" w:ascii="黑体" w:hAnsi="黑体" w:eastAsia="黑体" w:cs="宋体"/>
                                <w:bCs/>
                                <w:sz w:val="24"/>
                                <w:szCs w:val="24"/>
                                <w:lang w:val="en-US"/>
                              </w:rPr>
                              <w:t>专栏</w:t>
                            </w:r>
                            <w:r>
                              <w:rPr>
                                <w:rFonts w:hint="default" w:ascii="Times New Roman" w:hAnsi="Times New Roman" w:eastAsia="黑体" w:cs="Times New Roman"/>
                                <w:bCs/>
                                <w:sz w:val="24"/>
                                <w:szCs w:val="24"/>
                                <w:lang w:val="en-US" w:eastAsia="zh-CN"/>
                              </w:rPr>
                              <w:t xml:space="preserve">9 </w:t>
                            </w:r>
                            <w:r>
                              <w:rPr>
                                <w:rFonts w:hint="eastAsia" w:ascii="黑体" w:hAnsi="黑体" w:eastAsia="黑体" w:cs="宋体"/>
                                <w:bCs/>
                                <w:sz w:val="24"/>
                                <w:szCs w:val="24"/>
                                <w:lang w:val="en-US" w:eastAsia="zh-CN"/>
                              </w:rPr>
                              <w:t xml:space="preserve">                    </w:t>
                            </w:r>
                            <w:r>
                              <w:rPr>
                                <w:rFonts w:hint="eastAsia" w:ascii="黑体" w:hAnsi="黑体" w:eastAsia="黑体" w:cs="宋体"/>
                                <w:bCs/>
                                <w:sz w:val="24"/>
                                <w:szCs w:val="24"/>
                                <w:lang w:val="en-US"/>
                              </w:rPr>
                              <w:t>新型城镇化重点项目</w:t>
                            </w:r>
                          </w:p>
                          <w:p w14:paraId="11C20563">
                            <w:pPr>
                              <w:pStyle w:val="5"/>
                              <w:ind w:left="0" w:firstLine="0" w:firstLineChars="0"/>
                              <w:rPr>
                                <w:rFonts w:hint="eastAsia" w:ascii="黑体" w:hAnsi="黑体" w:eastAsia="黑体" w:cs="宋体"/>
                                <w:bCs/>
                                <w:sz w:val="24"/>
                                <w:szCs w:val="24"/>
                                <w:lang w:val="en-US"/>
                              </w:rPr>
                            </w:pPr>
                          </w:p>
                          <w:p w14:paraId="2EF0B99B">
                            <w:pPr>
                              <w:pStyle w:val="5"/>
                              <w:ind w:left="0" w:firstLine="480" w:firstLineChars="200"/>
                              <w:rPr>
                                <w:rFonts w:cs="宋体" w:asciiTheme="minorEastAsia" w:hAnsiTheme="minorEastAsia" w:eastAsiaTheme="minorEastAsia"/>
                                <w:bCs/>
                                <w:sz w:val="24"/>
                                <w:szCs w:val="24"/>
                                <w:lang w:val="en-US"/>
                              </w:rPr>
                            </w:pPr>
                            <w:r>
                              <w:rPr>
                                <w:rFonts w:cs="宋体" w:asciiTheme="minorEastAsia" w:hAnsiTheme="minorEastAsia" w:eastAsiaTheme="minorEastAsia"/>
                                <w:bCs/>
                                <w:sz w:val="24"/>
                                <w:szCs w:val="24"/>
                                <w:lang w:val="en-US"/>
                              </w:rPr>
                              <w:t>苇子峡乡污水集中处理项目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苇子峡乡集中供暖建设项目</w:t>
                            </w:r>
                            <w:r>
                              <w:rPr>
                                <w:rFonts w:hint="eastAsia" w:cs="宋体" w:asciiTheme="minorEastAsia" w:hAnsiTheme="minorEastAsia" w:eastAsiaTheme="minorEastAsia"/>
                                <w:bCs/>
                                <w:sz w:val="24"/>
                                <w:szCs w:val="24"/>
                                <w:lang w:val="en-US"/>
                              </w:rPr>
                              <w:t>；盐池镇休闲广场建设项目；淖毛湖镇住宅楼外立面、楼道改造项目；淖毛湖镇石全食美市场基础设施配套建设项目；淖毛湖镇中心社区活动中心建设项目；淖毛湖镇休闲文化小广场建设项目；淖毛湖开发区安居富民房维修改造项目；山南开发区二区村委会办公室维修修缮及节能型锅炉改造工程；下马崖乡新丝路社区休息区建设项目；伊吾县县城西区三期基础设施建设项目；淖毛湖镇绿化建设项目；吐葫芦乡政府干部周转房建设项目；淖毛湖镇市政基础设施建设项目、伊吾县城市更新项目。</w:t>
                            </w:r>
                          </w:p>
                        </w:txbxContent>
                      </wps:txbx>
                      <wps:bodyPr wrap="none" upright="1"/>
                    </wps:wsp>
                  </a:graphicData>
                </a:graphic>
              </wp:anchor>
            </w:drawing>
          </mc:Choice>
          <mc:Fallback>
            <w:pict>
              <v:shape id="文本框 2709" o:spid="_x0000_s1026" o:spt="202" type="#_x0000_t202" style="position:absolute;left:0pt;margin-left:10.4pt;margin-top:33.95pt;height:146.3pt;width:440.15pt;mso-wrap-distance-bottom:0pt;mso-wrap-distance-left:9pt;mso-wrap-distance-right:9pt;mso-wrap-distance-top:0pt;mso-wrap-style:none;z-index:251663360;mso-width-relative:page;mso-height-relative:page;" fillcolor="#FFFFFF" filled="t" stroked="t" coordsize="21600,21600" o:gfxdata="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z083NkAAAAJAQAADwAAAAAA&#10;AAABACAAAAAiAAAAZHJzL2Rvd25yZXYueG1sUEsBAhQAFAAAAAgAh07iQEw3sFESAgAARgQAAA4A&#10;AAAAAAAAAQAgAAAAKAEAAGRycy9lMm9Eb2MueG1sUEsFBgAAAAAGAAYAWQEAAKwFAAAAAA==&#10;">
                <v:fill on="t" focussize="0,0"/>
                <v:stroke color="#000000" joinstyle="miter"/>
                <v:imagedata o:title=""/>
                <o:lock v:ext="edit" aspectratio="f"/>
                <v:textbox>
                  <w:txbxContent>
                    <w:p w14:paraId="6A62322A">
                      <w:pPr>
                        <w:pStyle w:val="5"/>
                        <w:ind w:left="0" w:firstLine="0" w:firstLineChars="0"/>
                        <w:rPr>
                          <w:rFonts w:hint="eastAsia" w:ascii="黑体" w:hAnsi="黑体" w:eastAsia="黑体" w:cs="宋体"/>
                          <w:bCs/>
                          <w:sz w:val="24"/>
                          <w:szCs w:val="24"/>
                          <w:lang w:val="en-US"/>
                        </w:rPr>
                      </w:pPr>
                      <w:r>
                        <w:rPr>
                          <w:rFonts w:hint="eastAsia" w:ascii="黑体" w:hAnsi="黑体" w:eastAsia="黑体" w:cs="宋体"/>
                          <w:bCs/>
                          <w:sz w:val="24"/>
                          <w:szCs w:val="24"/>
                          <w:lang w:val="en-US"/>
                        </w:rPr>
                        <w:t>专栏</w:t>
                      </w:r>
                      <w:r>
                        <w:rPr>
                          <w:rFonts w:hint="default" w:ascii="Times New Roman" w:hAnsi="Times New Roman" w:eastAsia="黑体" w:cs="Times New Roman"/>
                          <w:bCs/>
                          <w:sz w:val="24"/>
                          <w:szCs w:val="24"/>
                          <w:lang w:val="en-US" w:eastAsia="zh-CN"/>
                        </w:rPr>
                        <w:t xml:space="preserve">9 </w:t>
                      </w:r>
                      <w:r>
                        <w:rPr>
                          <w:rFonts w:hint="eastAsia" w:ascii="黑体" w:hAnsi="黑体" w:eastAsia="黑体" w:cs="宋体"/>
                          <w:bCs/>
                          <w:sz w:val="24"/>
                          <w:szCs w:val="24"/>
                          <w:lang w:val="en-US" w:eastAsia="zh-CN"/>
                        </w:rPr>
                        <w:t xml:space="preserve">                    </w:t>
                      </w:r>
                      <w:r>
                        <w:rPr>
                          <w:rFonts w:hint="eastAsia" w:ascii="黑体" w:hAnsi="黑体" w:eastAsia="黑体" w:cs="宋体"/>
                          <w:bCs/>
                          <w:sz w:val="24"/>
                          <w:szCs w:val="24"/>
                          <w:lang w:val="en-US"/>
                        </w:rPr>
                        <w:t>新型城镇化重点项目</w:t>
                      </w:r>
                    </w:p>
                    <w:p w14:paraId="11C20563">
                      <w:pPr>
                        <w:pStyle w:val="5"/>
                        <w:ind w:left="0" w:firstLine="0" w:firstLineChars="0"/>
                        <w:rPr>
                          <w:rFonts w:hint="eastAsia" w:ascii="黑体" w:hAnsi="黑体" w:eastAsia="黑体" w:cs="宋体"/>
                          <w:bCs/>
                          <w:sz w:val="24"/>
                          <w:szCs w:val="24"/>
                          <w:lang w:val="en-US"/>
                        </w:rPr>
                      </w:pPr>
                    </w:p>
                    <w:p w14:paraId="2EF0B99B">
                      <w:pPr>
                        <w:pStyle w:val="5"/>
                        <w:ind w:left="0" w:firstLine="480" w:firstLineChars="200"/>
                        <w:rPr>
                          <w:rFonts w:cs="宋体" w:asciiTheme="minorEastAsia" w:hAnsiTheme="minorEastAsia" w:eastAsiaTheme="minorEastAsia"/>
                          <w:bCs/>
                          <w:sz w:val="24"/>
                          <w:szCs w:val="24"/>
                          <w:lang w:val="en-US"/>
                        </w:rPr>
                      </w:pPr>
                      <w:r>
                        <w:rPr>
                          <w:rFonts w:cs="宋体" w:asciiTheme="minorEastAsia" w:hAnsiTheme="minorEastAsia" w:eastAsiaTheme="minorEastAsia"/>
                          <w:bCs/>
                          <w:sz w:val="24"/>
                          <w:szCs w:val="24"/>
                          <w:lang w:val="en-US"/>
                        </w:rPr>
                        <w:t>苇子峡乡污水集中处理项目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苇子峡乡集中供暖建设项目</w:t>
                      </w:r>
                      <w:r>
                        <w:rPr>
                          <w:rFonts w:hint="eastAsia" w:cs="宋体" w:asciiTheme="minorEastAsia" w:hAnsiTheme="minorEastAsia" w:eastAsiaTheme="minorEastAsia"/>
                          <w:bCs/>
                          <w:sz w:val="24"/>
                          <w:szCs w:val="24"/>
                          <w:lang w:val="en-US"/>
                        </w:rPr>
                        <w:t>；盐池镇休闲广场建设项目；淖毛湖镇住宅楼外立面、楼道改造项目；淖毛湖镇石全食美市场基础设施配套建设项目；淖毛湖镇中心社区活动中心建设项目；淖毛湖镇休闲文化小广场建设项目；淖毛湖开发区安居富民房维修改造项目；山南开发区二区村委会办公室维修修缮及节能型锅炉改造工程；下马崖乡新丝路社区休息区建设项目；伊吾县县城西区三期基础设施建设项目；淖毛湖镇绿化建设项目；吐葫芦乡政府干部周转房建设项目；淖毛湖镇市政基础设施建设项目、伊吾县城市更新项目。</w:t>
                      </w:r>
                    </w:p>
                  </w:txbxContent>
                </v:textbox>
                <w10:wrap type="square"/>
              </v:shape>
            </w:pict>
          </mc:Fallback>
        </mc:AlternateContent>
      </w:r>
    </w:p>
    <w:p w14:paraId="542E8452">
      <w:pPr>
        <w:pStyle w:val="3"/>
        <w:spacing w:line="560" w:lineRule="exact"/>
        <w:jc w:val="center"/>
        <w:rPr>
          <w:rFonts w:eastAsia="方正黑体_GBK"/>
          <w:b w:val="0"/>
          <w:bCs/>
          <w:color w:val="000000"/>
          <w:sz w:val="36"/>
          <w:szCs w:val="36"/>
        </w:rPr>
      </w:pPr>
      <w:bookmarkStart w:id="165" w:name="_Toc75285139"/>
      <w:r>
        <w:rPr>
          <w:sz w:val="36"/>
        </w:rPr>
        <mc:AlternateContent>
          <mc:Choice Requires="wps">
            <w:drawing>
              <wp:anchor distT="0" distB="0" distL="114300" distR="114300" simplePos="0" relativeHeight="251677696" behindDoc="0" locked="0" layoutInCell="1" allowOverlap="1">
                <wp:simplePos x="0" y="0"/>
                <wp:positionH relativeFrom="column">
                  <wp:posOffset>120650</wp:posOffset>
                </wp:positionH>
                <wp:positionV relativeFrom="paragraph">
                  <wp:posOffset>358140</wp:posOffset>
                </wp:positionV>
                <wp:extent cx="5540375" cy="0"/>
                <wp:effectExtent l="0" t="0" r="0" b="0"/>
                <wp:wrapNone/>
                <wp:docPr id="21" name="直接连接符 21"/>
                <wp:cNvGraphicFramePr/>
                <a:graphic xmlns:a="http://schemas.openxmlformats.org/drawingml/2006/main">
                  <a:graphicData uri="http://schemas.microsoft.com/office/word/2010/wordprocessingShape">
                    <wps:wsp>
                      <wps:cNvCnPr/>
                      <wps:spPr>
                        <a:xfrm>
                          <a:off x="1104265" y="3797300"/>
                          <a:ext cx="5540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5pt;margin-top:28.2pt;height:0pt;width:436.25pt;z-index:251677696;mso-width-relative:page;mso-height-relative:page;" filled="f" stroked="t" coordsize="21600,21600" o:gfxdata="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ad1M3VAAAA&#10;CAEAAA8AAAAAAAAAAQAgAAAAIgAAAGRycy9kb3ducmV2LnhtbFBLAQIUABQAAAAIAIdO4kBroVPy&#10;5wEAAKgDAAAOAAAAAAAAAAEAIAAAACQBAABkcnMvZTJvRG9jLnhtbFBLBQYAAAAABgAGAFkBAAB9&#10;BQAAAAA=&#10;">
                <v:fill on="f" focussize="0,0"/>
                <v:stroke color="#000000 [3213]" joinstyle="round"/>
                <v:imagedata o:title=""/>
                <o:lock v:ext="edit" aspectratio="f"/>
              </v:line>
            </w:pict>
          </mc:Fallback>
        </mc:AlternateContent>
      </w:r>
      <w:r>
        <w:rPr>
          <w:rFonts w:hint="eastAsia" w:eastAsia="方正黑体_GBK"/>
          <w:b w:val="0"/>
          <w:bCs/>
          <w:color w:val="000000"/>
          <w:sz w:val="36"/>
          <w:szCs w:val="36"/>
        </w:rPr>
        <w:t>第十一篇 推进文化润疆 筑牢共同团结奋斗的思想基础</w:t>
      </w:r>
      <w:bookmarkEnd w:id="165"/>
    </w:p>
    <w:p w14:paraId="3AAFF246">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坚持以社会主义核心价值观为引领，坚定不移举旗帜、聚民心、育新人、兴文化、展形象，铸牢中华民族共同体意识，推进新疆伊斯兰教中国化，繁荣发展文化事业和文化产业，促进满足人民文化需求和增强人民精神力量相统一，更好地宣传教育群众、团结凝聚人心。</w:t>
      </w:r>
    </w:p>
    <w:p w14:paraId="657289F5">
      <w:pPr>
        <w:pStyle w:val="2"/>
        <w:spacing w:line="560" w:lineRule="exact"/>
        <w:jc w:val="center"/>
        <w:rPr>
          <w:rFonts w:ascii="Times New Roman" w:hAnsi="Times New Roman" w:eastAsia="方正楷体_GBK"/>
          <w:b w:val="0"/>
          <w:bCs w:val="0"/>
          <w:color w:val="000000"/>
          <w:kern w:val="0"/>
          <w:sz w:val="32"/>
        </w:rPr>
      </w:pPr>
      <w:bookmarkStart w:id="166" w:name="_Toc75285140"/>
      <w:r>
        <w:rPr>
          <w:rFonts w:ascii="Times New Roman" w:hAnsi="Times New Roman" w:eastAsia="方正楷体_GBK"/>
          <w:b w:val="0"/>
          <w:bCs w:val="0"/>
          <w:color w:val="000000"/>
          <w:kern w:val="0"/>
          <w:sz w:val="32"/>
        </w:rPr>
        <w:t>第一章  铸牢中华民族共同体意识</w:t>
      </w:r>
      <w:bookmarkEnd w:id="166"/>
    </w:p>
    <w:p w14:paraId="3AB80966">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bookmarkStart w:id="167" w:name="_Toc12895"/>
      <w:bookmarkStart w:id="168" w:name="_Toc13864"/>
      <w:r>
        <w:rPr>
          <w:rFonts w:ascii="Times New Roman" w:hAnsi="Times New Roman" w:eastAsia="方正仿宋_GBK" w:cs="Times New Roman"/>
          <w:color w:val="000000"/>
          <w:kern w:val="2"/>
          <w:sz w:val="32"/>
          <w:szCs w:val="32"/>
          <w:lang w:val="en-US" w:eastAsia="zh-CN" w:bidi="ar-SA"/>
        </w:rPr>
        <w:t>坚持以铸牢中华民族共同体意识为主线做好民族工作，全面贯彻党的民族政策，巩固发展平等团结互助和谐的社会主义民族关系。深化中华民族共同体历史、中华民族多元一体格局的研究，深入挖掘和有效运用新疆各民族交往交流交融的历史事实、考古实物、文化遗存，有力宣传阐释新疆广袤土地是各民族共同开拓的、新疆悠久历史是各民族共同书写的、新疆灿烂文化是各民族共同创造的。坚持把中华民族共同体意识教育纳入国民教育、干部教育、青少年教育和社会教育，增强各族干部群众对伟大祖国、中华民族、中华文化、中国共产党、中国特色社会主义的认同。深入挖掘红色资源，传承红色基因，充分发挥红色资源在理想信念教育中的重要作用。持续开展民族团结宣传教育和民族团结进步创建活动，积极创建全国民族团结进步模范区。深入开展“民族团结一家亲”和民族团结联谊活动，创新开展青少年民族团结融情实践活动，推进互嵌式示范社区建设，加快构建互嵌式社会结构和社区环境，促进各民族广泛交往、全面交流、深度交融。</w:t>
      </w:r>
      <w:bookmarkEnd w:id="167"/>
      <w:bookmarkEnd w:id="168"/>
    </w:p>
    <w:p w14:paraId="5E430CCC">
      <w:pPr>
        <w:pStyle w:val="2"/>
        <w:spacing w:line="560" w:lineRule="exact"/>
        <w:jc w:val="center"/>
        <w:rPr>
          <w:rFonts w:ascii="Times New Roman" w:hAnsi="Times New Roman" w:eastAsia="方正楷体_GBK"/>
          <w:b w:val="0"/>
          <w:bCs w:val="0"/>
          <w:color w:val="000000"/>
          <w:kern w:val="0"/>
          <w:sz w:val="32"/>
        </w:rPr>
      </w:pPr>
      <w:bookmarkStart w:id="169" w:name="_Toc75285141"/>
      <w:r>
        <w:rPr>
          <w:rFonts w:ascii="Times New Roman" w:hAnsi="Times New Roman" w:eastAsia="方正楷体_GBK"/>
          <w:b w:val="0"/>
          <w:bCs w:val="0"/>
          <w:color w:val="000000"/>
          <w:kern w:val="0"/>
          <w:sz w:val="32"/>
        </w:rPr>
        <w:t>第二章  深入实施文化润疆工程</w:t>
      </w:r>
      <w:bookmarkEnd w:id="169"/>
    </w:p>
    <w:p w14:paraId="7753D868">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bookmarkStart w:id="170" w:name="_Toc16019"/>
      <w:bookmarkStart w:id="171" w:name="_Toc25601"/>
      <w:r>
        <w:rPr>
          <w:rFonts w:ascii="Times New Roman" w:hAnsi="Times New Roman" w:eastAsia="方正仿宋_GBK" w:cs="Times New Roman"/>
          <w:color w:val="000000"/>
          <w:kern w:val="2"/>
          <w:sz w:val="32"/>
          <w:szCs w:val="32"/>
          <w:lang w:val="en-US" w:eastAsia="zh-CN" w:bidi="ar-SA"/>
        </w:rPr>
        <w:t>持续开展“习近平新时代中国特色社会主义思想进万家”活动。研究制定伊吾县文化润疆工程规划（2021—2030年），围绕贯通中华文化血脉、融入现代文明、彰显中华优秀传统文化和社会主义核心价值观，精心谋划文化润疆工程。持续推进“中华经典诵读工程”“广电精品润疆工程”“网络视听作品创作工程”，推动中华优秀传统文化进学校、进家庭、进社区、进头脑。推动中华文化元素和标志性符号进文化馆、博物馆、图书馆等公共文化机构、进基层文化阵地、进</w:t>
      </w:r>
      <w:r>
        <w:rPr>
          <w:rFonts w:hint="eastAsia" w:eastAsia="方正仿宋_GBK" w:cs="Times New Roman"/>
          <w:color w:val="000000"/>
          <w:kern w:val="2"/>
          <w:sz w:val="32"/>
          <w:szCs w:val="32"/>
          <w:lang w:val="en-US" w:eastAsia="zh-CN" w:bidi="ar-SA"/>
        </w:rPr>
        <w:t>各</w:t>
      </w:r>
      <w:r>
        <w:rPr>
          <w:rFonts w:ascii="Times New Roman" w:hAnsi="Times New Roman" w:eastAsia="方正仿宋_GBK" w:cs="Times New Roman"/>
          <w:color w:val="000000"/>
          <w:kern w:val="2"/>
          <w:sz w:val="32"/>
          <w:szCs w:val="32"/>
          <w:lang w:val="en-US" w:eastAsia="zh-CN" w:bidi="ar-SA"/>
        </w:rPr>
        <w:t>A级旅游景区，将伊吾县四十天保卫战纪念园建设成为具有中华文化特征和中华民族视觉形象的重点工程。加强历史文物遗址保护利用和博物馆建设，充分挖掘伊吾四十天保卫战红色教育资源，推进红色教育活态展示工程。实施“国家历史记忆工程”和“国家红色记忆工程”，深入挖掘新疆同内地各民族交往交流交融的历史内涵，让历史发声、让文物说话。把立德树人融入思想道德教育、文化知识教育、社会实践教育各环节，强化学校思想政治工作。</w:t>
      </w:r>
      <w:bookmarkEnd w:id="170"/>
      <w:bookmarkEnd w:id="171"/>
    </w:p>
    <w:p w14:paraId="4D55A94D">
      <w:pPr>
        <w:pStyle w:val="2"/>
        <w:spacing w:line="560" w:lineRule="exact"/>
        <w:jc w:val="center"/>
        <w:rPr>
          <w:rFonts w:ascii="Times New Roman" w:hAnsi="Times New Roman" w:eastAsia="方正楷体_GBK"/>
          <w:b w:val="0"/>
          <w:bCs w:val="0"/>
          <w:color w:val="000000"/>
          <w:kern w:val="0"/>
          <w:sz w:val="32"/>
        </w:rPr>
      </w:pPr>
      <w:bookmarkStart w:id="172" w:name="_Toc75285142"/>
      <w:r>
        <w:rPr>
          <w:rFonts w:ascii="Times New Roman" w:hAnsi="Times New Roman" w:eastAsia="方正楷体_GBK"/>
          <w:b w:val="0"/>
          <w:bCs w:val="0"/>
          <w:color w:val="000000"/>
          <w:kern w:val="0"/>
          <w:sz w:val="32"/>
        </w:rPr>
        <w:t>第</w:t>
      </w:r>
      <w:r>
        <w:rPr>
          <w:rFonts w:hint="eastAsia" w:ascii="Times New Roman" w:hAnsi="Times New Roman" w:eastAsia="方正楷体_GBK"/>
          <w:b w:val="0"/>
          <w:bCs w:val="0"/>
          <w:color w:val="000000"/>
          <w:kern w:val="0"/>
          <w:sz w:val="32"/>
        </w:rPr>
        <w:t>三</w:t>
      </w:r>
      <w:r>
        <w:rPr>
          <w:rFonts w:ascii="Times New Roman" w:hAnsi="Times New Roman" w:eastAsia="方正楷体_GBK"/>
          <w:b w:val="0"/>
          <w:bCs w:val="0"/>
          <w:color w:val="000000"/>
          <w:kern w:val="0"/>
          <w:sz w:val="32"/>
        </w:rPr>
        <w:t>章  提高社会文明程度</w:t>
      </w:r>
      <w:bookmarkEnd w:id="172"/>
    </w:p>
    <w:p w14:paraId="163BBBE8">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bookmarkStart w:id="173" w:name="_Toc29191"/>
      <w:bookmarkStart w:id="174" w:name="_Toc3232"/>
      <w:r>
        <w:rPr>
          <w:rFonts w:ascii="Times New Roman" w:hAnsi="Times New Roman" w:eastAsia="方正仿宋_GBK" w:cs="Times New Roman"/>
          <w:color w:val="000000"/>
          <w:kern w:val="2"/>
          <w:sz w:val="32"/>
          <w:szCs w:val="32"/>
          <w:lang w:val="en-US" w:eastAsia="zh-CN" w:bidi="ar-SA"/>
        </w:rPr>
        <w:t>推动形成适应新时代要求的思想观念、精神面貌、文明风尚、行为规范，提高社会文明程度。推进马克思主义理论研究和建设工程，加强对习近平新时代中国特色社会主义思想和新时代党的治疆方略的研究。大力培育和践行社会主义核心价值观，推动理想信念教育常态化制度化，加强爱国主义、集体主义、社会主义教育，加强党史、新中国史、改革开放史、社会主义发展史宣传教育，引导各族群众感恩幸福生活、厚植爱国情怀。实施公民道德建设工程，积极发挥人民团体和社会组织的作用，大力推进世俗文化、现代文化发展，教育引导群众破除陈规陋俗。实施文明创建工程，建立完善文明实践中心、所、站、点四级联动机制。加强网络文明建设，实施网络文艺精品创作和传播计划，培育积极健康、向上向善的网络文化。健全协调联动的志愿服务体系，广泛开展志愿服务关爱行动，改善社会服务，促进社会进步。弘扬诚信文化，提倡艰苦奋斗、勤俭节约，加强家庭、家教、家风建设。</w:t>
      </w:r>
      <w:bookmarkEnd w:id="173"/>
      <w:bookmarkEnd w:id="174"/>
    </w:p>
    <w:p w14:paraId="589D2756">
      <w:pPr>
        <w:pStyle w:val="2"/>
        <w:spacing w:line="560" w:lineRule="exact"/>
        <w:jc w:val="center"/>
        <w:rPr>
          <w:rFonts w:ascii="Times New Roman" w:hAnsi="Times New Roman" w:eastAsia="方正楷体_GBK"/>
          <w:b w:val="0"/>
          <w:bCs w:val="0"/>
          <w:color w:val="000000"/>
          <w:kern w:val="0"/>
          <w:sz w:val="32"/>
        </w:rPr>
      </w:pPr>
      <w:bookmarkStart w:id="175" w:name="_Toc75285143"/>
      <w:r>
        <w:rPr>
          <w:rFonts w:ascii="Times New Roman" w:hAnsi="Times New Roman" w:eastAsia="方正楷体_GBK"/>
          <w:b w:val="0"/>
          <w:bCs w:val="0"/>
          <w:color w:val="000000"/>
          <w:kern w:val="0"/>
          <w:sz w:val="32"/>
        </w:rPr>
        <w:t>第</w:t>
      </w:r>
      <w:r>
        <w:rPr>
          <w:rFonts w:hint="eastAsia" w:ascii="Times New Roman" w:hAnsi="Times New Roman" w:eastAsia="方正楷体_GBK"/>
          <w:b w:val="0"/>
          <w:bCs w:val="0"/>
          <w:color w:val="000000"/>
          <w:kern w:val="0"/>
          <w:sz w:val="32"/>
        </w:rPr>
        <w:t>四</w:t>
      </w:r>
      <w:r>
        <w:rPr>
          <w:rFonts w:ascii="Times New Roman" w:hAnsi="Times New Roman" w:eastAsia="方正楷体_GBK"/>
          <w:b w:val="0"/>
          <w:bCs w:val="0"/>
          <w:color w:val="000000"/>
          <w:kern w:val="0"/>
          <w:sz w:val="32"/>
        </w:rPr>
        <w:t>章  提升公共文化服务水平</w:t>
      </w:r>
      <w:bookmarkEnd w:id="175"/>
    </w:p>
    <w:p w14:paraId="47E89BD8">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bookmarkStart w:id="176" w:name="_Toc11483"/>
      <w:bookmarkStart w:id="177" w:name="_Toc23122"/>
      <w:r>
        <w:rPr>
          <w:rFonts w:ascii="Times New Roman" w:hAnsi="Times New Roman" w:eastAsia="方正仿宋_GBK" w:cs="Times New Roman"/>
          <w:color w:val="000000"/>
          <w:kern w:val="2"/>
          <w:sz w:val="32"/>
          <w:szCs w:val="32"/>
          <w:lang w:val="en-US" w:eastAsia="zh-CN" w:bidi="ar-SA"/>
        </w:rPr>
        <w:t>繁荣新闻出版、广播影视、文学艺术、哲学社会科学事业。实施文艺精品战略，不断健全文艺扶持激励机制，加大对重点文艺项目的扶持，推出一批正确反映新疆历史、具有中华文化底蕴、彰显优秀民族文化特色、符合现代文明理念、反映各族群众现实生活的精品力作，建设一支具有正确历史观、民族观、国家观、文化观、爱党爱国爱疆的文艺人才队伍。推进新疆优秀地域文化和内地各民族优秀文化交流互鉴，精心组织新疆特色文化节目走出去。实施全媒体传播工程，做强新型主流媒体，建强用好县级融媒体中心，提高媒体传播力、引导力、影响力。健全区、地、县、乡、村五级文化服务网络，创新实施文化惠民工程，广泛开展群众性文化活动，全面推进广播电视节目地面无线数字化覆盖和广播电视“村村通”、直播卫星“户户通”设备升级。加强文物古籍保护、研究、利用，强化重要文化和自然遗产、非物质文化遗产保护。完善公共体育设施，广泛开展全民健身运动，增强人民体质。以公共文化服务体系建设为基础，促进基本公共文化服务标准化、均等化，积极打造“10分钟”文化体育服务圈。</w:t>
      </w:r>
      <w:bookmarkEnd w:id="176"/>
      <w:bookmarkEnd w:id="177"/>
    </w:p>
    <w:p w14:paraId="67F09A74">
      <w:pPr>
        <w:pStyle w:val="3"/>
        <w:spacing w:line="560" w:lineRule="exact"/>
        <w:jc w:val="center"/>
        <w:rPr>
          <w:rFonts w:eastAsia="方正黑体_GBK"/>
          <w:b w:val="0"/>
          <w:bCs/>
          <w:color w:val="000000"/>
          <w:sz w:val="36"/>
          <w:szCs w:val="36"/>
        </w:rPr>
      </w:pPr>
      <w:bookmarkStart w:id="178" w:name="_Toc75285144"/>
      <w:r>
        <w:rPr>
          <w:rFonts w:eastAsia="方正黑体_GBK"/>
          <w:b w:val="0"/>
          <w:bCs/>
          <w:color w:val="000000"/>
          <w:sz w:val="36"/>
          <w:szCs w:val="36"/>
        </w:rPr>
        <w:t>第十二篇  加强生态文明建设 努力建设美丽伊吾</w:t>
      </w:r>
      <w:bookmarkEnd w:id="178"/>
    </w:p>
    <w:p w14:paraId="1816128B">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深入贯彻习近平生态文明思想，牢固树立</w:t>
      </w:r>
      <w:r>
        <w:rPr>
          <w:rFonts w:hint="eastAsia" w:eastAsia="方正仿宋_GBK" w:cs="Times New Roman"/>
          <w:color w:val="000000"/>
          <w:kern w:val="2"/>
          <w:sz w:val="32"/>
          <w:szCs w:val="32"/>
          <w:lang w:val="en-US" w:eastAsia="zh-CN" w:bidi="ar-SA"/>
        </w:rPr>
        <w:t>和践行</w:t>
      </w:r>
      <w:r>
        <w:rPr>
          <w:rFonts w:ascii="Times New Roman" w:hAnsi="Times New Roman" w:eastAsia="方正仿宋_GBK" w:cs="Times New Roman"/>
          <w:color w:val="000000"/>
          <w:kern w:val="2"/>
          <w:sz w:val="32"/>
          <w:szCs w:val="32"/>
          <w:lang w:val="en-US" w:eastAsia="zh-CN" w:bidi="ar-SA"/>
        </w:rPr>
        <w:t>绿水青山就是金山银山的理念，实施生态环境保护“一盘棋”，落实最严格的生态环境保护制度，全面建立资源高效利用制度，健全生态保护和修复机制，严明生态环境保护责任制度，持续打好污染防治攻坚战，努力建设天蓝地绿水清的美丽伊吾。</w:t>
      </w:r>
    </w:p>
    <w:p w14:paraId="0B7EC63E">
      <w:pPr>
        <w:pStyle w:val="2"/>
        <w:spacing w:line="560" w:lineRule="exact"/>
        <w:jc w:val="center"/>
        <w:rPr>
          <w:rFonts w:ascii="Times New Roman" w:hAnsi="Times New Roman" w:eastAsia="方正楷体_GBK"/>
          <w:b w:val="0"/>
          <w:bCs w:val="0"/>
          <w:color w:val="000000"/>
          <w:kern w:val="0"/>
          <w:sz w:val="32"/>
        </w:rPr>
      </w:pPr>
      <w:bookmarkStart w:id="179" w:name="_Toc75285145"/>
      <w:r>
        <w:rPr>
          <w:rFonts w:ascii="Times New Roman" w:hAnsi="Times New Roman" w:eastAsia="方正楷体_GBK"/>
          <w:b w:val="0"/>
          <w:bCs w:val="0"/>
          <w:color w:val="000000"/>
          <w:kern w:val="0"/>
          <w:sz w:val="32"/>
        </w:rPr>
        <w:t>第一章  健全生态环境保护机制</w:t>
      </w:r>
      <w:bookmarkEnd w:id="179"/>
    </w:p>
    <w:p w14:paraId="50CBF4E3">
      <w:pPr>
        <w:pStyle w:val="5"/>
        <w:spacing w:line="56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实施最严格的生态保护制度，严禁“三高”项目进伊吾，严格执行能源、矿产资源开发自治区人民政府“一支笔”审批制度、环境保护“一票否决”制度，守住生态保护红线、环境质量底线和自然资源利用上线。实行最严格的水资源管理制度，严守水资源开发利用控制、用水效率控制和水功能区限制纳污“三条红线”，严格实行区域用水总量和强度控制，强化节水约束性指标管理。全面实行排污许可制，适时开展排污权、用水权、用能权、碳排放权交易。健全国土空间开发保护制度，严格国土空间规划和用途管控。加强生态环境保护综合执法体系和能力建设，依法依规强化生态环境执法，健全生态环境损害赔偿制度。探索鼓励高环境风险企业投保环境污染强制责任险。严格落实党政领导干部自然资源资产责任离任审计与生态环境损害终身责任追究制度。</w:t>
      </w:r>
    </w:p>
    <w:p w14:paraId="4399C97E">
      <w:pPr>
        <w:pStyle w:val="2"/>
        <w:spacing w:line="560" w:lineRule="exact"/>
        <w:jc w:val="center"/>
        <w:rPr>
          <w:rFonts w:ascii="Times New Roman" w:hAnsi="Times New Roman" w:eastAsia="方正楷体_GBK"/>
          <w:b w:val="0"/>
          <w:bCs w:val="0"/>
          <w:color w:val="000000"/>
          <w:kern w:val="0"/>
          <w:sz w:val="32"/>
        </w:rPr>
      </w:pPr>
      <w:bookmarkStart w:id="180" w:name="_Toc75285146"/>
      <w:r>
        <w:rPr>
          <w:rFonts w:ascii="Times New Roman" w:hAnsi="Times New Roman" w:eastAsia="方正楷体_GBK"/>
          <w:b w:val="0"/>
          <w:bCs w:val="0"/>
          <w:color w:val="000000"/>
          <w:kern w:val="0"/>
          <w:sz w:val="32"/>
        </w:rPr>
        <w:t>第二章  推动</w:t>
      </w:r>
      <w:r>
        <w:rPr>
          <w:rFonts w:ascii="Times New Roman" w:hAnsi="Times New Roman" w:eastAsia="方正楷体_GBK"/>
          <w:b w:val="0"/>
          <w:bCs w:val="0"/>
          <w:color w:val="000000"/>
          <w:kern w:val="0"/>
          <w:sz w:val="32"/>
          <w:lang w:val="en-US" w:eastAsia="zh-CN"/>
        </w:rPr>
        <w:t>绿色</w:t>
      </w:r>
      <w:r>
        <w:rPr>
          <w:rFonts w:ascii="Times New Roman" w:hAnsi="Times New Roman" w:eastAsia="方正楷体_GBK"/>
          <w:b w:val="0"/>
          <w:bCs w:val="0"/>
          <w:color w:val="000000"/>
          <w:kern w:val="0"/>
          <w:sz w:val="32"/>
        </w:rPr>
        <w:t>低碳循环发展</w:t>
      </w:r>
      <w:bookmarkEnd w:id="180"/>
    </w:p>
    <w:p w14:paraId="4947A39B">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严格执行《绿色产业指导目录（2019年版）》，落实环境准入要求，实施生态环境准入清单管理，从源头上防止环境污染。加强能耗“双控”管理，严格控制能源消费增量和能耗强度。推进非化石能源加快发展与化石能源高效清洁利用，提高非化石能源消费比重，建设清洁低碳、安全高效的现代能源供应和消费体系，实现能源结构与产业结构“双优化”。</w:t>
      </w:r>
    </w:p>
    <w:p w14:paraId="31E5B71B">
      <w:pPr>
        <w:pStyle w:val="5"/>
        <w:spacing w:line="580" w:lineRule="exact"/>
        <w:ind w:left="0" w:firstLine="643" w:firstLineChars="200"/>
        <w:rPr>
          <w:rFonts w:ascii="Times New Roman" w:hAnsi="Times New Roman" w:eastAsia="方正仿宋_GBK" w:cs="Times New Roman"/>
          <w:color w:val="000000"/>
          <w:kern w:val="2"/>
          <w:sz w:val="32"/>
          <w:szCs w:val="32"/>
          <w:lang w:val="en-US" w:eastAsia="zh-CN" w:bidi="ar-SA"/>
        </w:rPr>
      </w:pPr>
      <w:r>
        <w:rPr>
          <w:rFonts w:eastAsia="方正楷体_GBK"/>
          <w:b/>
          <w:bCs/>
          <w:color w:val="000000"/>
          <w:sz w:val="32"/>
          <w:szCs w:val="32"/>
          <w:lang w:val="en-US" w:bidi="ar-SA"/>
        </w:rPr>
        <w:t>着力构建低碳型工业产业链。</w:t>
      </w:r>
      <w:r>
        <w:rPr>
          <w:rFonts w:ascii="Times New Roman" w:hAnsi="Times New Roman" w:eastAsia="方正仿宋_GBK" w:cs="Times New Roman"/>
          <w:color w:val="000000"/>
          <w:kern w:val="2"/>
          <w:sz w:val="32"/>
          <w:szCs w:val="32"/>
          <w:lang w:val="en-US" w:eastAsia="zh-CN" w:bidi="ar-SA"/>
        </w:rPr>
        <w:t>支持绿色清洁生产，培育加工、再加工的循环经济产业链，探索建设循环的工业链和共生的产业群模式，坚决淘汰落后的工艺和设备，关停环境污染严重的企业。着力打造绿色新型园区，坚持绿色低碳循环发展方向，加大煤炭、煤化工、矿山等传统产业低碳化、循环化、生态化改造，推广应用节能环保新技术、新工艺、新设备、新材料，把伊吾工业园区打造成国家级煤炭分级提质综合利用的示范基地。</w:t>
      </w:r>
    </w:p>
    <w:p w14:paraId="4117E530">
      <w:pPr>
        <w:pStyle w:val="5"/>
        <w:spacing w:line="580" w:lineRule="exact"/>
        <w:ind w:left="0" w:firstLine="643" w:firstLineChars="200"/>
        <w:rPr>
          <w:rFonts w:ascii="Times New Roman" w:hAnsi="Times New Roman" w:eastAsia="方正仿宋_GBK" w:cs="Times New Roman"/>
          <w:color w:val="000000"/>
          <w:kern w:val="2"/>
          <w:sz w:val="32"/>
          <w:szCs w:val="32"/>
          <w:lang w:val="en-US" w:eastAsia="zh-CN" w:bidi="ar-SA"/>
        </w:rPr>
      </w:pPr>
      <w:r>
        <w:rPr>
          <w:rFonts w:eastAsia="方正楷体_GBK"/>
          <w:b/>
          <w:bCs/>
          <w:color w:val="000000"/>
          <w:sz w:val="32"/>
          <w:szCs w:val="32"/>
          <w:lang w:val="en-US" w:bidi="ar-SA"/>
        </w:rPr>
        <w:t>推动重点行业资源循环利用。</w:t>
      </w:r>
      <w:r>
        <w:rPr>
          <w:rFonts w:ascii="Times New Roman" w:hAnsi="Times New Roman" w:eastAsia="方正仿宋_GBK" w:cs="Times New Roman"/>
          <w:color w:val="000000"/>
          <w:kern w:val="2"/>
          <w:sz w:val="32"/>
          <w:szCs w:val="32"/>
          <w:lang w:val="en-US" w:eastAsia="zh-CN" w:bidi="ar-SA"/>
        </w:rPr>
        <w:t>推动煤炭、煤化工、电力等重点行业资源节约和循环利用，培育循环经济示范企业、示范园区。逐步推进低碳试点示范，重点支持低碳园区、低碳社区和低碳企业试点示范项目。支持园区循环改造、农业循环经济综合示范区等重点工程，推进资源再生利用产业规范化、规模化发展。</w:t>
      </w:r>
    </w:p>
    <w:p w14:paraId="6D0855BC">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积极争取绿色金融扶持政策。积极推动县域内所有企业节能减排重大技改项目如期完成。发展绿色流通，扩大绿色低碳商品的采购和销售，引导绿色生产和消费。到2025年，创建循环经济示范企业5家，工业固体废物资源化利用率达到80%，污水重复利用率达到100%。</w:t>
      </w:r>
    </w:p>
    <w:p w14:paraId="68A9C0DE">
      <w:pPr>
        <w:pStyle w:val="2"/>
        <w:spacing w:line="560" w:lineRule="exact"/>
        <w:jc w:val="center"/>
        <w:rPr>
          <w:rFonts w:ascii="Times New Roman" w:hAnsi="Times New Roman" w:eastAsia="方正楷体_GBK"/>
          <w:b w:val="0"/>
          <w:bCs w:val="0"/>
          <w:color w:val="000000"/>
          <w:kern w:val="0"/>
          <w:sz w:val="32"/>
        </w:rPr>
      </w:pPr>
      <w:bookmarkStart w:id="181" w:name="_Toc75285147"/>
      <w:r>
        <w:rPr>
          <w:rFonts w:ascii="Times New Roman" w:hAnsi="Times New Roman" w:eastAsia="方正楷体_GBK"/>
          <w:b w:val="0"/>
          <w:bCs w:val="0"/>
          <w:color w:val="000000"/>
          <w:kern w:val="0"/>
          <w:sz w:val="32"/>
        </w:rPr>
        <w:t>第三章  持续推进污染防治</w:t>
      </w:r>
      <w:bookmarkEnd w:id="181"/>
    </w:p>
    <w:p w14:paraId="520F6823">
      <w:pPr>
        <w:pStyle w:val="5"/>
        <w:spacing w:line="580" w:lineRule="exact"/>
        <w:ind w:left="0" w:firstLine="640" w:firstLineChars="200"/>
        <w:rPr>
          <w:rFonts w:eastAsia="仿宋_GB2312"/>
          <w:bCs/>
          <w:sz w:val="32"/>
          <w:szCs w:val="32"/>
          <w:lang w:val="en-US" w:bidi="ar-SA"/>
        </w:rPr>
      </w:pPr>
      <w:r>
        <w:rPr>
          <w:rFonts w:ascii="Times New Roman" w:hAnsi="Times New Roman" w:eastAsia="方正仿宋_GBK" w:cs="Times New Roman"/>
          <w:color w:val="000000"/>
          <w:kern w:val="2"/>
          <w:sz w:val="32"/>
          <w:szCs w:val="32"/>
          <w:lang w:val="en-US" w:eastAsia="zh-CN" w:bidi="ar-SA"/>
        </w:rPr>
        <w:t>实行最严格的环境保护制度，深入开展大气、水、土壤污染防治行动，持续开展“散乱污”企业和农村人居环境整治行动，推进多污染物综合防治和环境治理，解决危害群众健康和影响可持续发展的突出环境问题。到2025年，主要污染物减排完成哈密市下达的污染物减排目标。</w:t>
      </w:r>
    </w:p>
    <w:p w14:paraId="5D2DC7D3">
      <w:pPr>
        <w:pStyle w:val="5"/>
        <w:spacing w:line="580" w:lineRule="exact"/>
        <w:ind w:left="0" w:firstLine="643" w:firstLineChars="200"/>
        <w:rPr>
          <w:rFonts w:ascii="Times New Roman" w:hAnsi="Times New Roman" w:eastAsia="方正仿宋_GBK" w:cs="Times New Roman"/>
          <w:color w:val="000000"/>
          <w:kern w:val="2"/>
          <w:sz w:val="32"/>
          <w:szCs w:val="32"/>
          <w:lang w:val="en-US" w:eastAsia="zh-CN" w:bidi="ar-SA"/>
        </w:rPr>
      </w:pPr>
      <w:r>
        <w:rPr>
          <w:rFonts w:eastAsia="方正楷体_GBK"/>
          <w:b/>
          <w:bCs/>
          <w:color w:val="000000"/>
          <w:sz w:val="32"/>
          <w:szCs w:val="32"/>
          <w:lang w:val="en-US" w:bidi="ar-SA"/>
        </w:rPr>
        <w:t>全面推进大气污染防治。</w:t>
      </w:r>
      <w:r>
        <w:rPr>
          <w:rFonts w:ascii="Times New Roman" w:hAnsi="Times New Roman" w:eastAsia="方正仿宋_GBK" w:cs="Times New Roman"/>
          <w:color w:val="000000"/>
          <w:kern w:val="2"/>
          <w:sz w:val="32"/>
          <w:szCs w:val="32"/>
          <w:lang w:val="en-US" w:eastAsia="zh-CN" w:bidi="ar-SA"/>
        </w:rPr>
        <w:t>以扬尘、工业、燃煤、机动车尾气、低空面源等污染防治工作为重点，建立完善大气污染防治工作机制，深入开展大气环境综合整治。加强对焦化、化工等企业清洁生产技术改造，积极采用清洁生产工艺减少大气污染物排放。推进</w:t>
      </w:r>
      <w:r>
        <w:rPr>
          <w:rFonts w:hint="eastAsia" w:eastAsia="方正仿宋_GBK" w:cs="Times New Roman"/>
          <w:color w:val="000000"/>
          <w:kern w:val="2"/>
          <w:sz w:val="32"/>
          <w:szCs w:val="32"/>
          <w:lang w:val="en-US" w:eastAsia="zh-CN" w:bidi="ar-SA"/>
        </w:rPr>
        <w:t>天然气</w:t>
      </w:r>
      <w:r>
        <w:rPr>
          <w:rFonts w:ascii="Times New Roman" w:hAnsi="Times New Roman" w:eastAsia="方正仿宋_GBK" w:cs="Times New Roman"/>
          <w:color w:val="000000"/>
          <w:kern w:val="2"/>
          <w:sz w:val="32"/>
          <w:szCs w:val="32"/>
          <w:lang w:val="en-US" w:eastAsia="zh-CN" w:bidi="ar-SA"/>
        </w:rPr>
        <w:t>、电能等清洁能源替代，控制煤炭消费总量，重点实施工业污染治理、燃煤锅炉污染治理、汽车尾气、扬尘污染和餐饮业油烟污染治理，积极推动热电联产、气化改造。强化工业露天堆场扬尘污染治理，严格落实石化、火电等行业和燃煤、燃气锅炉污染物排放限值，确保新建燃煤锅炉二氧化硫、氮氧化物低于国家标准排放。严格执行机动车排放检测制度，加快“黄标车”及老旧车辆淘汰力度。全面禁止焚烧垃圾、废旧塑料、轮胎、秸秆、农膜、树叶等影响大气环境的行为。重点加大园区、淖毛湖区域大气污染的治理力度。全面提高重污染天气预防、预警和应对能力，加大重点污染源大气污染物排放自动监测设备建设。到2025年，伊吾镇空气质量优良天数维持在99%以上，群众满意度达95%以上。</w:t>
      </w:r>
    </w:p>
    <w:p w14:paraId="3C8E610C">
      <w:pPr>
        <w:pStyle w:val="5"/>
        <w:spacing w:line="580" w:lineRule="exact"/>
        <w:ind w:left="0" w:firstLine="643" w:firstLineChars="200"/>
        <w:rPr>
          <w:rFonts w:ascii="Times New Roman" w:hAnsi="Times New Roman" w:eastAsia="方正仿宋_GBK" w:cs="Times New Roman"/>
          <w:color w:val="000000"/>
          <w:kern w:val="2"/>
          <w:sz w:val="32"/>
          <w:szCs w:val="32"/>
          <w:lang w:val="en-US" w:eastAsia="zh-CN" w:bidi="ar-SA"/>
        </w:rPr>
      </w:pPr>
      <w:r>
        <w:rPr>
          <w:rFonts w:eastAsia="方正楷体_GBK"/>
          <w:b/>
          <w:bCs/>
          <w:color w:val="000000"/>
          <w:sz w:val="32"/>
          <w:szCs w:val="32"/>
          <w:lang w:val="en-US" w:bidi="ar-SA"/>
        </w:rPr>
        <w:t>全面推进水污染防治。</w:t>
      </w:r>
      <w:r>
        <w:rPr>
          <w:rFonts w:ascii="Times New Roman" w:hAnsi="Times New Roman" w:eastAsia="方正仿宋_GBK" w:cs="Times New Roman"/>
          <w:color w:val="000000"/>
          <w:kern w:val="2"/>
          <w:sz w:val="32"/>
          <w:szCs w:val="32"/>
          <w:lang w:val="en-US" w:eastAsia="zh-CN" w:bidi="ar-SA"/>
        </w:rPr>
        <w:t>实施水污染防治行动，重点推动流域水污染防治、水源地保护、城镇污水处理、工业企业污水治理等建设工程。全面落实河（湖）长制，加强河湖岸线保护，抓好伊吾河、盐池幻彩湖（托勒库勒湖）管理和保护。加强饮用水源保护力度，全面排查集中式饮用水源风险，加强喀尔里克冰川区域保护，深入推进喀尔里克冰川禁牧工作，严格控制冰川旅游发展，确保伊吾河发源地生态环境不受破坏。加强水源水质监测，建立健全饮用水源水质安全预警制度。到2025年，全县地表水（伊吾河）、地下水达到国家地表水、地下水三类标准，集中式饮用水源地水质达到国家饮用水三类标准，集中式饮用水源地保护区划分率100%。</w:t>
      </w:r>
    </w:p>
    <w:p w14:paraId="321A77EE">
      <w:pPr>
        <w:pStyle w:val="5"/>
        <w:spacing w:line="580" w:lineRule="exact"/>
        <w:ind w:left="0" w:firstLine="643" w:firstLineChars="200"/>
        <w:rPr>
          <w:rFonts w:ascii="Times New Roman" w:hAnsi="Times New Roman" w:eastAsia="方正仿宋_GBK" w:cs="Times New Roman"/>
          <w:color w:val="000000"/>
          <w:kern w:val="2"/>
          <w:sz w:val="32"/>
          <w:szCs w:val="32"/>
          <w:lang w:val="en-US" w:eastAsia="zh-CN" w:bidi="ar-SA"/>
        </w:rPr>
      </w:pPr>
      <w:r>
        <w:rPr>
          <w:rFonts w:eastAsia="方正楷体_GBK"/>
          <w:b/>
          <w:bCs/>
          <w:color w:val="000000"/>
          <w:sz w:val="32"/>
          <w:szCs w:val="32"/>
          <w:lang w:val="en-US" w:bidi="ar-SA"/>
        </w:rPr>
        <w:t>全面推进土壤污染防治。</w:t>
      </w:r>
      <w:r>
        <w:rPr>
          <w:rFonts w:ascii="Times New Roman" w:hAnsi="Times New Roman" w:eastAsia="方正仿宋_GBK" w:cs="Times New Roman"/>
          <w:color w:val="000000"/>
          <w:kern w:val="2"/>
          <w:sz w:val="32"/>
          <w:szCs w:val="32"/>
          <w:lang w:val="en-US" w:eastAsia="zh-CN" w:bidi="ar-SA"/>
        </w:rPr>
        <w:t>实施土壤污染防治行动计划，严格控制化肥、农药使用量。加大残膜治理力度，推广标准厚膜和降解膜，减少地膜对土壤的污染。实施耕地质量保护与提升行动，加大退化、污染、损毁农田改良和修复力度，加强耕地质量调查监测与评价。持续推进畜禽养殖污染防治，强化规模养殖场（区）建设环境准入制度，规范养殖场建设布局，落实养殖污染防治措施，加快发展畜牧业清洁生产和循环经济模式。到2025年，地膜回收率达到90%，养殖小区粪便综合利用率达到80%，秸秆利用率达到98%以上。</w:t>
      </w:r>
    </w:p>
    <w:p w14:paraId="04B249E3">
      <w:pPr>
        <w:pStyle w:val="5"/>
        <w:spacing w:line="580" w:lineRule="exact"/>
        <w:ind w:left="0" w:firstLine="643" w:firstLineChars="200"/>
        <w:rPr>
          <w:rFonts w:eastAsia="仿宋_GB2312"/>
          <w:bCs/>
          <w:sz w:val="32"/>
          <w:szCs w:val="32"/>
          <w:lang w:val="en-US" w:bidi="ar-SA"/>
        </w:rPr>
      </w:pPr>
      <w:r>
        <w:rPr>
          <w:rFonts w:eastAsia="方正楷体_GBK"/>
          <w:b/>
          <w:bCs/>
          <w:color w:val="000000"/>
          <w:sz w:val="32"/>
          <w:szCs w:val="32"/>
          <w:lang w:val="en-US" w:bidi="ar-SA"/>
        </w:rPr>
        <w:t>大力推进畜禽养殖污染防治。</w:t>
      </w:r>
      <w:r>
        <w:rPr>
          <w:rFonts w:ascii="Times New Roman" w:hAnsi="Times New Roman" w:eastAsia="方正仿宋_GBK" w:cs="Times New Roman"/>
          <w:color w:val="000000"/>
          <w:kern w:val="2"/>
          <w:sz w:val="32"/>
          <w:szCs w:val="32"/>
          <w:lang w:val="en-US" w:eastAsia="zh-CN" w:bidi="ar-SA"/>
        </w:rPr>
        <w:t>以废弃物资源化利用为途径，推进畜禽养殖污染防治。养殖密集区推行粪污集中处理和资源化综合利用。打好农业面源</w:t>
      </w:r>
      <w:r>
        <w:rPr>
          <w:rFonts w:hint="eastAsia" w:ascii="Times New Roman" w:hAnsi="Times New Roman" w:eastAsia="方正仿宋_GBK" w:cs="Times New Roman"/>
          <w:color w:val="000000"/>
          <w:kern w:val="2"/>
          <w:sz w:val="32"/>
          <w:szCs w:val="32"/>
          <w:lang w:val="en-US" w:eastAsia="zh-CN" w:bidi="ar-SA"/>
        </w:rPr>
        <w:t>污染防治攻坚战</w:t>
      </w:r>
      <w:r>
        <w:rPr>
          <w:rFonts w:ascii="Times New Roman" w:hAnsi="Times New Roman" w:eastAsia="方正仿宋_GBK" w:cs="Times New Roman"/>
          <w:color w:val="000000"/>
          <w:kern w:val="2"/>
          <w:sz w:val="32"/>
          <w:szCs w:val="32"/>
          <w:lang w:val="en-US" w:eastAsia="zh-CN" w:bidi="ar-SA"/>
        </w:rPr>
        <w:t>。优化调整农业结构和布局，推广资源节约型农业清洁生产技术，推动资源节约型、环境友好型、生态保育型农业发展。推进健康生态养殖。</w:t>
      </w:r>
    </w:p>
    <w:p w14:paraId="328B2DF5">
      <w:pPr>
        <w:pStyle w:val="5"/>
        <w:spacing w:line="580" w:lineRule="exact"/>
        <w:ind w:left="0" w:firstLine="643" w:firstLineChars="200"/>
        <w:rPr>
          <w:rFonts w:ascii="Times New Roman" w:hAnsi="Times New Roman" w:eastAsia="方正仿宋_GBK" w:cs="Times New Roman"/>
          <w:color w:val="000000"/>
          <w:kern w:val="2"/>
          <w:sz w:val="32"/>
          <w:szCs w:val="32"/>
          <w:lang w:val="en-US" w:eastAsia="zh-CN" w:bidi="ar-SA"/>
        </w:rPr>
      </w:pPr>
      <w:r>
        <w:rPr>
          <w:rFonts w:eastAsia="方正楷体_GBK"/>
          <w:b/>
          <w:bCs/>
          <w:color w:val="000000"/>
          <w:sz w:val="32"/>
          <w:szCs w:val="32"/>
          <w:lang w:val="en-US" w:bidi="ar-SA"/>
        </w:rPr>
        <w:t>加强危险废弃物处置能力建设。</w:t>
      </w:r>
      <w:r>
        <w:rPr>
          <w:rFonts w:ascii="Times New Roman" w:hAnsi="Times New Roman" w:eastAsia="方正仿宋_GBK" w:cs="Times New Roman"/>
          <w:color w:val="000000"/>
          <w:kern w:val="2"/>
          <w:sz w:val="32"/>
          <w:szCs w:val="32"/>
          <w:lang w:val="en-US" w:eastAsia="zh-CN" w:bidi="ar-SA"/>
        </w:rPr>
        <w:t>组织开展危险废物产生、利用处置能力和设施运行情况评估，科学规划并实施危险废物集中处置设施建设，将危废处置项目及规范管理纳入当地公共基础设施统筹建设。鼓励大型化工等产业基地配套建设危险废物利用处置设施。鼓励产生量大、种类单一的企业和园区配套建设危险废物收集贮存、预处理和处置设施，淘汰一批工艺落后、不符合标准规范的设施，提标改造一批设施，规范管理一批设施。</w:t>
      </w:r>
    </w:p>
    <w:p w14:paraId="5DA344F7">
      <w:pPr>
        <w:pStyle w:val="5"/>
        <w:spacing w:line="580" w:lineRule="exact"/>
        <w:ind w:left="0" w:firstLine="643" w:firstLineChars="200"/>
        <w:rPr>
          <w:rFonts w:ascii="Times New Roman" w:hAnsi="Times New Roman" w:eastAsia="方正仿宋_GBK" w:cs="Times New Roman"/>
          <w:color w:val="000000"/>
          <w:kern w:val="2"/>
          <w:sz w:val="32"/>
          <w:szCs w:val="32"/>
          <w:lang w:val="en-US" w:eastAsia="zh-CN" w:bidi="ar-SA"/>
        </w:rPr>
      </w:pPr>
      <w:r>
        <w:rPr>
          <w:rFonts w:eastAsia="方正楷体_GBK"/>
          <w:b/>
          <w:bCs/>
          <w:color w:val="000000"/>
          <w:sz w:val="32"/>
          <w:szCs w:val="32"/>
          <w:lang w:val="en-US" w:bidi="ar-SA"/>
        </w:rPr>
        <w:t>完善企业排放许可制度。</w:t>
      </w:r>
      <w:r>
        <w:rPr>
          <w:rFonts w:ascii="Times New Roman" w:hAnsi="Times New Roman" w:eastAsia="方正仿宋_GBK" w:cs="Times New Roman"/>
          <w:color w:val="000000"/>
          <w:kern w:val="2"/>
          <w:sz w:val="32"/>
          <w:szCs w:val="32"/>
          <w:lang w:val="en-US" w:eastAsia="zh-CN" w:bidi="ar-SA"/>
        </w:rPr>
        <w:t>建立覆盖所有固定污染源的企业排放许可制度。全面推行排污许可，将污染物排放种类、浓度、总量、排放去向等纳入许可证管理范围，企业按排污许可证规定生产、排污。完善污染治理责任体系，</w:t>
      </w:r>
      <w:r>
        <w:rPr>
          <w:rFonts w:hint="eastAsia" w:eastAsia="方正仿宋_GBK" w:cs="Times New Roman"/>
          <w:color w:val="000000"/>
          <w:kern w:val="2"/>
          <w:sz w:val="32"/>
          <w:szCs w:val="32"/>
          <w:lang w:val="en-US" w:eastAsia="zh-CN" w:bidi="ar-SA"/>
        </w:rPr>
        <w:t>生态</w:t>
      </w:r>
      <w:r>
        <w:rPr>
          <w:rFonts w:ascii="Times New Roman" w:hAnsi="Times New Roman" w:eastAsia="方正仿宋_GBK" w:cs="Times New Roman"/>
          <w:color w:val="000000"/>
          <w:kern w:val="2"/>
          <w:sz w:val="32"/>
          <w:szCs w:val="32"/>
          <w:lang w:val="en-US" w:eastAsia="zh-CN" w:bidi="ar-SA"/>
        </w:rPr>
        <w:t>环境部门对照排污许可证要求对企业排污行为实施监管执法。激励和约束企业主动落实环保责任。建立企业环境信用评价和违法排污黑名单制度。建立上市公司环保信息强制性披露机制。实施能效和环保“领跑者”制度，采取财税优惠、荣誉表彰等措施激励企业实现更高标准的环保目标。到2025年，建立企业环境信用评价体系，建立守信激励与失信惩戒机制。建立健全生态环境损害评估和赔偿制度。推进生态环境损害鉴定评估规范化管理。</w:t>
      </w:r>
    </w:p>
    <w:p w14:paraId="4EE2D07A">
      <w:pPr>
        <w:pStyle w:val="5"/>
        <w:spacing w:line="580" w:lineRule="exact"/>
        <w:ind w:left="0" w:firstLine="643" w:firstLineChars="200"/>
        <w:rPr>
          <w:rFonts w:ascii="Times New Roman" w:hAnsi="Times New Roman" w:eastAsia="方正仿宋_GBK" w:cs="Times New Roman"/>
          <w:color w:val="000000"/>
          <w:kern w:val="2"/>
          <w:sz w:val="32"/>
          <w:szCs w:val="32"/>
          <w:lang w:val="en-US" w:eastAsia="zh-CN" w:bidi="ar-SA"/>
        </w:rPr>
      </w:pPr>
      <w:r>
        <w:rPr>
          <w:rFonts w:eastAsia="方正楷体_GBK"/>
          <w:b/>
          <w:bCs/>
          <w:color w:val="000000"/>
          <w:sz w:val="32"/>
          <w:szCs w:val="32"/>
          <w:lang w:val="en-US" w:bidi="ar-SA"/>
        </w:rPr>
        <w:t>提高全社会生态环境保护意识。</w:t>
      </w:r>
      <w:r>
        <w:rPr>
          <w:rFonts w:ascii="Times New Roman" w:hAnsi="Times New Roman" w:eastAsia="方正仿宋_GBK" w:cs="Times New Roman"/>
          <w:color w:val="000000"/>
          <w:kern w:val="2"/>
          <w:sz w:val="32"/>
          <w:szCs w:val="32"/>
          <w:lang w:val="en-US" w:eastAsia="zh-CN" w:bidi="ar-SA"/>
        </w:rPr>
        <w:t>加大生态环境保护宣传教育，组织环保公益活动，开发生态文化产品，全面提升全社会生态环境保护意识。建立沟通协商平台，保障公众环境知情权、参与权、监督权和表达权。</w:t>
      </w:r>
    </w:p>
    <w:p w14:paraId="6F125723">
      <w:pPr>
        <w:pStyle w:val="2"/>
        <w:spacing w:line="560" w:lineRule="exact"/>
        <w:jc w:val="center"/>
        <w:rPr>
          <w:rFonts w:ascii="Times New Roman" w:hAnsi="Times New Roman" w:eastAsia="方正楷体_GBK"/>
          <w:b w:val="0"/>
          <w:bCs w:val="0"/>
          <w:color w:val="000000"/>
          <w:kern w:val="0"/>
          <w:sz w:val="32"/>
        </w:rPr>
      </w:pPr>
      <w:bookmarkStart w:id="182" w:name="_Toc75285148"/>
      <w:r>
        <w:rPr>
          <w:rFonts w:ascii="Times New Roman" w:hAnsi="Times New Roman" w:eastAsia="方正楷体_GBK"/>
          <w:b w:val="0"/>
          <w:bCs w:val="0"/>
          <w:color w:val="000000"/>
          <w:kern w:val="0"/>
          <w:sz w:val="32"/>
        </w:rPr>
        <w:t>第四章  加强生态系统保护修复</w:t>
      </w:r>
      <w:bookmarkEnd w:id="182"/>
    </w:p>
    <w:p w14:paraId="268E5F2F">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科学划定生态保护红线、永久基本农田、城市开发边界，坚持保护优先和自然恢复为主，合理利用自然资源，加强自然生态系统和环境保护，实施重大生态治理与修复工程，保护和修复自然生态系统，加强重要生态功能区保护，筑牢生态安全屏障。</w:t>
      </w:r>
    </w:p>
    <w:p w14:paraId="7952A4FA">
      <w:pPr>
        <w:pStyle w:val="5"/>
        <w:spacing w:line="580" w:lineRule="exact"/>
        <w:ind w:left="0" w:firstLine="643" w:firstLineChars="200"/>
        <w:rPr>
          <w:rFonts w:ascii="Times New Roman" w:hAnsi="Times New Roman" w:eastAsia="方正仿宋_GBK" w:cs="Times New Roman"/>
          <w:color w:val="000000"/>
          <w:kern w:val="2"/>
          <w:sz w:val="32"/>
          <w:szCs w:val="32"/>
          <w:lang w:val="en-US" w:eastAsia="zh-CN" w:bidi="ar-SA"/>
        </w:rPr>
      </w:pPr>
      <w:r>
        <w:rPr>
          <w:rFonts w:eastAsia="方正楷体_GBK"/>
          <w:b/>
          <w:bCs/>
          <w:color w:val="000000"/>
          <w:sz w:val="32"/>
          <w:szCs w:val="32"/>
          <w:lang w:val="en-US" w:bidi="ar-SA"/>
        </w:rPr>
        <w:t>统筹山水林田湖草系统综合治理和保护。</w:t>
      </w:r>
      <w:r>
        <w:rPr>
          <w:rFonts w:ascii="Times New Roman" w:hAnsi="Times New Roman" w:eastAsia="方正仿宋_GBK" w:cs="Times New Roman"/>
          <w:color w:val="000000"/>
          <w:kern w:val="2"/>
          <w:sz w:val="32"/>
          <w:szCs w:val="32"/>
          <w:lang w:val="en-US" w:eastAsia="zh-CN" w:bidi="ar-SA"/>
        </w:rPr>
        <w:t>进一步增加森林草原资源、增强森林草原生态系统的整体功能。以生态修复为主，持续推进“三北”防护林、防沙治沙、退耕还林还草、托勒库勒湖、伊吾河、东天山生态保护修复等重点生态建设工程，积极开展以营造防风固沙林、农田防护林和新农村村庄绿化为主要内容的造林绿化活动，加大绿洲内部重点区域的绿化与生态治理力度。</w:t>
      </w:r>
    </w:p>
    <w:p w14:paraId="130CED68">
      <w:pPr>
        <w:pStyle w:val="5"/>
        <w:spacing w:line="580" w:lineRule="exact"/>
        <w:ind w:left="0" w:firstLine="643" w:firstLineChars="200"/>
        <w:rPr>
          <w:rFonts w:ascii="Times New Roman" w:hAnsi="Times New Roman" w:eastAsia="方正仿宋_GBK" w:cs="Times New Roman"/>
          <w:color w:val="000000"/>
          <w:kern w:val="2"/>
          <w:sz w:val="32"/>
          <w:szCs w:val="32"/>
          <w:lang w:val="en-US" w:eastAsia="zh-CN" w:bidi="ar-SA"/>
        </w:rPr>
      </w:pPr>
      <w:r>
        <w:rPr>
          <w:rFonts w:eastAsia="方正楷体_GBK"/>
          <w:b/>
          <w:bCs/>
          <w:color w:val="000000"/>
          <w:sz w:val="32"/>
          <w:szCs w:val="32"/>
          <w:lang w:val="en-US" w:bidi="ar-SA"/>
        </w:rPr>
        <w:t>积极开展生态修复工程。</w:t>
      </w:r>
      <w:r>
        <w:rPr>
          <w:rFonts w:ascii="Times New Roman" w:hAnsi="Times New Roman" w:eastAsia="方正仿宋_GBK" w:cs="Times New Roman"/>
          <w:color w:val="000000"/>
          <w:kern w:val="2"/>
          <w:sz w:val="32"/>
          <w:szCs w:val="32"/>
          <w:lang w:val="en-US" w:eastAsia="zh-CN" w:bidi="ar-SA"/>
        </w:rPr>
        <w:t>全面落实东天山生态保护修复工程，继续扩大水源涵养区面积。做好伊吾县水权水价改革弃耕区域土地沙化防治工作，积极推进非基本农田耕地的沙化治理，防止退耕土地撂荒沙化。促进植被自然恢复，推进湿地生态保护与恢复建设。切实保护野生动物资源，严厉打击毁林开荒和破坏野生动植物资源的违法犯罪活动。到2025年，争取退化林修复0.3万亩、森林抚育2万亩；退化草原生态修复治理0.2万亩；退牧还草1.2万亩；林草覆盖率达到45%。</w:t>
      </w:r>
    </w:p>
    <w:p w14:paraId="4AF0219B">
      <w:pPr>
        <w:pStyle w:val="2"/>
        <w:spacing w:line="560" w:lineRule="exact"/>
        <w:jc w:val="center"/>
        <w:rPr>
          <w:rFonts w:ascii="Times New Roman" w:hAnsi="Times New Roman" w:eastAsia="方正楷体_GBK"/>
          <w:b w:val="0"/>
          <w:bCs w:val="0"/>
          <w:color w:val="000000"/>
          <w:kern w:val="0"/>
          <w:sz w:val="32"/>
        </w:rPr>
      </w:pPr>
      <w:bookmarkStart w:id="183" w:name="_Toc75285149"/>
      <w:r>
        <w:rPr>
          <w:rFonts w:hint="eastAsia" w:ascii="Times New Roman" w:hAnsi="Times New Roman" w:eastAsia="方正楷体_GBK"/>
          <w:b w:val="0"/>
          <w:bCs w:val="0"/>
          <w:color w:val="000000"/>
          <w:kern w:val="0"/>
          <w:sz w:val="32"/>
        </w:rPr>
        <w:t>第五章  强化资源节约利用</w:t>
      </w:r>
      <w:bookmarkEnd w:id="183"/>
    </w:p>
    <w:p w14:paraId="4D35C89B">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全面推进集约节约高效利用资源，推进能源梯级利用、水资源循环利用、废物交换利用、土地节约集约利用，实现以最少的资源消耗支撑经济社会持续发展，强化约束性指标管理，严守资源消耗上限，实施全民节能行动计划，全面推动资源节约型社会建设。</w:t>
      </w:r>
    </w:p>
    <w:p w14:paraId="4815C592">
      <w:pPr>
        <w:pStyle w:val="5"/>
        <w:spacing w:line="580" w:lineRule="exact"/>
        <w:ind w:left="0" w:firstLine="643" w:firstLineChars="200"/>
        <w:rPr>
          <w:rFonts w:ascii="Times New Roman" w:hAnsi="Times New Roman" w:eastAsia="方正仿宋_GBK" w:cs="Times New Roman"/>
          <w:color w:val="000000"/>
          <w:kern w:val="2"/>
          <w:sz w:val="32"/>
          <w:szCs w:val="32"/>
          <w:lang w:val="en-US" w:eastAsia="zh-CN" w:bidi="ar-SA"/>
        </w:rPr>
      </w:pPr>
      <w:r>
        <w:rPr>
          <w:rFonts w:eastAsia="方正楷体_GBK"/>
          <w:b/>
          <w:bCs/>
          <w:color w:val="000000"/>
          <w:sz w:val="32"/>
          <w:szCs w:val="32"/>
          <w:lang w:val="en-US" w:bidi="ar-SA"/>
        </w:rPr>
        <w:t>推进资源综合高效利用。</w:t>
      </w:r>
      <w:r>
        <w:rPr>
          <w:rFonts w:ascii="Times New Roman" w:hAnsi="Times New Roman" w:eastAsia="方正仿宋_GBK" w:cs="Times New Roman"/>
          <w:color w:val="000000"/>
          <w:kern w:val="2"/>
          <w:sz w:val="32"/>
          <w:szCs w:val="32"/>
          <w:lang w:val="en-US" w:eastAsia="zh-CN" w:bidi="ar-SA"/>
        </w:rPr>
        <w:t>通过再生资源回收、生态环境综合</w:t>
      </w:r>
      <w:r>
        <w:rPr>
          <w:rFonts w:hint="eastAsia" w:eastAsia="方正仿宋_GBK" w:cs="Times New Roman"/>
          <w:color w:val="000000"/>
          <w:kern w:val="2"/>
          <w:sz w:val="32"/>
          <w:szCs w:val="32"/>
          <w:lang w:val="en-US" w:eastAsia="zh-CN" w:bidi="ar-SA"/>
        </w:rPr>
        <w:t>治理</w:t>
      </w:r>
      <w:r>
        <w:rPr>
          <w:rFonts w:ascii="Times New Roman" w:hAnsi="Times New Roman" w:eastAsia="方正仿宋_GBK" w:cs="Times New Roman"/>
          <w:color w:val="000000"/>
          <w:kern w:val="2"/>
          <w:sz w:val="32"/>
          <w:szCs w:val="32"/>
          <w:lang w:val="en-US" w:eastAsia="zh-CN" w:bidi="ar-SA"/>
        </w:rPr>
        <w:t>、建筑废弃物资源化等途径，构建社会层面的资源循环利用体系。加大矿区煤矸石、粉煤灰、冶炼废渣、化工废渣等工业废渣及各种尾矿、煤系共伴生矿、中低品位矿的综合利用。加快推进淖毛湖工业园区污水处理厂、固体废物处置中心建设。建立和完善再生资源回收利用体系，推动废钢铁、废旧有色金属、废塑料、废旧轮胎等再生资源回收、加工分拣、再利用、销售等再生资源产业链的形成与发展。推进农副产品加工过程废弃物资源化处理。到2025年工业固废综合利用率大于80%、危险废物利用处置率达到100%。</w:t>
      </w:r>
    </w:p>
    <w:p w14:paraId="1D51E0FA">
      <w:pPr>
        <w:pStyle w:val="5"/>
        <w:spacing w:line="580" w:lineRule="exact"/>
        <w:ind w:left="0" w:firstLine="643" w:firstLineChars="200"/>
        <w:rPr>
          <w:rFonts w:ascii="Times New Roman" w:hAnsi="Times New Roman" w:eastAsia="方正仿宋_GBK" w:cs="Times New Roman"/>
          <w:color w:val="000000"/>
          <w:kern w:val="2"/>
          <w:sz w:val="32"/>
          <w:szCs w:val="32"/>
          <w:lang w:val="en-US" w:eastAsia="zh-CN" w:bidi="ar-SA"/>
        </w:rPr>
      </w:pPr>
      <w:r>
        <w:rPr>
          <w:rFonts w:eastAsia="方正楷体_GBK"/>
          <w:b/>
          <w:bCs/>
          <w:color w:val="000000"/>
          <w:sz w:val="32"/>
          <w:szCs w:val="32"/>
          <w:lang w:val="en-US" w:bidi="ar-SA"/>
        </w:rPr>
        <w:t>加大节能减排力度。</w:t>
      </w:r>
      <w:r>
        <w:rPr>
          <w:rFonts w:ascii="Times New Roman" w:hAnsi="Times New Roman" w:eastAsia="方正仿宋_GBK" w:cs="Times New Roman"/>
          <w:color w:val="000000"/>
          <w:kern w:val="2"/>
          <w:sz w:val="32"/>
          <w:szCs w:val="32"/>
          <w:lang w:val="en-US" w:eastAsia="zh-CN" w:bidi="ar-SA"/>
        </w:rPr>
        <w:t xml:space="preserve">加强工业、交通、建筑、公共机构等重点领域节能减排，合理控制能源消费增量。加大对煤炭、煤化工、电力、建材等重点工业企业节能改造，引导高能耗企业挖掘节能潜力。加强对重点用能单位节能监察在线监控，开展企业节能低碳行动，建立重点耗能企业能源利用状况报告及公告制度。深入开展能效对标、能源审计、清洁生产审核和能源管理体系认证工作。推进绿色交通体系建设，实施公共交通优先，引导居民绿色出行。大力发展绿色建筑，推广新建建筑节能技术，开展公共建筑节能改造示范。广泛推广应用合同能源管理、节能资源协议、高耗能产品能耗限额标准等新模式，提高全社会节能降耗水平。严格执行项目节能评估审查和环境影响评价制度，坚决杜绝“一资两高”项目落户。加强节能减排监察能力建设，全面推进节能减排监察工作。到2025年，万元生产总值能耗控制在哈密市下达指标范围内。 </w:t>
      </w:r>
    </w:p>
    <w:p w14:paraId="30107165">
      <w:pPr>
        <w:pStyle w:val="5"/>
        <w:spacing w:line="580" w:lineRule="exact"/>
        <w:ind w:left="0" w:firstLine="643" w:firstLineChars="200"/>
        <w:rPr>
          <w:rFonts w:ascii="Times New Roman" w:hAnsi="Times New Roman" w:eastAsia="方正仿宋_GBK" w:cs="Times New Roman"/>
          <w:color w:val="000000"/>
          <w:kern w:val="2"/>
          <w:sz w:val="32"/>
          <w:szCs w:val="32"/>
          <w:lang w:val="en-US" w:eastAsia="zh-CN" w:bidi="ar-SA"/>
        </w:rPr>
      </w:pPr>
      <w:r>
        <w:rPr>
          <w:rFonts w:eastAsia="方正楷体_GBK"/>
          <w:b/>
          <w:bCs/>
          <w:color w:val="000000"/>
          <w:sz w:val="32"/>
          <w:szCs w:val="32"/>
          <w:lang w:val="en-US" w:bidi="ar-SA"/>
        </w:rPr>
        <w:t>加强水资源节约循环利用。</w:t>
      </w:r>
      <w:r>
        <w:rPr>
          <w:rFonts w:ascii="Times New Roman" w:hAnsi="Times New Roman" w:eastAsia="方正仿宋_GBK" w:cs="Times New Roman"/>
          <w:color w:val="000000"/>
          <w:kern w:val="2"/>
          <w:sz w:val="32"/>
          <w:szCs w:val="32"/>
          <w:lang w:val="en-US" w:eastAsia="zh-CN" w:bidi="ar-SA"/>
        </w:rPr>
        <w:t>严守水资源“三条红线”，加强用水总量控制，以水定产、以水定城，建设节水型社会。加强地下水保护，严格控制超采、滥采地下水，逐步实现地下水采补平衡，推动水资源集约节约利用。大力发展节水农业、节水工业、节水服务业，加强工业行业节水技术改造力度，推进农业高效节水转型升级，逐步实现由高效节水向高效用水转变。严格执行排水许可制度，强化节水考核管理，建立健全水权交易机制，发展水权交易市场。实施再生水利用工程。</w:t>
      </w:r>
    </w:p>
    <w:p w14:paraId="18C06A8B">
      <w:pPr>
        <w:pStyle w:val="5"/>
        <w:spacing w:line="580" w:lineRule="exact"/>
        <w:ind w:left="0" w:firstLine="643" w:firstLineChars="200"/>
        <w:rPr>
          <w:rFonts w:ascii="Times New Roman" w:hAnsi="Times New Roman" w:eastAsia="方正仿宋_GBK" w:cs="Times New Roman"/>
          <w:color w:val="000000"/>
          <w:kern w:val="2"/>
          <w:sz w:val="32"/>
          <w:szCs w:val="32"/>
          <w:lang w:val="en-US" w:eastAsia="zh-CN" w:bidi="ar-SA"/>
        </w:rPr>
      </w:pPr>
      <w:r>
        <w:rPr>
          <w:rFonts w:eastAsia="方正楷体_GBK"/>
          <w:b/>
          <w:bCs/>
          <w:color w:val="000000"/>
          <w:sz w:val="32"/>
          <w:szCs w:val="32"/>
          <w:lang w:val="en-US" w:bidi="ar-SA"/>
        </w:rPr>
        <w:t>推动土地资源节约集约利用。</w:t>
      </w:r>
      <w:r>
        <w:rPr>
          <w:rFonts w:ascii="Times New Roman" w:hAnsi="Times New Roman" w:eastAsia="方正仿宋_GBK" w:cs="Times New Roman"/>
          <w:color w:val="000000"/>
          <w:kern w:val="2"/>
          <w:sz w:val="32"/>
          <w:szCs w:val="32"/>
          <w:lang w:val="en-US" w:eastAsia="zh-CN" w:bidi="ar-SA"/>
        </w:rPr>
        <w:t>实行严格的用地管理制度，逐步调整建设用地结构，加大闲置土地清理、整理、复垦力度。推进城镇低效用地再开发和工矿废弃地复垦，盘活存量土地。严格落实耕地保护制度，切实落实耕地占补平衡，稳定耕地保有量，提高耕地质量，推进实行耕地轮作休耕制度试点。</w:t>
      </w:r>
    </w:p>
    <w:p w14:paraId="40BA0F8A">
      <w:pPr>
        <w:pStyle w:val="3"/>
        <w:spacing w:line="560" w:lineRule="exact"/>
        <w:jc w:val="center"/>
        <w:rPr>
          <w:rFonts w:eastAsia="方正黑体_GBK"/>
          <w:b w:val="0"/>
          <w:bCs/>
          <w:color w:val="000000"/>
          <w:sz w:val="36"/>
          <w:szCs w:val="36"/>
        </w:rPr>
      </w:pPr>
      <w:r>
        <w:rPr>
          <w:sz w:val="36"/>
        </w:rPr>
        <mc:AlternateContent>
          <mc:Choice Requires="wps">
            <w:drawing>
              <wp:anchor distT="0" distB="0" distL="114300" distR="114300" simplePos="0" relativeHeight="251678720" behindDoc="0" locked="0" layoutInCell="1" allowOverlap="1">
                <wp:simplePos x="0" y="0"/>
                <wp:positionH relativeFrom="column">
                  <wp:posOffset>51435</wp:posOffset>
                </wp:positionH>
                <wp:positionV relativeFrom="paragraph">
                  <wp:posOffset>323850</wp:posOffset>
                </wp:positionV>
                <wp:extent cx="5540375" cy="0"/>
                <wp:effectExtent l="0" t="0" r="0" b="0"/>
                <wp:wrapNone/>
                <wp:docPr id="22" name="直接连接符 22"/>
                <wp:cNvGraphicFramePr/>
                <a:graphic xmlns:a="http://schemas.openxmlformats.org/drawingml/2006/main">
                  <a:graphicData uri="http://schemas.microsoft.com/office/word/2010/wordprocessingShape">
                    <wps:wsp>
                      <wps:cNvCnPr/>
                      <wps:spPr>
                        <a:xfrm>
                          <a:off x="1043940" y="6697980"/>
                          <a:ext cx="5540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05pt;margin-top:25.5pt;height:0pt;width:436.25pt;z-index:251678720;mso-width-relative:page;mso-height-relative:page;" filled="f" stroked="t" coordsize="21600,21600" o:gfxdata="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01KQ3UAAAA&#10;BwEAAA8AAAAAAAAAAQAgAAAAIgAAAGRycy9kb3ducmV2LnhtbFBLAQIUABQAAAAIAIdO4kD8JCB1&#10;6AEAAKgDAAAOAAAAAAAAAAEAIAAAACMBAABkcnMvZTJvRG9jLnhtbFBLBQYAAAAABgAGAFkBAAB9&#10;BQAAAAA=&#10;">
                <v:fill on="f" focussize="0,0"/>
                <v:stroke color="#000000 [3213]" joinstyle="round"/>
                <v:imagedata o:title=""/>
                <o:lock v:ext="edit" aspectratio="f"/>
              </v:line>
            </w:pict>
          </mc:Fallback>
        </mc:AlternateContent>
      </w:r>
      <w:r>
        <w:rPr>
          <w:rFonts w:eastAsia="方正黑体_GBK"/>
          <w:b w:val="0"/>
          <w:bCs/>
          <w:color w:val="000000"/>
          <w:sz w:val="36"/>
          <w:szCs w:val="36"/>
        </w:rPr>
        <mc:AlternateContent>
          <mc:Choice Requires="wps">
            <w:drawing>
              <wp:anchor distT="0" distB="0" distL="114300" distR="114300" simplePos="0" relativeHeight="251664384" behindDoc="0" locked="0" layoutInCell="1" allowOverlap="1">
                <wp:simplePos x="0" y="0"/>
                <wp:positionH relativeFrom="column">
                  <wp:posOffset>71755</wp:posOffset>
                </wp:positionH>
                <wp:positionV relativeFrom="paragraph">
                  <wp:posOffset>31750</wp:posOffset>
                </wp:positionV>
                <wp:extent cx="5283835" cy="893445"/>
                <wp:effectExtent l="5080" t="4445" r="6985" b="16510"/>
                <wp:wrapSquare wrapText="bothSides"/>
                <wp:docPr id="7" name="文本框 2710"/>
                <wp:cNvGraphicFramePr/>
                <a:graphic xmlns:a="http://schemas.openxmlformats.org/drawingml/2006/main">
                  <a:graphicData uri="http://schemas.microsoft.com/office/word/2010/wordprocessingShape">
                    <wps:wsp>
                      <wps:cNvSpPr txBox="1"/>
                      <wps:spPr>
                        <a:xfrm>
                          <a:off x="0" y="0"/>
                          <a:ext cx="5283835" cy="8934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B2D138E">
                            <w:pPr>
                              <w:pStyle w:val="5"/>
                              <w:ind w:left="0" w:firstLine="0" w:firstLineChars="0"/>
                              <w:rPr>
                                <w:rFonts w:hint="eastAsia" w:ascii="黑体" w:hAnsi="黑体" w:eastAsia="黑体" w:cs="宋体"/>
                                <w:bCs/>
                                <w:sz w:val="24"/>
                                <w:szCs w:val="24"/>
                                <w:lang w:val="en-US"/>
                              </w:rPr>
                            </w:pPr>
                            <w:r>
                              <w:rPr>
                                <w:rFonts w:hint="eastAsia" w:ascii="黑体" w:hAnsi="黑体" w:eastAsia="黑体" w:cs="宋体"/>
                                <w:bCs/>
                                <w:sz w:val="24"/>
                                <w:szCs w:val="24"/>
                                <w:lang w:val="en-US"/>
                              </w:rPr>
                              <w:t>专栏</w:t>
                            </w:r>
                            <w:r>
                              <w:rPr>
                                <w:rFonts w:hint="default" w:ascii="Times New Roman" w:hAnsi="Times New Roman" w:eastAsia="黑体" w:cs="Times New Roman"/>
                                <w:bCs/>
                                <w:sz w:val="24"/>
                                <w:szCs w:val="24"/>
                                <w:lang w:val="en-US" w:eastAsia="zh-CN"/>
                              </w:rPr>
                              <w:t>10</w:t>
                            </w:r>
                            <w:r>
                              <w:rPr>
                                <w:rFonts w:hint="eastAsia" w:ascii="黑体" w:hAnsi="黑体" w:eastAsia="黑体" w:cs="宋体"/>
                                <w:bCs/>
                                <w:sz w:val="24"/>
                                <w:szCs w:val="24"/>
                                <w:lang w:val="en-US" w:eastAsia="zh-CN"/>
                              </w:rPr>
                              <w:t xml:space="preserve">                     </w:t>
                            </w:r>
                            <w:r>
                              <w:rPr>
                                <w:rFonts w:hint="eastAsia" w:ascii="黑体" w:hAnsi="黑体" w:eastAsia="黑体" w:cs="宋体"/>
                                <w:bCs/>
                                <w:sz w:val="24"/>
                                <w:szCs w:val="24"/>
                                <w:lang w:val="en-US"/>
                              </w:rPr>
                              <w:t xml:space="preserve">  环保重点项目</w:t>
                            </w:r>
                          </w:p>
                          <w:p w14:paraId="5047A416">
                            <w:pPr>
                              <w:pStyle w:val="5"/>
                              <w:ind w:left="0" w:firstLine="0" w:firstLineChars="0"/>
                              <w:rPr>
                                <w:rFonts w:hint="eastAsia" w:ascii="黑体" w:hAnsi="黑体" w:eastAsia="黑体" w:cs="宋体"/>
                                <w:bCs/>
                                <w:sz w:val="24"/>
                                <w:szCs w:val="24"/>
                                <w:lang w:val="en-US"/>
                              </w:rPr>
                            </w:pPr>
                          </w:p>
                          <w:p w14:paraId="7968D2F0">
                            <w:pPr>
                              <w:pStyle w:val="5"/>
                              <w:ind w:left="0" w:firstLine="480" w:firstLineChars="200"/>
                              <w:rPr>
                                <w:rFonts w:cs="宋体" w:asciiTheme="minorEastAsia" w:hAnsiTheme="minorEastAsia" w:eastAsiaTheme="minorEastAsia"/>
                                <w:bCs/>
                                <w:sz w:val="24"/>
                                <w:szCs w:val="24"/>
                                <w:lang w:val="en-US"/>
                              </w:rPr>
                            </w:pPr>
                            <w:r>
                              <w:rPr>
                                <w:rFonts w:cs="宋体" w:asciiTheme="minorEastAsia" w:hAnsiTheme="minorEastAsia" w:eastAsiaTheme="minorEastAsia"/>
                                <w:bCs/>
                                <w:sz w:val="24"/>
                                <w:szCs w:val="24"/>
                                <w:lang w:val="en-US"/>
                              </w:rPr>
                              <w:t>伊吾县全域生态保护修复治理工程</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淖毛湖镇两个砂坑生态环境保护与恢复治理项目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农村生活污水处理工程建设项目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乡镇环境空气质量自动监测系统建设运维一体化项目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环境应急监测能力建设项目</w:t>
                            </w:r>
                            <w:r>
                              <w:rPr>
                                <w:rFonts w:hint="eastAsia" w:cs="宋体" w:asciiTheme="minorEastAsia" w:hAnsiTheme="minorEastAsia" w:eastAsiaTheme="minorEastAsia"/>
                                <w:bCs/>
                                <w:sz w:val="24"/>
                                <w:szCs w:val="24"/>
                                <w:lang w:val="en-US"/>
                              </w:rPr>
                              <w:t>。</w:t>
                            </w:r>
                          </w:p>
                        </w:txbxContent>
                      </wps:txbx>
                      <wps:bodyPr wrap="none" upright="1">
                        <a:spAutoFit/>
                      </wps:bodyPr>
                    </wps:wsp>
                  </a:graphicData>
                </a:graphic>
              </wp:anchor>
            </w:drawing>
          </mc:Choice>
          <mc:Fallback>
            <w:pict>
              <v:shape id="文本框 2710" o:spid="_x0000_s1026" o:spt="202" type="#_x0000_t202" style="position:absolute;left:0pt;margin-left:5.65pt;margin-top:2.5pt;height:70.35pt;width:416.05pt;mso-wrap-distance-bottom:0pt;mso-wrap-distance-left:9pt;mso-wrap-distance-right:9pt;mso-wrap-distance-top:0pt;mso-wrap-style:none;z-index:251664384;mso-width-relative:page;mso-height-relative:page;" fillcolor="#FFFFFF" filled="t" stroked="t" coordsize="21600,21600" o:gfxdata="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VGcTHtkAAAAIAQAADwAAAAAAAAABACAAAAAiAAAAZHJzL2Rvd25yZXYueG1sUEsBAhQAFAAAAAgA&#10;h07iQBtLN7YkAgAAbQQAAA4AAAAAAAAAAQAgAAAAKAEAAGRycy9lMm9Eb2MueG1sUEsFBgAAAAAG&#10;AAYAWQEAAL4FAAAAAA==&#10;">
                <v:fill on="t" focussize="0,0"/>
                <v:stroke color="#000000" joinstyle="miter"/>
                <v:imagedata o:title=""/>
                <o:lock v:ext="edit" aspectratio="f"/>
                <v:textbox style="mso-fit-shape-to-text:t;">
                  <w:txbxContent>
                    <w:p w14:paraId="1B2D138E">
                      <w:pPr>
                        <w:pStyle w:val="5"/>
                        <w:ind w:left="0" w:firstLine="0" w:firstLineChars="0"/>
                        <w:rPr>
                          <w:rFonts w:hint="eastAsia" w:ascii="黑体" w:hAnsi="黑体" w:eastAsia="黑体" w:cs="宋体"/>
                          <w:bCs/>
                          <w:sz w:val="24"/>
                          <w:szCs w:val="24"/>
                          <w:lang w:val="en-US"/>
                        </w:rPr>
                      </w:pPr>
                      <w:r>
                        <w:rPr>
                          <w:rFonts w:hint="eastAsia" w:ascii="黑体" w:hAnsi="黑体" w:eastAsia="黑体" w:cs="宋体"/>
                          <w:bCs/>
                          <w:sz w:val="24"/>
                          <w:szCs w:val="24"/>
                          <w:lang w:val="en-US"/>
                        </w:rPr>
                        <w:t>专栏</w:t>
                      </w:r>
                      <w:r>
                        <w:rPr>
                          <w:rFonts w:hint="default" w:ascii="Times New Roman" w:hAnsi="Times New Roman" w:eastAsia="黑体" w:cs="Times New Roman"/>
                          <w:bCs/>
                          <w:sz w:val="24"/>
                          <w:szCs w:val="24"/>
                          <w:lang w:val="en-US" w:eastAsia="zh-CN"/>
                        </w:rPr>
                        <w:t>10</w:t>
                      </w:r>
                      <w:r>
                        <w:rPr>
                          <w:rFonts w:hint="eastAsia" w:ascii="黑体" w:hAnsi="黑体" w:eastAsia="黑体" w:cs="宋体"/>
                          <w:bCs/>
                          <w:sz w:val="24"/>
                          <w:szCs w:val="24"/>
                          <w:lang w:val="en-US" w:eastAsia="zh-CN"/>
                        </w:rPr>
                        <w:t xml:space="preserve">                     </w:t>
                      </w:r>
                      <w:r>
                        <w:rPr>
                          <w:rFonts w:hint="eastAsia" w:ascii="黑体" w:hAnsi="黑体" w:eastAsia="黑体" w:cs="宋体"/>
                          <w:bCs/>
                          <w:sz w:val="24"/>
                          <w:szCs w:val="24"/>
                          <w:lang w:val="en-US"/>
                        </w:rPr>
                        <w:t xml:space="preserve">  环保重点项目</w:t>
                      </w:r>
                    </w:p>
                    <w:p w14:paraId="5047A416">
                      <w:pPr>
                        <w:pStyle w:val="5"/>
                        <w:ind w:left="0" w:firstLine="0" w:firstLineChars="0"/>
                        <w:rPr>
                          <w:rFonts w:hint="eastAsia" w:ascii="黑体" w:hAnsi="黑体" w:eastAsia="黑体" w:cs="宋体"/>
                          <w:bCs/>
                          <w:sz w:val="24"/>
                          <w:szCs w:val="24"/>
                          <w:lang w:val="en-US"/>
                        </w:rPr>
                      </w:pPr>
                    </w:p>
                    <w:p w14:paraId="7968D2F0">
                      <w:pPr>
                        <w:pStyle w:val="5"/>
                        <w:ind w:left="0" w:firstLine="480" w:firstLineChars="200"/>
                        <w:rPr>
                          <w:rFonts w:cs="宋体" w:asciiTheme="minorEastAsia" w:hAnsiTheme="minorEastAsia" w:eastAsiaTheme="minorEastAsia"/>
                          <w:bCs/>
                          <w:sz w:val="24"/>
                          <w:szCs w:val="24"/>
                          <w:lang w:val="en-US"/>
                        </w:rPr>
                      </w:pPr>
                      <w:r>
                        <w:rPr>
                          <w:rFonts w:cs="宋体" w:asciiTheme="minorEastAsia" w:hAnsiTheme="minorEastAsia" w:eastAsiaTheme="minorEastAsia"/>
                          <w:bCs/>
                          <w:sz w:val="24"/>
                          <w:szCs w:val="24"/>
                          <w:lang w:val="en-US"/>
                        </w:rPr>
                        <w:t>伊吾县全域生态保护修复治理工程</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淖毛湖镇两个砂坑生态环境保护与恢复治理项目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农村生活污水处理工程建设项目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乡镇环境空气质量自动监测系统建设运维一体化项目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环境应急监测能力建设项目</w:t>
                      </w:r>
                      <w:r>
                        <w:rPr>
                          <w:rFonts w:hint="eastAsia" w:cs="宋体" w:asciiTheme="minorEastAsia" w:hAnsiTheme="minorEastAsia" w:eastAsiaTheme="minorEastAsia"/>
                          <w:bCs/>
                          <w:sz w:val="24"/>
                          <w:szCs w:val="24"/>
                          <w:lang w:val="en-US"/>
                        </w:rPr>
                        <w:t>。</w:t>
                      </w:r>
                    </w:p>
                  </w:txbxContent>
                </v:textbox>
                <w10:wrap type="square"/>
              </v:shape>
            </w:pict>
          </mc:Fallback>
        </mc:AlternateContent>
      </w:r>
      <w:bookmarkStart w:id="184" w:name="_Toc75285150"/>
      <w:r>
        <w:rPr>
          <w:rFonts w:eastAsia="方正黑体_GBK"/>
          <w:b w:val="0"/>
          <w:bCs/>
          <w:color w:val="000000"/>
          <w:sz w:val="36"/>
          <w:szCs w:val="36"/>
        </w:rPr>
        <w:t>第十三篇 大力保障和改善民生 增进各族群众福祉</w:t>
      </w:r>
      <w:bookmarkEnd w:id="184"/>
    </w:p>
    <w:p w14:paraId="27767130">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坚持以人民为中心的发展思想，把本级财政支出的70%以上用于保障改善民生，深入实施扩大就业、增收致富、教育提升、全民健康、社保扩面、安居保障、煤改电、兴边富民、公共安全保障、稳定惠民等“十项惠民工程”，健全基本公共服务体系，持续办好利民惠民实事，切实实现好、维护好、发展好各族群众的根本利益。</w:t>
      </w:r>
    </w:p>
    <w:p w14:paraId="054BB61D">
      <w:pPr>
        <w:pStyle w:val="2"/>
        <w:spacing w:line="560" w:lineRule="exact"/>
        <w:jc w:val="center"/>
        <w:rPr>
          <w:rFonts w:ascii="Times New Roman" w:hAnsi="Times New Roman" w:eastAsia="方正楷体_GBK"/>
          <w:b w:val="0"/>
          <w:bCs w:val="0"/>
          <w:color w:val="000000"/>
          <w:kern w:val="0"/>
          <w:sz w:val="32"/>
        </w:rPr>
      </w:pPr>
      <w:bookmarkStart w:id="185" w:name="_Toc75285151"/>
      <w:r>
        <w:rPr>
          <w:rFonts w:ascii="Times New Roman" w:hAnsi="Times New Roman" w:eastAsia="方正楷体_GBK"/>
          <w:b w:val="0"/>
          <w:bCs w:val="0"/>
          <w:color w:val="000000"/>
          <w:kern w:val="0"/>
          <w:sz w:val="32"/>
        </w:rPr>
        <w:t>第一章  实施就业优先战略</w:t>
      </w:r>
      <w:bookmarkEnd w:id="185"/>
    </w:p>
    <w:p w14:paraId="3C84255E">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坚持实施就业优先战略，完善更加积极的就业政策，实现更高质量和更充分就业。建立促进创业带动就业、多渠道灵活就业机制，增强就业能力、扩大就业容量。</w:t>
      </w:r>
    </w:p>
    <w:p w14:paraId="0C217911">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大力发展服务业和劳动密集型产业，鼓励市场需求广、就业容量大、就业门槛低的家政服务、养老护理等生活性服务业发展，吸纳更多中低技能劳动者转岗就业。重点发展石材、葡萄、农副产品加工等产业，支持农牧民创办劳动密集型中小企业、农牧业专业合作社，发展设施农业、畜牧业、林果业，从事民族特色餐饮、农家乐创业，以产业发展带动就业。</w:t>
      </w:r>
    </w:p>
    <w:p w14:paraId="2956E6B5">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加大农民工权益保障力度。重点支持中小企业和非公有制经济发展。通过鼓励发展劳动密集型产业、服务业，扶持中小微企业，鼓励、支持、引导非公有制经济发展，增加就业岗位。落实好促进农民工和农业富余劳动力转移就业政策措施。继续落实就业困难人员社保补贴政策，将就业援助政策措施向贫困户、农村“低保户家庭”等农村就业困难对象延伸，使城乡就业困难对象都能得到及时援助。</w:t>
      </w:r>
    </w:p>
    <w:p w14:paraId="23DA7177">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进一步完善同灵活就业相关的社会保障制度建设，鼓励年轻人合法守法灵活就业，扩大主要就业年龄人口就业容量。加强就业培训，提升就业困难人员谋生能力和素质。通过税收优惠、社会保险补贴、小额担保贷款等政策，鼓励企业吸纳就业困难人员就业。扩大公益性岗位安置，建立公益性岗位逐步退出机制，预留部分公益性岗位，确保零就业家庭动态“清零”。</w:t>
      </w:r>
    </w:p>
    <w:p w14:paraId="3D3648CF">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加强创业指导和服务，充分发挥青年就业创业咨询服务中心和青年创业协会的作用，建设县和重点乡镇市场化、专业化众创空间和双创示范基地。加强对困难大学生的就业援助，落实促进高校毕业生就业的各项扶持政策，加大创业培训和小额担保贷款工作力度，鼓励高校毕业生自主创业。</w:t>
      </w:r>
    </w:p>
    <w:p w14:paraId="480E3701">
      <w:pPr>
        <w:pStyle w:val="2"/>
        <w:spacing w:line="560" w:lineRule="exact"/>
        <w:jc w:val="center"/>
        <w:rPr>
          <w:rFonts w:ascii="Times New Roman" w:hAnsi="Times New Roman" w:eastAsia="方正楷体_GBK"/>
          <w:b w:val="0"/>
          <w:bCs w:val="0"/>
          <w:color w:val="000000"/>
          <w:kern w:val="0"/>
          <w:sz w:val="32"/>
        </w:rPr>
      </w:pPr>
      <w:bookmarkStart w:id="186" w:name="_Toc12108"/>
      <w:bookmarkStart w:id="187" w:name="_Toc75285152"/>
      <w:r>
        <w:rPr>
          <w:rFonts w:ascii="Times New Roman" w:hAnsi="Times New Roman" w:eastAsia="方正楷体_GBK"/>
          <w:b w:val="0"/>
          <w:bCs w:val="0"/>
          <w:color w:val="000000"/>
          <w:kern w:val="0"/>
          <w:sz w:val="32"/>
        </w:rPr>
        <w:t>第二章  加快提升教育质量水平</w:t>
      </w:r>
      <w:bookmarkEnd w:id="186"/>
      <w:bookmarkEnd w:id="187"/>
    </w:p>
    <w:p w14:paraId="2C37747D">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全面贯彻党的教育方针，为全面建设社会主义现代化国家，培养更多德智体美劳全面发展的合格建设者和可靠接班人。全面加强党对教育事业的领导，坚持立德树人导向，深化教育改革，发展素质教育，促进教育公平。坚定不移推进国语教育，实现国家通用语言文字全覆盖。强化政策激励机制，努力增加托育服务有效供给。继续推进城乡教育一体化发展，扩大普惠性学前教育覆盖面，提高学前教育质量，推动义务教育均衡、优质发展。办好乡村小规模学校和乡镇寄宿制学校，努力让每一个孩子都能享有公平而有质量的教育。加快高中教育高质量发展，推动普通高中、职业高中及职业学校的融通发展改革试点。实现初高中未升学、未就业毕业生接受职业教育和技能培训全覆盖，推进实训基地建设。根据伊吾县社会经济发展需要，举办培养应用型、复合型、技术技能型人才的专门班次。加强师德师风建设，培养高素质教师队伍，倡导全社会尊师重教。加大家庭教育骨干教师培训和心理健康教育力度，建立和完善覆盖城乡家庭教育指导服务体系，大力推进家庭、家教、家风建设。加强家庭教育指导服务中心、服务站点、信息化服务平台等建设。</w:t>
      </w:r>
    </w:p>
    <w:p w14:paraId="4A2ACD5F">
      <w:pPr>
        <w:pStyle w:val="5"/>
        <w:ind w:left="0" w:firstLine="0" w:firstLineChars="0"/>
        <w:jc w:val="center"/>
        <w:outlineLvl w:val="1"/>
        <w:rPr>
          <w:b/>
          <w:sz w:val="32"/>
          <w:szCs w:val="32"/>
          <w:lang w:val="en-US"/>
        </w:rPr>
      </w:pPr>
      <w:r>
        <w:rPr>
          <w:sz w:val="32"/>
        </w:rPr>
        <mc:AlternateContent>
          <mc:Choice Requires="wps">
            <w:drawing>
              <wp:anchor distT="0" distB="0" distL="114300" distR="114300" simplePos="0" relativeHeight="251679744" behindDoc="0" locked="0" layoutInCell="1" allowOverlap="1">
                <wp:simplePos x="0" y="0"/>
                <wp:positionH relativeFrom="column">
                  <wp:posOffset>105410</wp:posOffset>
                </wp:positionH>
                <wp:positionV relativeFrom="paragraph">
                  <wp:posOffset>517525</wp:posOffset>
                </wp:positionV>
                <wp:extent cx="5526405" cy="0"/>
                <wp:effectExtent l="0" t="0" r="0" b="0"/>
                <wp:wrapNone/>
                <wp:docPr id="23" name="直接连接符 23"/>
                <wp:cNvGraphicFramePr/>
                <a:graphic xmlns:a="http://schemas.openxmlformats.org/drawingml/2006/main">
                  <a:graphicData uri="http://schemas.microsoft.com/office/word/2010/wordprocessingShape">
                    <wps:wsp>
                      <wps:cNvCnPr/>
                      <wps:spPr>
                        <a:xfrm>
                          <a:off x="1067435" y="5039995"/>
                          <a:ext cx="5526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3pt;margin-top:40.75pt;height:0pt;width:435.15pt;z-index:251679744;mso-width-relative:page;mso-height-relative:page;" filled="f" stroked="t" coordsize="21600,21600" o:gfxdata="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vBja9UA&#10;AAAIAQAADwAAAAAAAAABACAAAAAiAAAAZHJzL2Rvd25yZXYueG1sUEsBAhQAFAAAAAgAh07iQOj5&#10;8LTpAQAAqAMAAA4AAAAAAAAAAQAgAAAAJAEAAGRycy9lMm9Eb2MueG1sUEsFBgAAAAAGAAYAWQEA&#10;AH8FAAAAAA==&#10;">
                <v:fill on="f" focussize="0,0"/>
                <v:stroke color="#000000 [3213]" joinstyle="round"/>
                <v:imagedata o:title=""/>
                <o:lock v:ext="edit" aspectratio="f"/>
              </v:lin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95250</wp:posOffset>
                </wp:positionH>
                <wp:positionV relativeFrom="paragraph">
                  <wp:posOffset>215265</wp:posOffset>
                </wp:positionV>
                <wp:extent cx="5283835" cy="695325"/>
                <wp:effectExtent l="5080" t="4445" r="6985" b="5080"/>
                <wp:wrapSquare wrapText="bothSides"/>
                <wp:docPr id="8" name="文本框 2711"/>
                <wp:cNvGraphicFramePr/>
                <a:graphic xmlns:a="http://schemas.openxmlformats.org/drawingml/2006/main">
                  <a:graphicData uri="http://schemas.microsoft.com/office/word/2010/wordprocessingShape">
                    <wps:wsp>
                      <wps:cNvSpPr txBox="1"/>
                      <wps:spPr>
                        <a:xfrm>
                          <a:off x="0" y="0"/>
                          <a:ext cx="5283835" cy="695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1C2EC66">
                            <w:pPr>
                              <w:pStyle w:val="5"/>
                              <w:ind w:left="0" w:firstLine="0" w:firstLineChars="0"/>
                              <w:rPr>
                                <w:rFonts w:hint="eastAsia" w:ascii="黑体" w:hAnsi="黑体" w:eastAsia="黑体" w:cs="宋体"/>
                                <w:bCs/>
                                <w:sz w:val="24"/>
                                <w:szCs w:val="24"/>
                                <w:lang w:val="en-US"/>
                              </w:rPr>
                            </w:pPr>
                            <w:r>
                              <w:rPr>
                                <w:rFonts w:hint="eastAsia" w:ascii="黑体" w:hAnsi="黑体" w:eastAsia="黑体" w:cs="宋体"/>
                                <w:bCs/>
                                <w:sz w:val="24"/>
                                <w:szCs w:val="24"/>
                                <w:lang w:val="en-US"/>
                              </w:rPr>
                              <w:t>专栏</w:t>
                            </w:r>
                            <w:r>
                              <w:rPr>
                                <w:rFonts w:hint="default" w:ascii="Times New Roman" w:hAnsi="Times New Roman" w:eastAsia="黑体" w:cs="Times New Roman"/>
                                <w:bCs/>
                                <w:sz w:val="24"/>
                                <w:szCs w:val="24"/>
                                <w:lang w:val="en-US" w:eastAsia="zh-CN"/>
                              </w:rPr>
                              <w:t xml:space="preserve">11 </w:t>
                            </w:r>
                            <w:r>
                              <w:rPr>
                                <w:rFonts w:hint="eastAsia" w:ascii="黑体" w:hAnsi="黑体" w:eastAsia="黑体" w:cs="宋体"/>
                                <w:bCs/>
                                <w:sz w:val="24"/>
                                <w:szCs w:val="24"/>
                                <w:lang w:val="en-US" w:eastAsia="zh-CN"/>
                              </w:rPr>
                              <w:t xml:space="preserve">                    </w:t>
                            </w:r>
                            <w:r>
                              <w:rPr>
                                <w:rFonts w:hint="eastAsia" w:ascii="黑体" w:hAnsi="黑体" w:eastAsia="黑体" w:cs="宋体"/>
                                <w:bCs/>
                                <w:sz w:val="24"/>
                                <w:szCs w:val="24"/>
                                <w:lang w:val="en-US"/>
                              </w:rPr>
                              <w:t xml:space="preserve">  教育重点项目</w:t>
                            </w:r>
                          </w:p>
                          <w:p w14:paraId="6606C700">
                            <w:pPr>
                              <w:pStyle w:val="5"/>
                              <w:ind w:left="0" w:firstLine="0" w:firstLineChars="0"/>
                              <w:rPr>
                                <w:rFonts w:hint="eastAsia" w:ascii="黑体" w:hAnsi="黑体" w:eastAsia="黑体" w:cs="宋体"/>
                                <w:bCs/>
                                <w:sz w:val="24"/>
                                <w:szCs w:val="24"/>
                                <w:lang w:val="en-US"/>
                              </w:rPr>
                            </w:pPr>
                          </w:p>
                          <w:p w14:paraId="04F82C50">
                            <w:pPr>
                              <w:pStyle w:val="5"/>
                              <w:ind w:left="0" w:firstLine="480" w:firstLineChars="200"/>
                              <w:rPr>
                                <w:rFonts w:cs="宋体" w:asciiTheme="minorEastAsia" w:hAnsiTheme="minorEastAsia" w:eastAsiaTheme="minorEastAsia"/>
                                <w:bCs/>
                                <w:sz w:val="24"/>
                                <w:szCs w:val="24"/>
                                <w:lang w:val="en-US"/>
                              </w:rPr>
                            </w:pPr>
                            <w:r>
                              <w:rPr>
                                <w:rFonts w:cs="宋体" w:asciiTheme="minorEastAsia" w:hAnsiTheme="minorEastAsia" w:eastAsiaTheme="minorEastAsia"/>
                                <w:bCs/>
                                <w:sz w:val="24"/>
                                <w:szCs w:val="24"/>
                                <w:lang w:val="en-US"/>
                              </w:rPr>
                              <w:t>伊吾县各中小学校风雨操场建设项目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伊吾县中小学创建优质教育均衡基础设施配备项目</w:t>
                            </w:r>
                            <w:r>
                              <w:rPr>
                                <w:rFonts w:hint="eastAsia" w:cs="宋体" w:asciiTheme="minorEastAsia" w:hAnsiTheme="minorEastAsia" w:eastAsiaTheme="minorEastAsia"/>
                                <w:bCs/>
                                <w:sz w:val="24"/>
                                <w:szCs w:val="24"/>
                                <w:lang w:val="en-US"/>
                              </w:rPr>
                              <w:t>；伊吾县智慧校园建设项目；伊吾县淖毛湖镇青少年校外活动中心建设项目。</w:t>
                            </w:r>
                          </w:p>
                        </w:txbxContent>
                      </wps:txbx>
                      <wps:bodyPr wrap="none" upright="1">
                        <a:spAutoFit/>
                      </wps:bodyPr>
                    </wps:wsp>
                  </a:graphicData>
                </a:graphic>
              </wp:anchor>
            </w:drawing>
          </mc:Choice>
          <mc:Fallback>
            <w:pict>
              <v:shape id="文本框 2711" o:spid="_x0000_s1026" o:spt="202" type="#_x0000_t202" style="position:absolute;left:0pt;margin-left:7.5pt;margin-top:16.95pt;height:54.75pt;width:416.05pt;mso-wrap-distance-bottom:0pt;mso-wrap-distance-left:9pt;mso-wrap-distance-right:9pt;mso-wrap-distance-top:0pt;mso-wrap-style:none;z-index:251664384;mso-width-relative:page;mso-height-relative:page;" fillcolor="#FFFFFF" filled="t" stroked="t" coordsize="21600,21600" o:gfxdata="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TXqIR2gAAAAkBAAAPAAAAAAAAAAEAIAAAACIAAABkcnMvZG93bnJldi54bWxQSwECFAAUAAAA&#10;CACHTuJAyO3WuSUCAABtBAAADgAAAAAAAAABACAAAAApAQAAZHJzL2Uyb0RvYy54bWxQSwUGAAAA&#10;AAYABgBZAQAAwAUAAAAA&#10;">
                <v:fill on="t" focussize="0,0"/>
                <v:stroke color="#000000" joinstyle="miter"/>
                <v:imagedata o:title=""/>
                <o:lock v:ext="edit" aspectratio="f"/>
                <v:textbox style="mso-fit-shape-to-text:t;">
                  <w:txbxContent>
                    <w:p w14:paraId="41C2EC66">
                      <w:pPr>
                        <w:pStyle w:val="5"/>
                        <w:ind w:left="0" w:firstLine="0" w:firstLineChars="0"/>
                        <w:rPr>
                          <w:rFonts w:hint="eastAsia" w:ascii="黑体" w:hAnsi="黑体" w:eastAsia="黑体" w:cs="宋体"/>
                          <w:bCs/>
                          <w:sz w:val="24"/>
                          <w:szCs w:val="24"/>
                          <w:lang w:val="en-US"/>
                        </w:rPr>
                      </w:pPr>
                      <w:r>
                        <w:rPr>
                          <w:rFonts w:hint="eastAsia" w:ascii="黑体" w:hAnsi="黑体" w:eastAsia="黑体" w:cs="宋体"/>
                          <w:bCs/>
                          <w:sz w:val="24"/>
                          <w:szCs w:val="24"/>
                          <w:lang w:val="en-US"/>
                        </w:rPr>
                        <w:t>专栏</w:t>
                      </w:r>
                      <w:r>
                        <w:rPr>
                          <w:rFonts w:hint="default" w:ascii="Times New Roman" w:hAnsi="Times New Roman" w:eastAsia="黑体" w:cs="Times New Roman"/>
                          <w:bCs/>
                          <w:sz w:val="24"/>
                          <w:szCs w:val="24"/>
                          <w:lang w:val="en-US" w:eastAsia="zh-CN"/>
                        </w:rPr>
                        <w:t xml:space="preserve">11 </w:t>
                      </w:r>
                      <w:r>
                        <w:rPr>
                          <w:rFonts w:hint="eastAsia" w:ascii="黑体" w:hAnsi="黑体" w:eastAsia="黑体" w:cs="宋体"/>
                          <w:bCs/>
                          <w:sz w:val="24"/>
                          <w:szCs w:val="24"/>
                          <w:lang w:val="en-US" w:eastAsia="zh-CN"/>
                        </w:rPr>
                        <w:t xml:space="preserve">                    </w:t>
                      </w:r>
                      <w:r>
                        <w:rPr>
                          <w:rFonts w:hint="eastAsia" w:ascii="黑体" w:hAnsi="黑体" w:eastAsia="黑体" w:cs="宋体"/>
                          <w:bCs/>
                          <w:sz w:val="24"/>
                          <w:szCs w:val="24"/>
                          <w:lang w:val="en-US"/>
                        </w:rPr>
                        <w:t xml:space="preserve">  教育重点项目</w:t>
                      </w:r>
                    </w:p>
                    <w:p w14:paraId="6606C700">
                      <w:pPr>
                        <w:pStyle w:val="5"/>
                        <w:ind w:left="0" w:firstLine="0" w:firstLineChars="0"/>
                        <w:rPr>
                          <w:rFonts w:hint="eastAsia" w:ascii="黑体" w:hAnsi="黑体" w:eastAsia="黑体" w:cs="宋体"/>
                          <w:bCs/>
                          <w:sz w:val="24"/>
                          <w:szCs w:val="24"/>
                          <w:lang w:val="en-US"/>
                        </w:rPr>
                      </w:pPr>
                    </w:p>
                    <w:p w14:paraId="04F82C50">
                      <w:pPr>
                        <w:pStyle w:val="5"/>
                        <w:ind w:left="0" w:firstLine="480" w:firstLineChars="200"/>
                        <w:rPr>
                          <w:rFonts w:cs="宋体" w:asciiTheme="minorEastAsia" w:hAnsiTheme="minorEastAsia" w:eastAsiaTheme="minorEastAsia"/>
                          <w:bCs/>
                          <w:sz w:val="24"/>
                          <w:szCs w:val="24"/>
                          <w:lang w:val="en-US"/>
                        </w:rPr>
                      </w:pPr>
                      <w:r>
                        <w:rPr>
                          <w:rFonts w:cs="宋体" w:asciiTheme="minorEastAsia" w:hAnsiTheme="minorEastAsia" w:eastAsiaTheme="minorEastAsia"/>
                          <w:bCs/>
                          <w:sz w:val="24"/>
                          <w:szCs w:val="24"/>
                          <w:lang w:val="en-US"/>
                        </w:rPr>
                        <w:t>伊吾县各中小学校风雨操场建设项目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伊吾县中小学创建优质教育均衡基础设施配备项目</w:t>
                      </w:r>
                      <w:r>
                        <w:rPr>
                          <w:rFonts w:hint="eastAsia" w:cs="宋体" w:asciiTheme="minorEastAsia" w:hAnsiTheme="minorEastAsia" w:eastAsiaTheme="minorEastAsia"/>
                          <w:bCs/>
                          <w:sz w:val="24"/>
                          <w:szCs w:val="24"/>
                          <w:lang w:val="en-US"/>
                        </w:rPr>
                        <w:t>；伊吾县智慧校园建设项目；伊吾县淖毛湖镇青少年校外活动中心建设项目。</w:t>
                      </w:r>
                    </w:p>
                  </w:txbxContent>
                </v:textbox>
                <w10:wrap type="square"/>
              </v:shape>
            </w:pict>
          </mc:Fallback>
        </mc:AlternateContent>
      </w:r>
    </w:p>
    <w:p w14:paraId="6C9E04E4">
      <w:pPr>
        <w:pStyle w:val="2"/>
        <w:spacing w:line="560" w:lineRule="exact"/>
        <w:jc w:val="center"/>
        <w:rPr>
          <w:rFonts w:ascii="Times New Roman" w:hAnsi="Times New Roman" w:eastAsia="方正楷体_GBK"/>
          <w:b w:val="0"/>
          <w:bCs w:val="0"/>
          <w:color w:val="000000"/>
          <w:kern w:val="0"/>
          <w:sz w:val="32"/>
        </w:rPr>
      </w:pPr>
      <w:bookmarkStart w:id="188" w:name="_Toc75285153"/>
      <w:r>
        <w:rPr>
          <w:rFonts w:ascii="Times New Roman" w:hAnsi="Times New Roman" w:eastAsia="方正楷体_GBK"/>
          <w:b w:val="0"/>
          <w:bCs w:val="0"/>
          <w:color w:val="000000"/>
          <w:kern w:val="0"/>
          <w:sz w:val="32"/>
        </w:rPr>
        <w:t>第三章  提升医疗卫生水平</w:t>
      </w:r>
      <w:bookmarkEnd w:id="188"/>
    </w:p>
    <w:p w14:paraId="722A1027">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坚持预防为主的方针，实施健康伊吾行动，完善突发公共卫生事件监测预警处置机制，为各族群众提供全方位全周期健康服务，织牢公共卫生防护网。</w:t>
      </w:r>
    </w:p>
    <w:p w14:paraId="22676534">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全面提升覆盖预防、医疗、康复、健康促进等生命全周期、健康全过程各环节的健康服务水平。深化医药卫生体制改革，健全现代医院管理制度。完善公共卫生服务体系，加快推进疾控机构标准化建设，提高重大疾病和传染病的防控能力；完善妇幼健康服务体系建设，提高危重孕产妇和危重新生儿救治能力。实施科学合理的分级诊疗制度，建立完善医联体和医共体运营模式，加快优质医疗资源共建共享，筹建伊吾县中医医院体系，全面提升公立医疗和健康服务机构综合服务能力。加大医疗卫生人才引进培养力度，创新人才使用机制，落实医疗卫生机构用人自主权，推进人才援疆，建立健全人才激励机制，推进以全科医生为重点的基层医疗卫生人才队伍建设。积极应对人口老龄化，引导养老服务业发展、促进医疗卫生和养老服务融合发展，健全居家、社区、机构三位一体养老服务体系，完善医养结合政策措施。健全重特大疾病医疗保险和救助制度，积极扩大长期护理保险制度试点。建立完善药品集中支付体系。广泛开展具有伊吾特色的全民健身活动，倡导健康文明生活方式，实施食品安全战略。</w:t>
      </w:r>
    </w:p>
    <w:p w14:paraId="32A028DB">
      <w:pPr>
        <w:pStyle w:val="5"/>
        <w:spacing w:line="580" w:lineRule="exact"/>
        <w:ind w:left="0" w:firstLine="643" w:firstLineChars="200"/>
        <w:rPr>
          <w:rFonts w:ascii="Times New Roman" w:hAnsi="Times New Roman" w:eastAsia="方正仿宋_GBK" w:cs="Times New Roman"/>
          <w:color w:val="000000"/>
          <w:kern w:val="2"/>
          <w:sz w:val="32"/>
          <w:szCs w:val="32"/>
          <w:lang w:val="en-US" w:eastAsia="zh-CN" w:bidi="ar-SA"/>
        </w:rPr>
      </w:pPr>
      <w:r>
        <w:rPr>
          <w:rFonts w:eastAsia="方正楷体_GBK"/>
          <w:b/>
          <w:bCs/>
          <w:color w:val="000000"/>
          <w:sz w:val="32"/>
          <w:szCs w:val="32"/>
          <w:lang w:val="en-US" w:eastAsia="zh-CN" w:bidi="ar-SA"/>
        </w:rPr>
        <w:t>增强疾病预防控制能力。</w:t>
      </w:r>
      <w:r>
        <w:rPr>
          <w:rFonts w:ascii="Times New Roman" w:hAnsi="Times New Roman" w:eastAsia="方正仿宋_GBK" w:cs="Times New Roman"/>
          <w:color w:val="000000"/>
          <w:kern w:val="2"/>
          <w:sz w:val="32"/>
          <w:szCs w:val="32"/>
          <w:lang w:val="en-US" w:eastAsia="zh-CN" w:bidi="ar-SA"/>
        </w:rPr>
        <w:t>坚持常态化精准防控与局部应急处置有机结合，完善医疗救治、物资储备、产能动员“三位一体”公共卫生应急物资保障体系。加强县级疾控中心建设，满足疾病预防和救治需要。实施传染病及地方病防控行动，加强新冠</w:t>
      </w:r>
      <w:r>
        <w:rPr>
          <w:rFonts w:hint="eastAsia" w:eastAsia="方正仿宋_GBK" w:cs="Times New Roman"/>
          <w:color w:val="000000"/>
          <w:kern w:val="2"/>
          <w:sz w:val="32"/>
          <w:szCs w:val="32"/>
          <w:lang w:val="en-US" w:eastAsia="zh-CN" w:bidi="ar-SA"/>
        </w:rPr>
        <w:t>病毒感染</w:t>
      </w:r>
      <w:r>
        <w:rPr>
          <w:rFonts w:ascii="Times New Roman" w:hAnsi="Times New Roman" w:eastAsia="方正仿宋_GBK" w:cs="Times New Roman"/>
          <w:color w:val="000000"/>
          <w:kern w:val="2"/>
          <w:sz w:val="32"/>
          <w:szCs w:val="32"/>
          <w:lang w:val="en-US" w:eastAsia="zh-CN" w:bidi="ar-SA"/>
        </w:rPr>
        <w:t>、结核病、艾滋病等重大传染病防控，强化包虫病、布氏杆菌病等人畜共患病防治，控制和消除重点地方病。开展爱国卫生运动，加强城乡环境卫生综合整治，建设健康城市和健康村镇。</w:t>
      </w:r>
    </w:p>
    <w:p w14:paraId="504CC4B6">
      <w:pPr>
        <w:pStyle w:val="5"/>
        <w:spacing w:line="580" w:lineRule="exact"/>
        <w:ind w:left="0" w:firstLine="643" w:firstLineChars="200"/>
        <w:rPr>
          <w:rFonts w:ascii="Times New Roman" w:hAnsi="Times New Roman" w:eastAsia="方正仿宋_GBK" w:cs="Times New Roman"/>
          <w:color w:val="000000"/>
          <w:kern w:val="2"/>
          <w:sz w:val="32"/>
          <w:szCs w:val="32"/>
          <w:lang w:val="en-US" w:eastAsia="zh-CN" w:bidi="ar-SA"/>
        </w:rPr>
      </w:pPr>
      <w:r>
        <w:rPr>
          <w:rFonts w:eastAsia="方正楷体_GBK"/>
          <w:b/>
          <w:bCs/>
          <w:color w:val="000000"/>
          <w:sz w:val="32"/>
          <w:szCs w:val="32"/>
          <w:lang w:val="en-US" w:eastAsia="zh-CN" w:bidi="ar-SA"/>
        </w:rPr>
        <w:t>提高全民健康素养水平。</w:t>
      </w:r>
      <w:r>
        <w:rPr>
          <w:rFonts w:ascii="Times New Roman" w:hAnsi="Times New Roman" w:eastAsia="方正仿宋_GBK" w:cs="Times New Roman"/>
          <w:color w:val="000000"/>
          <w:kern w:val="2"/>
          <w:sz w:val="32"/>
          <w:szCs w:val="32"/>
          <w:lang w:val="en-US" w:eastAsia="zh-CN" w:bidi="ar-SA"/>
        </w:rPr>
        <w:t>实施健康促进行动，保障妇幼、老年人、中小学生等重点人群健康。持续推动全民免费健康体检，加强高血压、肿瘤、糖尿病等慢性病预防、治疗和控制，实施职业健康保护行动。加强健康医疗大数据应用体系建设。加快发展残疾人事业，提高服务保障水平。</w:t>
      </w:r>
    </w:p>
    <w:p w14:paraId="7A0C9F3A">
      <w:pPr>
        <w:pStyle w:val="5"/>
        <w:spacing w:line="580" w:lineRule="exact"/>
        <w:ind w:left="0" w:firstLine="643" w:firstLineChars="200"/>
        <w:rPr>
          <w:rFonts w:ascii="Times New Roman" w:hAnsi="Times New Roman" w:eastAsia="方正仿宋_GBK" w:cs="Times New Roman"/>
          <w:color w:val="000000"/>
          <w:kern w:val="2"/>
          <w:sz w:val="32"/>
          <w:szCs w:val="32"/>
          <w:lang w:val="en-US" w:eastAsia="zh-CN" w:bidi="ar-SA"/>
        </w:rPr>
      </w:pPr>
      <w:r>
        <w:rPr>
          <w:rFonts w:eastAsia="方正楷体_GBK"/>
          <w:b/>
          <w:bCs/>
          <w:color w:val="000000"/>
          <w:sz w:val="32"/>
          <w:szCs w:val="32"/>
          <w:lang w:val="en-US" w:eastAsia="zh-CN" w:bidi="ar-SA"/>
        </w:rPr>
        <w:t>促进人口长期均衡发展。</w:t>
      </w:r>
      <w:r>
        <w:rPr>
          <w:rFonts w:ascii="Times New Roman" w:hAnsi="Times New Roman" w:eastAsia="方正仿宋_GBK" w:cs="Times New Roman"/>
          <w:color w:val="000000"/>
          <w:kern w:val="2"/>
          <w:sz w:val="32"/>
          <w:szCs w:val="32"/>
          <w:lang w:val="en-US" w:eastAsia="zh-CN" w:bidi="ar-SA"/>
        </w:rPr>
        <w:t>实施积极应对人口老龄化国家战略，制定伊吾县人口长期发展战略。加强孕妇健康服务和婴儿健康服务，降低孕产妇、婴幼儿死亡率，使全县人口出生率、人口自然增长率保持在合理水平。坚持男女平等基本国策，保障妇女儿童合法权益。制定实施青年、妇女、儿童发展规划，建立健全服务发展工作机制和政策体系。</w:t>
      </w:r>
    </w:p>
    <w:p w14:paraId="225FD40E">
      <w:pPr>
        <w:pStyle w:val="2"/>
        <w:spacing w:line="560" w:lineRule="exact"/>
        <w:jc w:val="center"/>
        <w:rPr>
          <w:rFonts w:ascii="Times New Roman" w:hAnsi="Times New Roman" w:eastAsia="方正楷体_GBK"/>
          <w:b w:val="0"/>
          <w:bCs w:val="0"/>
          <w:color w:val="000000"/>
          <w:kern w:val="0"/>
          <w:sz w:val="32"/>
        </w:rPr>
      </w:pPr>
      <w:r>
        <w:rPr>
          <w:sz w:val="32"/>
        </w:rPr>
        <mc:AlternateContent>
          <mc:Choice Requires="wps">
            <w:drawing>
              <wp:anchor distT="0" distB="0" distL="114300" distR="114300" simplePos="0" relativeHeight="251680768" behindDoc="0" locked="0" layoutInCell="1" allowOverlap="1">
                <wp:simplePos x="0" y="0"/>
                <wp:positionH relativeFrom="column">
                  <wp:posOffset>-9525</wp:posOffset>
                </wp:positionH>
                <wp:positionV relativeFrom="paragraph">
                  <wp:posOffset>590550</wp:posOffset>
                </wp:positionV>
                <wp:extent cx="5537200" cy="0"/>
                <wp:effectExtent l="0" t="0" r="0" b="0"/>
                <wp:wrapNone/>
                <wp:docPr id="25" name="直接连接符 25"/>
                <wp:cNvGraphicFramePr/>
                <a:graphic xmlns:a="http://schemas.openxmlformats.org/drawingml/2006/main">
                  <a:graphicData uri="http://schemas.microsoft.com/office/word/2010/wordprocessingShape">
                    <wps:wsp>
                      <wps:cNvCnPr/>
                      <wps:spPr>
                        <a:xfrm>
                          <a:off x="962660" y="6512560"/>
                          <a:ext cx="5537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5pt;margin-top:46.5pt;height:0pt;width:436pt;z-index:251680768;mso-width-relative:page;mso-height-relative:page;" filled="f" stroked="t" coordsize="21600,21600" o:gfxdata="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CvdX9UAAAAIAQAA&#10;DwAAAAAAAAABACAAAAAiAAAAZHJzL2Rvd25yZXYueG1sUEsBAhQAFAAAAAgAh07iQM/1BP7jAQAA&#10;pwMAAA4AAAAAAAAAAQAgAAAAJAEAAGRycy9lMm9Eb2MueG1sUEsFBgAAAAAGAAYAWQEAAHkFAAAA&#10;AA==&#10;">
                <v:fill on="f" focussize="0,0"/>
                <v:stroke color="#000000 [3213]" joinstyle="round"/>
                <v:imagedata o:title=""/>
                <o:lock v:ext="edit" aspectratio="f"/>
              </v:line>
            </w:pict>
          </mc:Fallback>
        </mc:AlternateContent>
      </w:r>
      <w:r>
        <w:rPr>
          <w:rFonts w:ascii="Times New Roman" w:hAnsi="Times New Roman" w:eastAsia="方正楷体_GBK"/>
          <w:b w:val="0"/>
          <w:bCs w:val="0"/>
          <w:color w:val="000000"/>
          <w:kern w:val="0"/>
          <w:sz w:val="32"/>
        </w:rPr>
        <mc:AlternateContent>
          <mc:Choice Requires="wps">
            <w:drawing>
              <wp:anchor distT="0" distB="0" distL="114300" distR="114300" simplePos="0" relativeHeight="251668480" behindDoc="0" locked="0" layoutInCell="1" allowOverlap="1">
                <wp:simplePos x="0" y="0"/>
                <wp:positionH relativeFrom="column">
                  <wp:posOffset>-9525</wp:posOffset>
                </wp:positionH>
                <wp:positionV relativeFrom="paragraph">
                  <wp:posOffset>285750</wp:posOffset>
                </wp:positionV>
                <wp:extent cx="5283835" cy="1487805"/>
                <wp:effectExtent l="5080" t="4445" r="6985" b="12700"/>
                <wp:wrapSquare wrapText="bothSides"/>
                <wp:docPr id="12" name="文本框 2712"/>
                <wp:cNvGraphicFramePr/>
                <a:graphic xmlns:a="http://schemas.openxmlformats.org/drawingml/2006/main">
                  <a:graphicData uri="http://schemas.microsoft.com/office/word/2010/wordprocessingShape">
                    <wps:wsp>
                      <wps:cNvSpPr txBox="1"/>
                      <wps:spPr>
                        <a:xfrm>
                          <a:off x="0" y="0"/>
                          <a:ext cx="5283835" cy="14878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38CF33C">
                            <w:pPr>
                              <w:pStyle w:val="5"/>
                              <w:ind w:left="0" w:firstLine="0" w:firstLineChars="0"/>
                              <w:rPr>
                                <w:rFonts w:hint="eastAsia" w:ascii="黑体" w:hAnsi="黑体" w:eastAsia="黑体" w:cs="宋体"/>
                                <w:bCs/>
                                <w:sz w:val="24"/>
                                <w:szCs w:val="24"/>
                                <w:lang w:val="en-US"/>
                              </w:rPr>
                            </w:pPr>
                            <w:r>
                              <w:rPr>
                                <w:rFonts w:hint="eastAsia" w:ascii="黑体" w:hAnsi="黑体" w:eastAsia="黑体" w:cs="宋体"/>
                                <w:bCs/>
                                <w:sz w:val="24"/>
                                <w:szCs w:val="24"/>
                                <w:lang w:val="en-US"/>
                              </w:rPr>
                              <w:t>专栏</w:t>
                            </w:r>
                            <w:r>
                              <w:rPr>
                                <w:rFonts w:hint="default" w:ascii="Times New Roman" w:hAnsi="Times New Roman" w:eastAsia="黑体" w:cs="Times New Roman"/>
                                <w:bCs/>
                                <w:sz w:val="24"/>
                                <w:szCs w:val="24"/>
                                <w:lang w:val="en-US"/>
                              </w:rPr>
                              <w:t>1</w:t>
                            </w:r>
                            <w:r>
                              <w:rPr>
                                <w:rFonts w:hint="default" w:ascii="Times New Roman" w:hAnsi="Times New Roman" w:eastAsia="黑体" w:cs="Times New Roman"/>
                                <w:bCs/>
                                <w:sz w:val="24"/>
                                <w:szCs w:val="24"/>
                                <w:lang w:val="en-US" w:eastAsia="zh-CN"/>
                              </w:rPr>
                              <w:t>2</w:t>
                            </w:r>
                            <w:r>
                              <w:rPr>
                                <w:rFonts w:hint="eastAsia" w:ascii="黑体" w:hAnsi="黑体" w:eastAsia="黑体" w:cs="宋体"/>
                                <w:bCs/>
                                <w:sz w:val="24"/>
                                <w:szCs w:val="24"/>
                                <w:lang w:val="en-US" w:eastAsia="zh-CN"/>
                              </w:rPr>
                              <w:t xml:space="preserve">                      </w:t>
                            </w:r>
                            <w:r>
                              <w:rPr>
                                <w:rFonts w:hint="eastAsia" w:ascii="黑体" w:hAnsi="黑体" w:eastAsia="黑体" w:cs="宋体"/>
                                <w:bCs/>
                                <w:sz w:val="24"/>
                                <w:szCs w:val="24"/>
                                <w:lang w:val="en-US"/>
                              </w:rPr>
                              <w:t xml:space="preserve"> 卫生重点项目</w:t>
                            </w:r>
                          </w:p>
                          <w:p w14:paraId="0EB920AA">
                            <w:pPr>
                              <w:pStyle w:val="5"/>
                              <w:ind w:left="0" w:firstLine="0" w:firstLineChars="0"/>
                              <w:rPr>
                                <w:rFonts w:hint="eastAsia" w:ascii="黑体" w:hAnsi="黑体" w:eastAsia="黑体" w:cs="宋体"/>
                                <w:bCs/>
                                <w:sz w:val="24"/>
                                <w:szCs w:val="24"/>
                                <w:lang w:val="en-US"/>
                              </w:rPr>
                            </w:pPr>
                          </w:p>
                          <w:p w14:paraId="73B29285">
                            <w:pPr>
                              <w:pStyle w:val="5"/>
                              <w:ind w:left="0" w:firstLine="480" w:firstLineChars="200"/>
                              <w:rPr>
                                <w:rFonts w:cs="宋体" w:asciiTheme="minorEastAsia" w:hAnsiTheme="minorEastAsia" w:eastAsiaTheme="minorEastAsia"/>
                                <w:bCs/>
                                <w:sz w:val="24"/>
                                <w:szCs w:val="24"/>
                                <w:lang w:val="en-US"/>
                              </w:rPr>
                            </w:pPr>
                            <w:r>
                              <w:rPr>
                                <w:rFonts w:cs="宋体" w:asciiTheme="minorEastAsia" w:hAnsiTheme="minorEastAsia" w:eastAsiaTheme="minorEastAsia"/>
                                <w:bCs/>
                                <w:sz w:val="24"/>
                                <w:szCs w:val="24"/>
                                <w:lang w:val="en-US"/>
                              </w:rPr>
                              <w:t>伊吾县人民医院传染病区及定点发热留观医院设备购置项目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伊吾县乡镇医疗设备配备及基础设施配套项目</w:t>
                            </w:r>
                            <w:r>
                              <w:rPr>
                                <w:rFonts w:hint="eastAsia" w:cs="宋体" w:asciiTheme="minorEastAsia" w:hAnsiTheme="minorEastAsia" w:eastAsiaTheme="minorEastAsia"/>
                                <w:bCs/>
                                <w:sz w:val="24"/>
                                <w:szCs w:val="24"/>
                                <w:lang w:val="en-US"/>
                              </w:rPr>
                              <w:t>；淖毛湖镇医院建设项目；淖毛湖镇托育服务中心建设项目；淖毛湖开发区社区卫生服务中心建设项目；伊吾县医养结合设备购置项目；伊吾县职业病康复体检中心项目；伊吾县急救设备购置项目；伊吾县人民医院传染病区设备购置与二次装修项目；伊吾县中医馆建设项目；伊吾县社区提升改造项目；伊吾县医疗废物集中处置项目；伊吾县医疗中心建设项目。</w:t>
                            </w:r>
                          </w:p>
                        </w:txbxContent>
                      </wps:txbx>
                      <wps:bodyPr wrap="none" upright="1">
                        <a:spAutoFit/>
                      </wps:bodyPr>
                    </wps:wsp>
                  </a:graphicData>
                </a:graphic>
              </wp:anchor>
            </w:drawing>
          </mc:Choice>
          <mc:Fallback>
            <w:pict>
              <v:shape id="文本框 2712" o:spid="_x0000_s1026" o:spt="202" type="#_x0000_t202" style="position:absolute;left:0pt;margin-left:-0.75pt;margin-top:22.5pt;height:117.15pt;width:416.05pt;mso-wrap-distance-bottom:0pt;mso-wrap-distance-left:9pt;mso-wrap-distance-right:9pt;mso-wrap-distance-top:0pt;mso-wrap-style:none;z-index:251668480;mso-width-relative:page;mso-height-relative:page;" fillcolor="#FFFFFF" filled="t" stroked="t" coordsize="21600,21600" o:gfxdata="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rl6PtsAAAAJAQAADwAAAAAAAAABACAAAAAiAAAAZHJzL2Rvd25yZXYueG1sUEsBAhQAFAAA&#10;AAgAh07iQER/yuMlAgAAbwQAAA4AAAAAAAAAAQAgAAAAKgEAAGRycy9lMm9Eb2MueG1sUEsFBgAA&#10;AAAGAAYAWQEAAMEFAAAAAA==&#10;">
                <v:fill on="t" focussize="0,0"/>
                <v:stroke color="#000000" joinstyle="miter"/>
                <v:imagedata o:title=""/>
                <o:lock v:ext="edit" aspectratio="f"/>
                <v:textbox style="mso-fit-shape-to-text:t;">
                  <w:txbxContent>
                    <w:p w14:paraId="638CF33C">
                      <w:pPr>
                        <w:pStyle w:val="5"/>
                        <w:ind w:left="0" w:firstLine="0" w:firstLineChars="0"/>
                        <w:rPr>
                          <w:rFonts w:hint="eastAsia" w:ascii="黑体" w:hAnsi="黑体" w:eastAsia="黑体" w:cs="宋体"/>
                          <w:bCs/>
                          <w:sz w:val="24"/>
                          <w:szCs w:val="24"/>
                          <w:lang w:val="en-US"/>
                        </w:rPr>
                      </w:pPr>
                      <w:r>
                        <w:rPr>
                          <w:rFonts w:hint="eastAsia" w:ascii="黑体" w:hAnsi="黑体" w:eastAsia="黑体" w:cs="宋体"/>
                          <w:bCs/>
                          <w:sz w:val="24"/>
                          <w:szCs w:val="24"/>
                          <w:lang w:val="en-US"/>
                        </w:rPr>
                        <w:t>专栏</w:t>
                      </w:r>
                      <w:r>
                        <w:rPr>
                          <w:rFonts w:hint="default" w:ascii="Times New Roman" w:hAnsi="Times New Roman" w:eastAsia="黑体" w:cs="Times New Roman"/>
                          <w:bCs/>
                          <w:sz w:val="24"/>
                          <w:szCs w:val="24"/>
                          <w:lang w:val="en-US"/>
                        </w:rPr>
                        <w:t>1</w:t>
                      </w:r>
                      <w:r>
                        <w:rPr>
                          <w:rFonts w:hint="default" w:ascii="Times New Roman" w:hAnsi="Times New Roman" w:eastAsia="黑体" w:cs="Times New Roman"/>
                          <w:bCs/>
                          <w:sz w:val="24"/>
                          <w:szCs w:val="24"/>
                          <w:lang w:val="en-US" w:eastAsia="zh-CN"/>
                        </w:rPr>
                        <w:t>2</w:t>
                      </w:r>
                      <w:r>
                        <w:rPr>
                          <w:rFonts w:hint="eastAsia" w:ascii="黑体" w:hAnsi="黑体" w:eastAsia="黑体" w:cs="宋体"/>
                          <w:bCs/>
                          <w:sz w:val="24"/>
                          <w:szCs w:val="24"/>
                          <w:lang w:val="en-US" w:eastAsia="zh-CN"/>
                        </w:rPr>
                        <w:t xml:space="preserve">                      </w:t>
                      </w:r>
                      <w:r>
                        <w:rPr>
                          <w:rFonts w:hint="eastAsia" w:ascii="黑体" w:hAnsi="黑体" w:eastAsia="黑体" w:cs="宋体"/>
                          <w:bCs/>
                          <w:sz w:val="24"/>
                          <w:szCs w:val="24"/>
                          <w:lang w:val="en-US"/>
                        </w:rPr>
                        <w:t xml:space="preserve"> 卫生重点项目</w:t>
                      </w:r>
                    </w:p>
                    <w:p w14:paraId="0EB920AA">
                      <w:pPr>
                        <w:pStyle w:val="5"/>
                        <w:ind w:left="0" w:firstLine="0" w:firstLineChars="0"/>
                        <w:rPr>
                          <w:rFonts w:hint="eastAsia" w:ascii="黑体" w:hAnsi="黑体" w:eastAsia="黑体" w:cs="宋体"/>
                          <w:bCs/>
                          <w:sz w:val="24"/>
                          <w:szCs w:val="24"/>
                          <w:lang w:val="en-US"/>
                        </w:rPr>
                      </w:pPr>
                    </w:p>
                    <w:p w14:paraId="73B29285">
                      <w:pPr>
                        <w:pStyle w:val="5"/>
                        <w:ind w:left="0" w:firstLine="480" w:firstLineChars="200"/>
                        <w:rPr>
                          <w:rFonts w:cs="宋体" w:asciiTheme="minorEastAsia" w:hAnsiTheme="minorEastAsia" w:eastAsiaTheme="minorEastAsia"/>
                          <w:bCs/>
                          <w:sz w:val="24"/>
                          <w:szCs w:val="24"/>
                          <w:lang w:val="en-US"/>
                        </w:rPr>
                      </w:pPr>
                      <w:r>
                        <w:rPr>
                          <w:rFonts w:cs="宋体" w:asciiTheme="minorEastAsia" w:hAnsiTheme="minorEastAsia" w:eastAsiaTheme="minorEastAsia"/>
                          <w:bCs/>
                          <w:sz w:val="24"/>
                          <w:szCs w:val="24"/>
                          <w:lang w:val="en-US"/>
                        </w:rPr>
                        <w:t>伊吾县人民医院传染病区及定点发热留观医院设备购置项目</w:t>
                      </w:r>
                      <w:r>
                        <w:rPr>
                          <w:rFonts w:hint="eastAsia" w:cs="宋体" w:asciiTheme="minorEastAsia" w:hAnsiTheme="minorEastAsia" w:eastAsiaTheme="minorEastAsia"/>
                          <w:bCs/>
                          <w:sz w:val="24"/>
                          <w:szCs w:val="24"/>
                          <w:lang w:val="en-US"/>
                        </w:rPr>
                        <w:t>；</w:t>
                      </w:r>
                      <w:r>
                        <w:rPr>
                          <w:rFonts w:cs="宋体" w:asciiTheme="minorEastAsia" w:hAnsiTheme="minorEastAsia" w:eastAsiaTheme="minorEastAsia"/>
                          <w:bCs/>
                          <w:sz w:val="24"/>
                          <w:szCs w:val="24"/>
                          <w:lang w:val="en-US"/>
                        </w:rPr>
                        <w:t>伊吾县乡镇医疗设备配备及基础设施配套项目</w:t>
                      </w:r>
                      <w:r>
                        <w:rPr>
                          <w:rFonts w:hint="eastAsia" w:cs="宋体" w:asciiTheme="minorEastAsia" w:hAnsiTheme="minorEastAsia" w:eastAsiaTheme="minorEastAsia"/>
                          <w:bCs/>
                          <w:sz w:val="24"/>
                          <w:szCs w:val="24"/>
                          <w:lang w:val="en-US"/>
                        </w:rPr>
                        <w:t>；淖毛湖镇医院建设项目；淖毛湖镇托育服务中心建设项目；淖毛湖开发区社区卫生服务中心建设项目；伊吾县医养结合设备购置项目；伊吾县职业病康复体检中心项目；伊吾县急救设备购置项目；伊吾县人民医院传染病区设备购置与二次装修项目；伊吾县中医馆建设项目；伊吾县社区提升改造项目；伊吾县医疗废物集中处置项目；伊吾县医疗中心建设项目。</w:t>
                      </w:r>
                    </w:p>
                  </w:txbxContent>
                </v:textbox>
                <w10:wrap type="square"/>
              </v:shape>
            </w:pict>
          </mc:Fallback>
        </mc:AlternateContent>
      </w:r>
      <w:bookmarkStart w:id="189" w:name="_Toc75285154"/>
      <w:r>
        <w:rPr>
          <w:rFonts w:ascii="Times New Roman" w:hAnsi="Times New Roman" w:eastAsia="方正楷体_GBK"/>
          <w:b w:val="0"/>
          <w:bCs w:val="0"/>
          <w:color w:val="000000"/>
          <w:kern w:val="0"/>
          <w:sz w:val="32"/>
        </w:rPr>
        <w:t>第四章  完善住房保障制度</w:t>
      </w:r>
      <w:bookmarkEnd w:id="189"/>
    </w:p>
    <w:p w14:paraId="185FC8B3">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坚持“房子是用来住的，不是用来炒的”的定位，加快完善住房市场和住房保障体系，基本建立多主体供给、多渠道保障、租购并举的住房制度。坚持因城施策，落实城市主体责任，促进房地产市场平稳健康发展。加快培育发展住房租赁市场，完善长租房政策，逐步使租购住房在享受公共服务上具有同等权利。完善土地出让收入分配机制，探索支持利用集体建设用地按照规划建设租赁住房。健全农房建设标准和管理制度，巩固提升农村安居和游牧民定居工程，探索建立农村低收入人口基本住房安全保障机制，加快补齐农村住房配套设施短板，提升农房建设质量。</w:t>
      </w:r>
    </w:p>
    <w:p w14:paraId="56A39FB8">
      <w:pPr>
        <w:pStyle w:val="2"/>
        <w:spacing w:line="560" w:lineRule="exact"/>
        <w:jc w:val="center"/>
        <w:rPr>
          <w:rFonts w:hint="default" w:ascii="Times New Roman" w:hAnsi="Times New Roman" w:eastAsia="方正楷体_GBK"/>
          <w:b w:val="0"/>
          <w:bCs w:val="0"/>
          <w:color w:val="000000"/>
          <w:kern w:val="0"/>
          <w:sz w:val="32"/>
          <w:lang w:val="en-US" w:eastAsia="zh-CN"/>
        </w:rPr>
      </w:pPr>
      <w:bookmarkStart w:id="190" w:name="_Toc75285155"/>
      <w:r>
        <w:rPr>
          <w:rFonts w:ascii="Times New Roman" w:hAnsi="Times New Roman" w:eastAsia="方正楷体_GBK"/>
          <w:b w:val="0"/>
          <w:bCs w:val="0"/>
          <w:color w:val="000000"/>
          <w:kern w:val="0"/>
          <w:sz w:val="32"/>
        </w:rPr>
        <w:t>第五章  健全完善社会保障</w:t>
      </w:r>
      <w:bookmarkEnd w:id="190"/>
      <w:r>
        <w:rPr>
          <w:rFonts w:hint="eastAsia" w:ascii="Times New Roman" w:hAnsi="Times New Roman" w:eastAsia="方正楷体_GBK"/>
          <w:b w:val="0"/>
          <w:bCs w:val="0"/>
          <w:color w:val="000000"/>
          <w:kern w:val="0"/>
          <w:sz w:val="32"/>
          <w:lang w:val="en-US" w:eastAsia="zh-CN"/>
        </w:rPr>
        <w:t>制度体系</w:t>
      </w:r>
    </w:p>
    <w:p w14:paraId="4BBF1A17">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按照兜底线、织密网、建机制的要求，健全覆盖全民、统筹城乡、公平统一、可持续的多层次社会保障体系。</w:t>
      </w:r>
    </w:p>
    <w:p w14:paraId="5D478BB4">
      <w:pPr>
        <w:pStyle w:val="5"/>
        <w:spacing w:line="580" w:lineRule="exact"/>
        <w:ind w:left="0" w:firstLine="643" w:firstLineChars="200"/>
        <w:rPr>
          <w:rFonts w:ascii="Times New Roman" w:hAnsi="Times New Roman" w:eastAsia="方正仿宋_GBK" w:cs="Times New Roman"/>
          <w:color w:val="000000"/>
          <w:kern w:val="2"/>
          <w:sz w:val="32"/>
          <w:szCs w:val="32"/>
          <w:lang w:val="en-US" w:eastAsia="zh-CN" w:bidi="ar-SA"/>
        </w:rPr>
      </w:pPr>
      <w:r>
        <w:rPr>
          <w:rFonts w:eastAsia="方正楷体_GBK"/>
          <w:b/>
          <w:bCs/>
          <w:color w:val="000000"/>
          <w:sz w:val="32"/>
          <w:szCs w:val="32"/>
          <w:lang w:val="en-US" w:bidi="ar-SA"/>
        </w:rPr>
        <w:t>完善社会保险制度。</w:t>
      </w:r>
      <w:r>
        <w:rPr>
          <w:rFonts w:ascii="Times New Roman" w:hAnsi="Times New Roman" w:eastAsia="方正仿宋_GBK" w:cs="Times New Roman"/>
          <w:color w:val="000000"/>
          <w:kern w:val="2"/>
          <w:sz w:val="32"/>
          <w:szCs w:val="32"/>
          <w:lang w:val="en-US" w:eastAsia="zh-CN" w:bidi="ar-SA"/>
        </w:rPr>
        <w:t>实施全民参保计划，将进城务工人员、灵活就业人员、新就业形态人员等群体纳入社会保障范畴。加快医保服务全覆盖，各乡镇、开发区建立医保所，建立县医保局、扶贫办、残联等关联行业部门信息化服务平台，让群众方便享受咨询、门诊购药、住院报销等各项医保便民服务。稳定提高失业、工伤、生育等保险保障水平。</w:t>
      </w:r>
    </w:p>
    <w:p w14:paraId="1594A1AC">
      <w:pPr>
        <w:pStyle w:val="5"/>
        <w:spacing w:line="580" w:lineRule="exact"/>
        <w:ind w:left="0" w:firstLine="643" w:firstLineChars="200"/>
        <w:rPr>
          <w:rFonts w:ascii="Times New Roman" w:hAnsi="Times New Roman" w:eastAsia="方正仿宋_GBK" w:cs="Times New Roman"/>
          <w:color w:val="000000"/>
          <w:kern w:val="2"/>
          <w:sz w:val="32"/>
          <w:szCs w:val="32"/>
          <w:lang w:val="en-US" w:eastAsia="zh-CN" w:bidi="ar-SA"/>
        </w:rPr>
      </w:pPr>
      <w:r>
        <w:rPr>
          <w:rFonts w:eastAsia="方正楷体_GBK"/>
          <w:b/>
          <w:bCs/>
          <w:color w:val="000000"/>
          <w:sz w:val="32"/>
          <w:szCs w:val="32"/>
          <w:lang w:val="en-US" w:bidi="ar-SA"/>
        </w:rPr>
        <w:t>提升社会福利水平。</w:t>
      </w:r>
      <w:r>
        <w:rPr>
          <w:rFonts w:ascii="Times New Roman" w:hAnsi="Times New Roman" w:eastAsia="方正仿宋_GBK" w:cs="Times New Roman"/>
          <w:color w:val="000000"/>
          <w:kern w:val="2"/>
          <w:sz w:val="32"/>
          <w:szCs w:val="32"/>
          <w:lang w:val="en-US" w:eastAsia="zh-CN" w:bidi="ar-SA"/>
        </w:rPr>
        <w:t>统筹社会救助、社会福利、慈善事业、优抚安置等资源，进一步完善各项社会救助制度，筑牢兜底保障底线，确保做到“应扶尽扶、应保尽保、应救尽救”。支持社会养老事业，积极引导社会资本进入养老服务业，培育医养结合、学习养老、旅居养老等新业态，多渠道增加优质养老供给，构建居家社区机构相协调、医养康养相结合的养老服务体系。“十四五”末，有意愿的农村“五保”老人全部实现集中供养。建立残疾人“两项补贴”动态调整机制，落实按比例安置等残疾人就业创业政策。优化儿童福利机构布局，推进“养治教康</w:t>
      </w:r>
      <w:r>
        <w:rPr>
          <w:rFonts w:hint="eastAsia" w:eastAsia="方正仿宋_GBK" w:cs="Times New Roman"/>
          <w:color w:val="000000"/>
          <w:kern w:val="2"/>
          <w:sz w:val="32"/>
          <w:szCs w:val="32"/>
          <w:lang w:val="en-US" w:eastAsia="zh-CN" w:bidi="ar-SA"/>
        </w:rPr>
        <w:t>社</w:t>
      </w:r>
      <w:r>
        <w:rPr>
          <w:rFonts w:ascii="Times New Roman" w:hAnsi="Times New Roman" w:eastAsia="方正仿宋_GBK" w:cs="Times New Roman"/>
          <w:color w:val="000000"/>
          <w:kern w:val="2"/>
          <w:sz w:val="32"/>
          <w:szCs w:val="32"/>
          <w:lang w:val="en-US" w:eastAsia="zh-CN" w:bidi="ar-SA"/>
        </w:rPr>
        <w:t>”一体化区域性养育机构建设，完善孤儿基本生活费补助标准增长机制，提升儿童福利保障水平。强化退役军人服务管理和保障，维护军人军属合法权益，继续推进“双拥”模范县创建。</w:t>
      </w:r>
    </w:p>
    <w:p w14:paraId="084892EF">
      <w:pPr>
        <w:pStyle w:val="5"/>
        <w:spacing w:line="580" w:lineRule="exact"/>
        <w:ind w:left="0" w:firstLine="643" w:firstLineChars="200"/>
        <w:rPr>
          <w:rFonts w:ascii="Times New Roman" w:hAnsi="Times New Roman" w:eastAsia="方正仿宋_GBK" w:cs="Times New Roman"/>
          <w:color w:val="000000"/>
          <w:kern w:val="2"/>
          <w:sz w:val="32"/>
          <w:szCs w:val="32"/>
          <w:lang w:val="en-US" w:eastAsia="zh-CN" w:bidi="ar-SA"/>
        </w:rPr>
      </w:pPr>
      <w:r>
        <w:rPr>
          <w:rFonts w:eastAsia="方正楷体_GBK"/>
          <w:b/>
          <w:bCs/>
          <w:color w:val="000000"/>
          <w:sz w:val="32"/>
          <w:szCs w:val="32"/>
          <w:lang w:val="en-US" w:bidi="ar-SA"/>
        </w:rPr>
        <w:t>完善社会救助体系。</w:t>
      </w:r>
      <w:r>
        <w:rPr>
          <w:rFonts w:ascii="Times New Roman" w:hAnsi="Times New Roman" w:eastAsia="方正仿宋_GBK" w:cs="Times New Roman"/>
          <w:color w:val="000000"/>
          <w:kern w:val="2"/>
          <w:sz w:val="32"/>
          <w:szCs w:val="32"/>
          <w:lang w:val="en-US" w:eastAsia="zh-CN" w:bidi="ar-SA"/>
        </w:rPr>
        <w:t>提升社会救助服务能力，建立源头治理和回归稳固机制。完善城乡低保动态调整机制，推动医疗、住房、教育等专项救助向低收入家庭和支出型贫困家庭延伸，研究建立城乡统筹的特困人员供养制度。探索建立特殊群体、特定疾病医药费豁免制度，减轻困难群众就医就诊后顾之忧。加大困难家庭学生帮扶力度，努力让每个孩子都能上得起学、上得好学、享有公平而有质量的教育。</w:t>
      </w:r>
    </w:p>
    <w:p w14:paraId="0E2586E4">
      <w:pPr>
        <w:pStyle w:val="2"/>
        <w:spacing w:line="560" w:lineRule="exact"/>
        <w:jc w:val="center"/>
        <w:rPr>
          <w:rFonts w:ascii="Times New Roman" w:hAnsi="Times New Roman" w:eastAsia="方正楷体_GBK"/>
          <w:b w:val="0"/>
          <w:bCs w:val="0"/>
          <w:color w:val="000000"/>
          <w:kern w:val="0"/>
          <w:sz w:val="32"/>
        </w:rPr>
      </w:pPr>
      <w:bookmarkStart w:id="191" w:name="_Toc75285156"/>
      <w:r>
        <w:rPr>
          <w:rFonts w:ascii="Times New Roman" w:hAnsi="Times New Roman" w:eastAsia="方正楷体_GBK"/>
          <w:b w:val="0"/>
          <w:bCs w:val="0"/>
          <w:color w:val="000000"/>
          <w:kern w:val="0"/>
          <w:sz w:val="32"/>
        </w:rPr>
        <w:t>第六章  健全完善公共安全体系</w:t>
      </w:r>
      <w:bookmarkEnd w:id="191"/>
    </w:p>
    <w:p w14:paraId="63C70B2E">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健全公共卫生服务体系，落实重大疫情等灾害预警及应急处置机制，从源头上防控重大公共卫生风险。强化食品药品、网络等安全监管，抓好流通销售质量，实施餐饮质量提升工程。严格落实安全生产责任制，加强道路交通、矿山、危险化学品、建筑施工、消防等重点行业领域安全生产监管执法，防止重特大事故发生。提升洪涝干旱、森林草原火灾、地震、气象灾害等自然灾害防御工程标准，推进自然灾害防御工程建设。强化消防站、市政消防水源、消防车通道等公共消防设施建设，提升智慧消防水平。加强应急管理体系和应急队伍建设，完善监测预警、应急处置、救援救助机制，提高防灾减灾抗灾救灾能力。</w:t>
      </w:r>
    </w:p>
    <w:p w14:paraId="0672DE0F">
      <w:pPr>
        <w:pStyle w:val="2"/>
        <w:spacing w:line="560" w:lineRule="exact"/>
        <w:jc w:val="center"/>
        <w:rPr>
          <w:rFonts w:ascii="Times New Roman" w:hAnsi="Times New Roman" w:eastAsia="方正楷体_GBK"/>
          <w:b w:val="0"/>
          <w:bCs w:val="0"/>
          <w:color w:val="000000"/>
          <w:kern w:val="0"/>
          <w:sz w:val="32"/>
        </w:rPr>
      </w:pPr>
      <w:r>
        <w:rPr>
          <w:sz w:val="32"/>
        </w:rPr>
        <mc:AlternateContent>
          <mc:Choice Requires="wps">
            <w:drawing>
              <wp:anchor distT="0" distB="0" distL="114300" distR="114300" simplePos="0" relativeHeight="251681792" behindDoc="0" locked="0" layoutInCell="1" allowOverlap="1">
                <wp:simplePos x="0" y="0"/>
                <wp:positionH relativeFrom="column">
                  <wp:posOffset>93345</wp:posOffset>
                </wp:positionH>
                <wp:positionV relativeFrom="paragraph">
                  <wp:posOffset>527050</wp:posOffset>
                </wp:positionV>
                <wp:extent cx="5554980" cy="0"/>
                <wp:effectExtent l="0" t="0" r="0" b="0"/>
                <wp:wrapNone/>
                <wp:docPr id="26" name="直接连接符 26"/>
                <wp:cNvGraphicFramePr/>
                <a:graphic xmlns:a="http://schemas.openxmlformats.org/drawingml/2006/main">
                  <a:graphicData uri="http://schemas.microsoft.com/office/word/2010/wordprocessingShape">
                    <wps:wsp>
                      <wps:cNvCnPr/>
                      <wps:spPr>
                        <a:xfrm>
                          <a:off x="1076960" y="3849370"/>
                          <a:ext cx="55549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35pt;margin-top:41.5pt;height:0pt;width:437.4pt;z-index:251681792;mso-width-relative:page;mso-height-relative:page;" filled="f" stroked="t" coordsize="21600,21600" o:gfxdata="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KZ4b01QAA&#10;AAgBAAAPAAAAAAAAAAEAIAAAACIAAABkcnMvZG93bnJldi54bWxQSwECFAAUAAAACACHTuJA3fQ/&#10;yOgBAACoAwAADgAAAAAAAAABACAAAAAkAQAAZHJzL2Uyb0RvYy54bWxQSwUGAAAAAAYABgBZAQAA&#10;fgUAAAAA&#10;">
                <v:fill on="f" focussize="0,0"/>
                <v:stroke color="#000000 [3213]" joinstyle="round"/>
                <v:imagedata o:title=""/>
                <o:lock v:ext="edit" aspectratio="f"/>
              </v:line>
            </w:pict>
          </mc:Fallback>
        </mc:AlternateContent>
      </w:r>
      <w:r>
        <w:rPr>
          <w:rFonts w:ascii="Times New Roman" w:hAnsi="Times New Roman" w:eastAsia="方正楷体_GBK"/>
          <w:b w:val="0"/>
          <w:bCs w:val="0"/>
          <w:color w:val="000000"/>
          <w:kern w:val="0"/>
          <w:sz w:val="32"/>
        </w:rPr>
        <mc:AlternateContent>
          <mc:Choice Requires="wps">
            <w:drawing>
              <wp:anchor distT="0" distB="0" distL="114300" distR="114300" simplePos="0" relativeHeight="251665408" behindDoc="0" locked="0" layoutInCell="1" allowOverlap="1">
                <wp:simplePos x="0" y="0"/>
                <wp:positionH relativeFrom="column">
                  <wp:posOffset>104775</wp:posOffset>
                </wp:positionH>
                <wp:positionV relativeFrom="paragraph">
                  <wp:posOffset>228600</wp:posOffset>
                </wp:positionV>
                <wp:extent cx="5283835" cy="695325"/>
                <wp:effectExtent l="5080" t="4445" r="6985" b="5080"/>
                <wp:wrapSquare wrapText="bothSides"/>
                <wp:docPr id="9" name="文本框 2713"/>
                <wp:cNvGraphicFramePr/>
                <a:graphic xmlns:a="http://schemas.openxmlformats.org/drawingml/2006/main">
                  <a:graphicData uri="http://schemas.microsoft.com/office/word/2010/wordprocessingShape">
                    <wps:wsp>
                      <wps:cNvSpPr txBox="1"/>
                      <wps:spPr>
                        <a:xfrm>
                          <a:off x="0" y="0"/>
                          <a:ext cx="5283835" cy="695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6A7EADF">
                            <w:pPr>
                              <w:pStyle w:val="5"/>
                              <w:ind w:left="0" w:firstLine="0" w:firstLineChars="0"/>
                              <w:rPr>
                                <w:rFonts w:hint="eastAsia" w:ascii="黑体" w:hAnsi="黑体" w:eastAsia="黑体" w:cs="宋体"/>
                                <w:bCs/>
                                <w:sz w:val="24"/>
                                <w:szCs w:val="24"/>
                                <w:lang w:val="en-US"/>
                              </w:rPr>
                            </w:pPr>
                            <w:r>
                              <w:rPr>
                                <w:rFonts w:hint="eastAsia" w:ascii="黑体" w:hAnsi="黑体" w:eastAsia="黑体" w:cs="宋体"/>
                                <w:bCs/>
                                <w:sz w:val="24"/>
                                <w:szCs w:val="24"/>
                                <w:lang w:val="en-US"/>
                              </w:rPr>
                              <w:t>专栏</w:t>
                            </w:r>
                            <w:r>
                              <w:rPr>
                                <w:rFonts w:hint="default" w:ascii="Times New Roman" w:hAnsi="Times New Roman" w:eastAsia="黑体" w:cs="Times New Roman"/>
                                <w:bCs/>
                                <w:sz w:val="24"/>
                                <w:szCs w:val="24"/>
                                <w:lang w:val="en-US"/>
                              </w:rPr>
                              <w:t>1</w:t>
                            </w:r>
                            <w:r>
                              <w:rPr>
                                <w:rFonts w:hint="default" w:ascii="Times New Roman" w:hAnsi="Times New Roman" w:eastAsia="黑体" w:cs="Times New Roman"/>
                                <w:bCs/>
                                <w:sz w:val="24"/>
                                <w:szCs w:val="24"/>
                                <w:lang w:val="en-US" w:eastAsia="zh-CN"/>
                              </w:rPr>
                              <w:t>3</w:t>
                            </w:r>
                            <w:r>
                              <w:rPr>
                                <w:rFonts w:hint="eastAsia" w:ascii="黑体" w:hAnsi="黑体" w:eastAsia="黑体" w:cs="宋体"/>
                                <w:bCs/>
                                <w:sz w:val="24"/>
                                <w:szCs w:val="24"/>
                                <w:lang w:val="en-US" w:eastAsia="zh-CN"/>
                              </w:rPr>
                              <w:t xml:space="preserve">                    </w:t>
                            </w:r>
                            <w:r>
                              <w:rPr>
                                <w:rFonts w:hint="eastAsia" w:ascii="黑体" w:hAnsi="黑体" w:eastAsia="黑体" w:cs="宋体"/>
                                <w:bCs/>
                                <w:sz w:val="24"/>
                                <w:szCs w:val="24"/>
                                <w:lang w:val="en-US"/>
                              </w:rPr>
                              <w:t xml:space="preserve"> 公共安全重点项目</w:t>
                            </w:r>
                          </w:p>
                          <w:p w14:paraId="1A640AA1">
                            <w:pPr>
                              <w:pStyle w:val="5"/>
                              <w:ind w:left="0" w:firstLine="0" w:firstLineChars="0"/>
                              <w:rPr>
                                <w:rFonts w:hint="eastAsia" w:ascii="黑体" w:hAnsi="黑体" w:eastAsia="黑体" w:cs="宋体"/>
                                <w:bCs/>
                                <w:sz w:val="24"/>
                                <w:szCs w:val="24"/>
                                <w:lang w:val="en-US"/>
                              </w:rPr>
                            </w:pPr>
                          </w:p>
                          <w:p w14:paraId="790A8617">
                            <w:pPr>
                              <w:pStyle w:val="5"/>
                              <w:ind w:left="0" w:firstLine="480" w:firstLineChars="200"/>
                              <w:rPr>
                                <w:rFonts w:cs="宋体" w:asciiTheme="minorEastAsia" w:hAnsiTheme="minorEastAsia" w:eastAsiaTheme="minorEastAsia"/>
                                <w:bCs/>
                                <w:sz w:val="24"/>
                                <w:szCs w:val="24"/>
                                <w:lang w:val="en-US"/>
                              </w:rPr>
                            </w:pPr>
                            <w:r>
                              <w:rPr>
                                <w:rFonts w:cs="宋体" w:asciiTheme="minorEastAsia" w:hAnsiTheme="minorEastAsia" w:eastAsiaTheme="minorEastAsia"/>
                                <w:bCs/>
                                <w:sz w:val="24"/>
                                <w:szCs w:val="24"/>
                                <w:lang w:val="en-US"/>
                              </w:rPr>
                              <w:t>伊吾县矿山救援体系建设项目</w:t>
                            </w:r>
                            <w:r>
                              <w:rPr>
                                <w:rFonts w:hint="eastAsia" w:cs="宋体" w:asciiTheme="minorEastAsia" w:hAnsiTheme="minorEastAsia" w:eastAsiaTheme="minorEastAsia"/>
                                <w:bCs/>
                                <w:sz w:val="24"/>
                                <w:szCs w:val="24"/>
                                <w:lang w:val="en-US"/>
                              </w:rPr>
                              <w:t>；伊吾县矿山救援能力建设项目；伊吾县应急物资储备库建设项目、伊吾县应急救援指挥中心。</w:t>
                            </w:r>
                          </w:p>
                        </w:txbxContent>
                      </wps:txbx>
                      <wps:bodyPr wrap="none" upright="1">
                        <a:spAutoFit/>
                      </wps:bodyPr>
                    </wps:wsp>
                  </a:graphicData>
                </a:graphic>
              </wp:anchor>
            </w:drawing>
          </mc:Choice>
          <mc:Fallback>
            <w:pict>
              <v:shape id="文本框 2713" o:spid="_x0000_s1026" o:spt="202" type="#_x0000_t202" style="position:absolute;left:0pt;margin-left:8.25pt;margin-top:18pt;height:54.75pt;width:416.05pt;mso-wrap-distance-bottom:0pt;mso-wrap-distance-left:9pt;mso-wrap-distance-right:9pt;mso-wrap-distance-top:0pt;mso-wrap-style:none;z-index:251665408;mso-width-relative:page;mso-height-relative:page;" fillcolor="#FFFFFF" filled="t" stroked="t" coordsize="21600,21600" o:gfxdata="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Q&#10;6blQ2AAAAAkBAAAPAAAAAAAAAAEAIAAAACIAAABkcnMvZG93bnJldi54bWxQSwECFAAUAAAACACH&#10;TuJAYnaGNiQCAABtBAAADgAAAAAAAAABACAAAAAnAQAAZHJzL2Uyb0RvYy54bWxQSwUGAAAAAAYA&#10;BgBZAQAAvQUAAAAA&#10;">
                <v:fill on="t" focussize="0,0"/>
                <v:stroke color="#000000" joinstyle="miter"/>
                <v:imagedata o:title=""/>
                <o:lock v:ext="edit" aspectratio="f"/>
                <v:textbox style="mso-fit-shape-to-text:t;">
                  <w:txbxContent>
                    <w:p w14:paraId="26A7EADF">
                      <w:pPr>
                        <w:pStyle w:val="5"/>
                        <w:ind w:left="0" w:firstLine="0" w:firstLineChars="0"/>
                        <w:rPr>
                          <w:rFonts w:hint="eastAsia" w:ascii="黑体" w:hAnsi="黑体" w:eastAsia="黑体" w:cs="宋体"/>
                          <w:bCs/>
                          <w:sz w:val="24"/>
                          <w:szCs w:val="24"/>
                          <w:lang w:val="en-US"/>
                        </w:rPr>
                      </w:pPr>
                      <w:r>
                        <w:rPr>
                          <w:rFonts w:hint="eastAsia" w:ascii="黑体" w:hAnsi="黑体" w:eastAsia="黑体" w:cs="宋体"/>
                          <w:bCs/>
                          <w:sz w:val="24"/>
                          <w:szCs w:val="24"/>
                          <w:lang w:val="en-US"/>
                        </w:rPr>
                        <w:t>专栏</w:t>
                      </w:r>
                      <w:r>
                        <w:rPr>
                          <w:rFonts w:hint="default" w:ascii="Times New Roman" w:hAnsi="Times New Roman" w:eastAsia="黑体" w:cs="Times New Roman"/>
                          <w:bCs/>
                          <w:sz w:val="24"/>
                          <w:szCs w:val="24"/>
                          <w:lang w:val="en-US"/>
                        </w:rPr>
                        <w:t>1</w:t>
                      </w:r>
                      <w:r>
                        <w:rPr>
                          <w:rFonts w:hint="default" w:ascii="Times New Roman" w:hAnsi="Times New Roman" w:eastAsia="黑体" w:cs="Times New Roman"/>
                          <w:bCs/>
                          <w:sz w:val="24"/>
                          <w:szCs w:val="24"/>
                          <w:lang w:val="en-US" w:eastAsia="zh-CN"/>
                        </w:rPr>
                        <w:t>3</w:t>
                      </w:r>
                      <w:r>
                        <w:rPr>
                          <w:rFonts w:hint="eastAsia" w:ascii="黑体" w:hAnsi="黑体" w:eastAsia="黑体" w:cs="宋体"/>
                          <w:bCs/>
                          <w:sz w:val="24"/>
                          <w:szCs w:val="24"/>
                          <w:lang w:val="en-US" w:eastAsia="zh-CN"/>
                        </w:rPr>
                        <w:t xml:space="preserve">                    </w:t>
                      </w:r>
                      <w:r>
                        <w:rPr>
                          <w:rFonts w:hint="eastAsia" w:ascii="黑体" w:hAnsi="黑体" w:eastAsia="黑体" w:cs="宋体"/>
                          <w:bCs/>
                          <w:sz w:val="24"/>
                          <w:szCs w:val="24"/>
                          <w:lang w:val="en-US"/>
                        </w:rPr>
                        <w:t xml:space="preserve"> 公共安全重点项目</w:t>
                      </w:r>
                    </w:p>
                    <w:p w14:paraId="1A640AA1">
                      <w:pPr>
                        <w:pStyle w:val="5"/>
                        <w:ind w:left="0" w:firstLine="0" w:firstLineChars="0"/>
                        <w:rPr>
                          <w:rFonts w:hint="eastAsia" w:ascii="黑体" w:hAnsi="黑体" w:eastAsia="黑体" w:cs="宋体"/>
                          <w:bCs/>
                          <w:sz w:val="24"/>
                          <w:szCs w:val="24"/>
                          <w:lang w:val="en-US"/>
                        </w:rPr>
                      </w:pPr>
                    </w:p>
                    <w:p w14:paraId="790A8617">
                      <w:pPr>
                        <w:pStyle w:val="5"/>
                        <w:ind w:left="0" w:firstLine="480" w:firstLineChars="200"/>
                        <w:rPr>
                          <w:rFonts w:cs="宋体" w:asciiTheme="minorEastAsia" w:hAnsiTheme="minorEastAsia" w:eastAsiaTheme="minorEastAsia"/>
                          <w:bCs/>
                          <w:sz w:val="24"/>
                          <w:szCs w:val="24"/>
                          <w:lang w:val="en-US"/>
                        </w:rPr>
                      </w:pPr>
                      <w:r>
                        <w:rPr>
                          <w:rFonts w:cs="宋体" w:asciiTheme="minorEastAsia" w:hAnsiTheme="minorEastAsia" w:eastAsiaTheme="minorEastAsia"/>
                          <w:bCs/>
                          <w:sz w:val="24"/>
                          <w:szCs w:val="24"/>
                          <w:lang w:val="en-US"/>
                        </w:rPr>
                        <w:t>伊吾县矿山救援体系建设项目</w:t>
                      </w:r>
                      <w:r>
                        <w:rPr>
                          <w:rFonts w:hint="eastAsia" w:cs="宋体" w:asciiTheme="minorEastAsia" w:hAnsiTheme="minorEastAsia" w:eastAsiaTheme="minorEastAsia"/>
                          <w:bCs/>
                          <w:sz w:val="24"/>
                          <w:szCs w:val="24"/>
                          <w:lang w:val="en-US"/>
                        </w:rPr>
                        <w:t>；伊吾县矿山救援能力建设项目；伊吾县应急物资储备库建设项目、伊吾县应急救援指挥中心。</w:t>
                      </w:r>
                    </w:p>
                  </w:txbxContent>
                </v:textbox>
                <w10:wrap type="square"/>
              </v:shape>
            </w:pict>
          </mc:Fallback>
        </mc:AlternateContent>
      </w:r>
      <w:bookmarkStart w:id="192" w:name="_Toc75285157"/>
      <w:r>
        <w:rPr>
          <w:rFonts w:ascii="Times New Roman" w:hAnsi="Times New Roman" w:eastAsia="方正楷体_GBK"/>
          <w:b w:val="0"/>
          <w:bCs w:val="0"/>
          <w:color w:val="000000"/>
          <w:kern w:val="0"/>
          <w:sz w:val="32"/>
        </w:rPr>
        <w:t>第七章  实施稳定惠民工程</w:t>
      </w:r>
      <w:bookmarkEnd w:id="192"/>
    </w:p>
    <w:p w14:paraId="77DB61FD">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坚持把维护社会稳定作为重大政治责任、作为各族群众幸福安康的最基本要求、作为最重要的民生工程，实施稳定惠民工程，在全社会充分释放稳定红利，让各族群众充分享受稳定红利。开展打击整治行动，依法严厉打击黑恶势力犯罪、涉枪涉爆犯罪和个人极端暴力犯罪等严重刑事犯罪，严厉打击电信网络诈骗、非法集资等多发性违法犯罪，保护各族群众生命和财产安全，营造安定有序的社会环境。</w:t>
      </w:r>
    </w:p>
    <w:p w14:paraId="2E15F8EA">
      <w:pPr>
        <w:pStyle w:val="3"/>
        <w:spacing w:line="560" w:lineRule="exact"/>
        <w:jc w:val="center"/>
        <w:rPr>
          <w:rFonts w:eastAsia="方正黑体_GBK"/>
          <w:b w:val="0"/>
          <w:bCs/>
          <w:color w:val="000000"/>
          <w:sz w:val="36"/>
          <w:szCs w:val="36"/>
        </w:rPr>
      </w:pPr>
      <w:bookmarkStart w:id="193" w:name="_Toc75285158"/>
      <w:r>
        <w:rPr>
          <w:rFonts w:eastAsia="方正黑体_GBK"/>
          <w:b w:val="0"/>
          <w:bCs/>
          <w:color w:val="000000"/>
          <w:sz w:val="36"/>
          <w:szCs w:val="36"/>
        </w:rPr>
        <w:t>第十四篇  推进伊吾社会治理体系和治理能力现代化 建设更高水平的平安伊吾</w:t>
      </w:r>
      <w:bookmarkEnd w:id="193"/>
    </w:p>
    <w:p w14:paraId="222A6CB7">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坚持总体国家安全观，加强系统治理、依法治理、综合治理、源头治理，提高社会治理和防范风险挑战的能力水平，保持社会大局持续稳定长期稳定，为经济社会发展营造良好环境。</w:t>
      </w:r>
    </w:p>
    <w:p w14:paraId="1106C719">
      <w:pPr>
        <w:pStyle w:val="2"/>
        <w:spacing w:line="560" w:lineRule="exact"/>
        <w:jc w:val="center"/>
        <w:rPr>
          <w:rFonts w:ascii="Times New Roman" w:hAnsi="Times New Roman" w:eastAsia="方正楷体_GBK"/>
          <w:b w:val="0"/>
          <w:bCs w:val="0"/>
          <w:color w:val="000000"/>
          <w:kern w:val="0"/>
          <w:sz w:val="32"/>
        </w:rPr>
      </w:pPr>
      <w:bookmarkStart w:id="194" w:name="_Toc75285159"/>
      <w:r>
        <w:rPr>
          <w:rFonts w:ascii="Times New Roman" w:hAnsi="Times New Roman" w:eastAsia="方正楷体_GBK"/>
          <w:b w:val="0"/>
          <w:bCs w:val="0"/>
          <w:color w:val="000000"/>
          <w:kern w:val="0"/>
          <w:sz w:val="32"/>
        </w:rPr>
        <w:t>第一章  加强法治伊吾建设</w:t>
      </w:r>
      <w:bookmarkEnd w:id="194"/>
    </w:p>
    <w:p w14:paraId="2C65C1E6">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高举社会主义</w:t>
      </w:r>
      <w:r>
        <w:rPr>
          <w:rFonts w:hint="eastAsia" w:eastAsia="方正仿宋_GBK" w:cs="Times New Roman"/>
          <w:color w:val="000000"/>
          <w:kern w:val="2"/>
          <w:sz w:val="32"/>
          <w:szCs w:val="32"/>
          <w:lang w:val="en-US" w:eastAsia="zh-CN" w:bidi="ar-SA"/>
        </w:rPr>
        <w:t>伟大</w:t>
      </w:r>
      <w:r>
        <w:rPr>
          <w:rFonts w:ascii="Times New Roman" w:hAnsi="Times New Roman" w:eastAsia="方正仿宋_GBK" w:cs="Times New Roman"/>
          <w:color w:val="000000"/>
          <w:kern w:val="2"/>
          <w:sz w:val="32"/>
          <w:szCs w:val="32"/>
          <w:lang w:val="en-US" w:eastAsia="zh-CN" w:bidi="ar-SA"/>
        </w:rPr>
        <w:t>旗帜，深入贯彻习近平法治思想，弘扬法治精神，把全面依法治国的要求落实到各个领域，加强</w:t>
      </w:r>
      <w:r>
        <w:rPr>
          <w:rFonts w:hint="eastAsia" w:eastAsia="方正仿宋_GBK" w:cs="Times New Roman"/>
          <w:color w:val="000000"/>
          <w:kern w:val="2"/>
          <w:sz w:val="32"/>
          <w:szCs w:val="32"/>
          <w:lang w:val="en-US" w:eastAsia="zh-CN" w:bidi="ar-SA"/>
        </w:rPr>
        <w:t>基层</w:t>
      </w:r>
      <w:r>
        <w:rPr>
          <w:rFonts w:ascii="Times New Roman" w:hAnsi="Times New Roman" w:eastAsia="方正仿宋_GBK" w:cs="Times New Roman"/>
          <w:color w:val="000000"/>
          <w:kern w:val="2"/>
          <w:sz w:val="32"/>
          <w:szCs w:val="32"/>
          <w:lang w:val="en-US" w:eastAsia="zh-CN" w:bidi="ar-SA"/>
        </w:rPr>
        <w:t>法治建设，扎实推进科学立法、严格执法、公正司法、全民守法，发挥法治固根本、稳预期、利长远的保障作用。坚持质量与效率并重，加强重点领域地方立法，统筹推进经济高质量发展、生态环保、保障民生等领域立法。提高依法行政水平，严格依照法定权限和程序行使职权、履行职责。严格规范公正文明执法，加强执法监督，提升执法司法质量、效率和公信力。深化法治宣传教育，全面开展“八五”普法工作，加强以宪法为核心、民法典为重点的法律体系宣传教育，营造办事依法、遇事找法、解决问题用法、化解矛盾靠法的良好法治氛围。</w:t>
      </w:r>
    </w:p>
    <w:p w14:paraId="742C8CE4">
      <w:pPr>
        <w:pStyle w:val="2"/>
        <w:spacing w:line="560" w:lineRule="exact"/>
        <w:jc w:val="center"/>
        <w:rPr>
          <w:rFonts w:ascii="Times New Roman" w:hAnsi="Times New Roman" w:eastAsia="方正楷体_GBK"/>
          <w:b w:val="0"/>
          <w:bCs w:val="0"/>
          <w:color w:val="000000"/>
          <w:kern w:val="0"/>
          <w:sz w:val="32"/>
        </w:rPr>
      </w:pPr>
      <w:bookmarkStart w:id="195" w:name="_Toc75285160"/>
      <w:r>
        <w:rPr>
          <w:rFonts w:ascii="Times New Roman" w:hAnsi="Times New Roman" w:eastAsia="方正楷体_GBK"/>
          <w:b w:val="0"/>
          <w:bCs w:val="0"/>
          <w:color w:val="000000"/>
          <w:kern w:val="0"/>
          <w:sz w:val="32"/>
        </w:rPr>
        <w:t>第</w:t>
      </w:r>
      <w:r>
        <w:rPr>
          <w:rFonts w:hint="eastAsia" w:ascii="Times New Roman" w:hAnsi="Times New Roman" w:eastAsia="方正楷体_GBK"/>
          <w:b w:val="0"/>
          <w:bCs w:val="0"/>
          <w:color w:val="000000"/>
          <w:kern w:val="0"/>
          <w:sz w:val="32"/>
        </w:rPr>
        <w:t>二</w:t>
      </w:r>
      <w:r>
        <w:rPr>
          <w:rFonts w:ascii="Times New Roman" w:hAnsi="Times New Roman" w:eastAsia="方正楷体_GBK"/>
          <w:b w:val="0"/>
          <w:bCs w:val="0"/>
          <w:color w:val="000000"/>
          <w:kern w:val="0"/>
          <w:sz w:val="32"/>
        </w:rPr>
        <w:t>章  加强和创新社会治理</w:t>
      </w:r>
      <w:bookmarkEnd w:id="195"/>
    </w:p>
    <w:p w14:paraId="3EC596A8">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完善县委领导、政府负责、民主协商、社会协同、公众参与、</w:t>
      </w:r>
      <w:r>
        <w:rPr>
          <w:rFonts w:hint="eastAsia" w:eastAsia="方正仿宋_GBK" w:cs="Times New Roman"/>
          <w:color w:val="000000"/>
          <w:kern w:val="2"/>
          <w:sz w:val="32"/>
          <w:szCs w:val="32"/>
          <w:lang w:val="en-US" w:eastAsia="zh-CN" w:bidi="ar-SA"/>
        </w:rPr>
        <w:t>法治</w:t>
      </w:r>
      <w:r>
        <w:rPr>
          <w:rFonts w:ascii="Times New Roman" w:hAnsi="Times New Roman" w:eastAsia="方正仿宋_GBK" w:cs="Times New Roman"/>
          <w:color w:val="000000"/>
          <w:kern w:val="2"/>
          <w:sz w:val="32"/>
          <w:szCs w:val="32"/>
          <w:lang w:val="en-US" w:eastAsia="zh-CN" w:bidi="ar-SA"/>
        </w:rPr>
        <w:t>保障、科技支撑的社会治理体系，构建共建共治共享的社会治理新格局。加强和创新县域社会治理，推进县域社会治理现代化。推动社会治理重心向基层下沉，加强城乡社区治理和服务体系建设，坚持并完善向村（社区）选派工作队和第一书记制度，加强基层社会治理队伍建设，引导和帮助基层组织提升社会治理能力水平，健全党组织领导的自治、法治、德治相结合的城乡基层治理体系。坚持和发展新时代“枫桥经验”，加强公共法律服务体系建设，构建源头防控、排查梳理、纠纷化解、依法处置的社会矛盾综合治理机制。充分发挥“两代表一委员”、人民团体、社会组织、专业社会工作人才、法律工作者、退役军人等优势，做好组织引导服务群众和维护群众权益工作。统筹发展和安全，加强经济、金融、粮食、能源、生态、重要基础设施等领域安全工作，健全维护国家安全工作体系。</w:t>
      </w:r>
    </w:p>
    <w:p w14:paraId="7F1A4191">
      <w:pPr>
        <w:pStyle w:val="3"/>
        <w:spacing w:line="560" w:lineRule="exact"/>
        <w:jc w:val="center"/>
        <w:rPr>
          <w:rFonts w:eastAsia="方正黑体_GBK"/>
          <w:b w:val="0"/>
          <w:bCs/>
          <w:color w:val="000000"/>
          <w:sz w:val="36"/>
          <w:szCs w:val="36"/>
        </w:rPr>
      </w:pPr>
      <w:bookmarkStart w:id="196" w:name="_Toc75285161"/>
      <w:r>
        <w:rPr>
          <w:rFonts w:eastAsia="方正黑体_GBK"/>
          <w:b w:val="0"/>
          <w:bCs/>
          <w:color w:val="000000"/>
          <w:sz w:val="36"/>
          <w:szCs w:val="36"/>
        </w:rPr>
        <w:t>第十五篇  深化对口援疆战略 提高援伊综合效益</w:t>
      </w:r>
      <w:bookmarkEnd w:id="196"/>
    </w:p>
    <w:p w14:paraId="68D3E472">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坚持全面援疆、精准援疆、长期援疆，坚持援疆重心向基层倾斜、向保障和改善民生倾斜、向促进各民族交往交流交融倾斜，把对口援疆工作打造成民族团结工程，发挥好对口援疆综合效益。</w:t>
      </w:r>
    </w:p>
    <w:p w14:paraId="48754C24">
      <w:pPr>
        <w:pStyle w:val="2"/>
        <w:spacing w:line="560" w:lineRule="exact"/>
        <w:jc w:val="center"/>
        <w:rPr>
          <w:rFonts w:ascii="Times New Roman" w:hAnsi="Times New Roman" w:eastAsia="方正楷体_GBK"/>
          <w:b w:val="0"/>
          <w:bCs w:val="0"/>
          <w:color w:val="000000"/>
          <w:kern w:val="0"/>
          <w:sz w:val="32"/>
        </w:rPr>
      </w:pPr>
      <w:bookmarkStart w:id="197" w:name="_Toc75285162"/>
      <w:r>
        <w:rPr>
          <w:rFonts w:ascii="Times New Roman" w:hAnsi="Times New Roman" w:eastAsia="方正楷体_GBK"/>
          <w:b w:val="0"/>
          <w:bCs w:val="0"/>
          <w:color w:val="000000"/>
          <w:kern w:val="0"/>
          <w:sz w:val="32"/>
        </w:rPr>
        <w:t>第一章  突出抓好干部人才援疆</w:t>
      </w:r>
      <w:bookmarkEnd w:id="197"/>
    </w:p>
    <w:p w14:paraId="49D3D590">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精准选派、科学使用援疆干部人才，把援疆干部人才安排在最合适、最能发挥才干的位置上，让他们任实职、分实工、担实责。发挥援疆干部人才桥梁纽带作用，搭建与援疆单位沟通合作平台。推进援疆干部人才传帮带工作，健全完善援</w:t>
      </w:r>
      <w:r>
        <w:rPr>
          <w:rFonts w:hint="eastAsia" w:eastAsia="方正仿宋_GBK" w:cs="Times New Roman"/>
          <w:color w:val="000000"/>
          <w:kern w:val="2"/>
          <w:sz w:val="32"/>
          <w:szCs w:val="32"/>
          <w:lang w:val="en-US" w:eastAsia="zh-CN" w:bidi="ar-SA"/>
        </w:rPr>
        <w:t>疆</w:t>
      </w:r>
      <w:r>
        <w:rPr>
          <w:rFonts w:ascii="Times New Roman" w:hAnsi="Times New Roman" w:eastAsia="方正仿宋_GBK" w:cs="Times New Roman"/>
          <w:color w:val="000000"/>
          <w:kern w:val="2"/>
          <w:sz w:val="32"/>
          <w:szCs w:val="32"/>
          <w:lang w:val="en-US" w:eastAsia="zh-CN" w:bidi="ar-SA"/>
        </w:rPr>
        <w:t>干部人才管理制度机制。加强对援疆干部人才的关心关爱，及时帮助他们解决遇到的实际困难和问题，对优秀援疆干部人才及时表彰奖励、提拔重用。</w:t>
      </w:r>
    </w:p>
    <w:p w14:paraId="3EBCCAEF">
      <w:pPr>
        <w:pStyle w:val="2"/>
        <w:spacing w:line="560" w:lineRule="exact"/>
        <w:jc w:val="center"/>
        <w:rPr>
          <w:rFonts w:ascii="Times New Roman" w:hAnsi="Times New Roman" w:eastAsia="方正楷体_GBK"/>
          <w:b w:val="0"/>
          <w:bCs w:val="0"/>
          <w:color w:val="000000"/>
          <w:kern w:val="0"/>
          <w:sz w:val="32"/>
        </w:rPr>
      </w:pPr>
      <w:bookmarkStart w:id="198" w:name="_Toc75285163"/>
      <w:r>
        <w:rPr>
          <w:rFonts w:ascii="Times New Roman" w:hAnsi="Times New Roman" w:eastAsia="方正楷体_GBK"/>
          <w:b w:val="0"/>
          <w:bCs w:val="0"/>
          <w:color w:val="000000"/>
          <w:kern w:val="0"/>
          <w:sz w:val="32"/>
        </w:rPr>
        <w:t>第二章  务实推进产业援疆</w:t>
      </w:r>
      <w:bookmarkEnd w:id="198"/>
    </w:p>
    <w:p w14:paraId="0DD7B5C9">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坚持把产业援疆作为增强自我发展能力的重要渠道，加大市场援疆力度，支持受援地现代煤化工、农产品深加工、先进制造业及现代服务业发展壮大。充分发挥河南省商会在内地各省市分会的招商引</w:t>
      </w:r>
      <w:r>
        <w:rPr>
          <w:rFonts w:hint="eastAsia" w:eastAsia="方正仿宋_GBK" w:cs="Times New Roman"/>
          <w:color w:val="000000"/>
          <w:kern w:val="2"/>
          <w:sz w:val="32"/>
          <w:szCs w:val="32"/>
          <w:lang w:val="en-US" w:eastAsia="zh-CN" w:bidi="ar-SA"/>
        </w:rPr>
        <w:t>资</w:t>
      </w:r>
      <w:r>
        <w:rPr>
          <w:rFonts w:ascii="Times New Roman" w:hAnsi="Times New Roman" w:eastAsia="方正仿宋_GBK" w:cs="Times New Roman"/>
          <w:color w:val="000000"/>
          <w:kern w:val="2"/>
          <w:sz w:val="32"/>
          <w:szCs w:val="32"/>
          <w:lang w:val="en-US" w:eastAsia="zh-CN" w:bidi="ar-SA"/>
        </w:rPr>
        <w:t>作用，积极搭建农产品外销平台，开展形式多样的营销活动，拓展特色农产品营销渠道，推动伊吾特色农产品进入河南省市场乃至其他内地市场。吸引河南省先进制造业企业到伊吾投资，支持河南援疆项目优先使用受援地劳动力。加大受援地在编制旅游规划、送客入疆、经营景区等旅游业支持力度。吸引河南省决策咨询、科技咨询、知识产权服务、资产评估等中介服务机构在伊吾设立分支机构，提升伊吾中介服务业水平。</w:t>
      </w:r>
    </w:p>
    <w:p w14:paraId="1344C117">
      <w:pPr>
        <w:pStyle w:val="2"/>
        <w:spacing w:line="560" w:lineRule="exact"/>
        <w:jc w:val="center"/>
        <w:rPr>
          <w:rFonts w:ascii="Times New Roman" w:hAnsi="Times New Roman" w:eastAsia="方正楷体_GBK"/>
          <w:b w:val="0"/>
          <w:bCs w:val="0"/>
          <w:color w:val="000000"/>
          <w:kern w:val="0"/>
          <w:sz w:val="32"/>
        </w:rPr>
      </w:pPr>
      <w:bookmarkStart w:id="199" w:name="_Toc75285164"/>
      <w:r>
        <w:rPr>
          <w:rFonts w:ascii="Times New Roman" w:hAnsi="Times New Roman" w:eastAsia="方正楷体_GBK"/>
          <w:b w:val="0"/>
          <w:bCs w:val="0"/>
          <w:color w:val="000000"/>
          <w:kern w:val="0"/>
          <w:sz w:val="32"/>
        </w:rPr>
        <w:t>第三章  持续保障和改善民生</w:t>
      </w:r>
      <w:bookmarkEnd w:id="199"/>
    </w:p>
    <w:p w14:paraId="58B9AD6D">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坚持把保障和改善民生放在突出优先位置，资金和项目更多向基层倾斜，支持乡村振兴，重点改善乡村群众生产生活条件，进一步加强和完善基本公共服务体系，改善人居环境。继续加大对村（社区）基层组织建设的支持力度，因地制宜发展壮大村级集体经济，解决群众最关心最直接最现实的利益问题。</w:t>
      </w:r>
    </w:p>
    <w:p w14:paraId="1AC5CE95">
      <w:pPr>
        <w:pStyle w:val="2"/>
        <w:spacing w:line="560" w:lineRule="exact"/>
        <w:jc w:val="center"/>
        <w:rPr>
          <w:rFonts w:ascii="Times New Roman" w:hAnsi="Times New Roman" w:eastAsia="方正楷体_GBK"/>
          <w:b w:val="0"/>
          <w:bCs w:val="0"/>
          <w:color w:val="000000"/>
          <w:kern w:val="0"/>
          <w:sz w:val="32"/>
        </w:rPr>
      </w:pPr>
      <w:bookmarkStart w:id="200" w:name="_Toc75285165"/>
      <w:r>
        <w:rPr>
          <w:rFonts w:ascii="Times New Roman" w:hAnsi="Times New Roman" w:eastAsia="方正楷体_GBK"/>
          <w:b w:val="0"/>
          <w:bCs w:val="0"/>
          <w:color w:val="000000"/>
          <w:kern w:val="0"/>
          <w:sz w:val="32"/>
        </w:rPr>
        <w:t>第四章  着力促进各民族交往交流交融</w:t>
      </w:r>
      <w:bookmarkEnd w:id="200"/>
    </w:p>
    <w:p w14:paraId="1230AC39">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充分发挥对口援疆的桥梁纽带作用，因地制宜推进结对子活动，推广“镇村结对”等典型经验做法，继续推进河南省百强村镇、明星村镇与伊吾县村镇结对子，对口行业部门结对子，学校、医院结对子，援疆干部人才与地方干部群众结对子，广泛参与“民族团结一家亲”和民族团结联谊活动，推动与河南省组织开展多层次、多形式的交往交流活动。坚持“请进来、走出去”相结合，鼓励河南省广大群众到新疆旅游、深化交流合作，促进新疆与河南群众增加了解、增进感情。</w:t>
      </w:r>
    </w:p>
    <w:p w14:paraId="010AFD28">
      <w:pPr>
        <w:pStyle w:val="2"/>
        <w:spacing w:line="560" w:lineRule="exact"/>
        <w:jc w:val="center"/>
        <w:rPr>
          <w:rFonts w:ascii="Times New Roman" w:hAnsi="Times New Roman" w:eastAsia="方正楷体_GBK"/>
          <w:b w:val="0"/>
          <w:bCs w:val="0"/>
          <w:color w:val="000000"/>
          <w:kern w:val="0"/>
          <w:sz w:val="32"/>
        </w:rPr>
      </w:pPr>
      <w:bookmarkStart w:id="201" w:name="_Toc75285166"/>
      <w:r>
        <w:rPr>
          <w:rFonts w:ascii="Times New Roman" w:hAnsi="Times New Roman" w:eastAsia="方正楷体_GBK"/>
          <w:b w:val="0"/>
          <w:bCs w:val="0"/>
          <w:color w:val="000000"/>
          <w:kern w:val="0"/>
          <w:sz w:val="32"/>
        </w:rPr>
        <w:t>第五章  扎实推进科技教育文化卫生援疆</w:t>
      </w:r>
      <w:bookmarkEnd w:id="201"/>
    </w:p>
    <w:p w14:paraId="110146E2">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深化科技对口援疆和创新合作，加强科技型企业、高等院校、科研院所交流，加强区域创新协调联动，拓展科技合作空间。推进教育“组团式”援伊，提高伊吾县教育教学质量，探索建立以促进就业和适应产业发展为导向的职业教育体系。推动与内地文化交流合作，深化文旅和体育援疆。巩固深化医疗人才“组团式”援疆成果，提升伊吾县医疗服务水平。</w:t>
      </w:r>
    </w:p>
    <w:p w14:paraId="793A4F01">
      <w:pPr>
        <w:pStyle w:val="3"/>
        <w:spacing w:line="560" w:lineRule="exact"/>
        <w:jc w:val="center"/>
        <w:rPr>
          <w:rFonts w:eastAsia="方正黑体_GBK"/>
          <w:bCs/>
          <w:color w:val="000000"/>
          <w:sz w:val="36"/>
          <w:szCs w:val="36"/>
        </w:rPr>
      </w:pPr>
      <w:bookmarkStart w:id="202" w:name="_Toc18319"/>
      <w:bookmarkStart w:id="203" w:name="_Toc75285167"/>
      <w:r>
        <w:rPr>
          <w:rFonts w:eastAsia="方正黑体_GBK"/>
          <w:b w:val="0"/>
          <w:bCs/>
          <w:color w:val="000000"/>
          <w:sz w:val="36"/>
          <w:szCs w:val="36"/>
        </w:rPr>
        <w:t xml:space="preserve">第十六篇 </w:t>
      </w:r>
      <w:bookmarkEnd w:id="202"/>
      <w:r>
        <w:rPr>
          <w:rFonts w:eastAsia="方正黑体_GBK"/>
          <w:b w:val="0"/>
          <w:bCs/>
          <w:color w:val="000000"/>
          <w:sz w:val="36"/>
          <w:szCs w:val="36"/>
        </w:rPr>
        <w:t>支持兵团深化改革 发挥兵团特殊作用</w:t>
      </w:r>
      <w:bookmarkEnd w:id="203"/>
    </w:p>
    <w:p w14:paraId="7C62D082">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牢固树立兵地“一盘棋”理念，坚持融合协调、包容共享，健全融合发展机制，与兵团淖毛湖农场建立战略规划实施协调机制和重大问题协商机制，探索完善融合发展方式，实现区域融合发展。深化与兵团淖毛湖农场在水利、交通、能源等基础设施领域合作，构建兵地基础设施、经济、社会、教育、文化等联合机制，谋划实施一批发挥兵地优势、符合双方需要、造福当地群众、发展前景广阔的兵地融合发展项目，构建兵地基础设施共建、经济发展共赢、社会服务共享、教育文化交流交融、生态文明共建的良好局面，打造自治区兵地融合发展示范区。</w:t>
      </w:r>
    </w:p>
    <w:p w14:paraId="754D29BC">
      <w:pPr>
        <w:pStyle w:val="3"/>
        <w:spacing w:line="560" w:lineRule="exact"/>
        <w:jc w:val="center"/>
        <w:rPr>
          <w:rFonts w:eastAsia="方正黑体_GBK"/>
          <w:bCs/>
          <w:color w:val="000000"/>
          <w:sz w:val="36"/>
          <w:szCs w:val="36"/>
        </w:rPr>
      </w:pPr>
      <w:bookmarkStart w:id="204" w:name="_Toc75285168"/>
      <w:r>
        <w:rPr>
          <w:rFonts w:eastAsia="方正黑体_GBK"/>
          <w:b w:val="0"/>
          <w:bCs/>
          <w:color w:val="000000"/>
          <w:sz w:val="36"/>
          <w:szCs w:val="36"/>
        </w:rPr>
        <w:t>第十七篇  加强党的领导 保证规划顺利实施</w:t>
      </w:r>
      <w:bookmarkEnd w:id="204"/>
    </w:p>
    <w:p w14:paraId="691D0002">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坚持和加强党的全面领导，充分发挥党委领导作用、广大干部示范带头作用、基层党组织战斗堡垒作用、党员先锋模范作用，充分调动一切积极因素、广泛团结一切可以团结的力量，凝聚起实现“十四五”规划的强大合力。</w:t>
      </w:r>
    </w:p>
    <w:p w14:paraId="235BF908">
      <w:pPr>
        <w:pStyle w:val="2"/>
        <w:spacing w:line="560" w:lineRule="exact"/>
        <w:jc w:val="center"/>
        <w:rPr>
          <w:rFonts w:ascii="Times New Roman" w:hAnsi="Times New Roman" w:eastAsia="方正楷体_GBK"/>
          <w:b w:val="0"/>
          <w:bCs w:val="0"/>
          <w:color w:val="000000"/>
          <w:kern w:val="0"/>
          <w:sz w:val="32"/>
        </w:rPr>
      </w:pPr>
      <w:bookmarkStart w:id="205" w:name="_Toc75285169"/>
      <w:r>
        <w:rPr>
          <w:rFonts w:ascii="Times New Roman" w:hAnsi="Times New Roman" w:eastAsia="方正楷体_GBK"/>
          <w:b w:val="0"/>
          <w:bCs w:val="0"/>
          <w:color w:val="000000"/>
          <w:kern w:val="0"/>
          <w:sz w:val="32"/>
        </w:rPr>
        <w:t>第一章  坚持和加强党的全面领导</w:t>
      </w:r>
      <w:bookmarkEnd w:id="205"/>
    </w:p>
    <w:p w14:paraId="65512034">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完善党领导经济社会发展的体制机制，增强“四个意识”，坚定“四个自信”，做到“两个维护”，在思想上政治上行动上同以习近平同志为核心的党中央保持高度一致。充分发挥党委总揽全局、协调各方作用，提高</w:t>
      </w:r>
      <w:r>
        <w:rPr>
          <w:rFonts w:hint="eastAsia" w:eastAsia="方正仿宋_GBK" w:cs="Times New Roman"/>
          <w:color w:val="000000"/>
          <w:kern w:val="2"/>
          <w:sz w:val="32"/>
          <w:szCs w:val="32"/>
          <w:lang w:val="en-US" w:eastAsia="zh-CN" w:bidi="ar-SA"/>
        </w:rPr>
        <w:t>党</w:t>
      </w:r>
      <w:bookmarkStart w:id="208" w:name="_GoBack"/>
      <w:bookmarkEnd w:id="208"/>
      <w:r>
        <w:rPr>
          <w:rFonts w:ascii="Times New Roman" w:hAnsi="Times New Roman" w:eastAsia="方正仿宋_GBK" w:cs="Times New Roman"/>
          <w:color w:val="000000"/>
          <w:kern w:val="2"/>
          <w:sz w:val="32"/>
          <w:szCs w:val="32"/>
          <w:lang w:val="en-US" w:eastAsia="zh-CN" w:bidi="ar-SA"/>
        </w:rPr>
        <w:t>把方向、谋大局、定政策、促改革能力，推动各级党组织和党员干部深入学习贯彻习近平新时代中国特色社会主义思想，学习贯彻新时代党的治疆方略，牢牢扭住社会稳定和长治久安总目标，完善上下贯通、执行有力的组织体系，着力加强党的基层组织建设，确保党中央决策部署有效落实。落实全面从严治党主体责任、监督责任，提高党的建设质量。</w:t>
      </w:r>
    </w:p>
    <w:p w14:paraId="4F332B7A">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全面贯彻新时代党的组织路线，坚持好干部标准和民族地区干部政治标准，加强各级领导班子和干部队伍建设，加大培养培训力度，着力建设忠诚干净担当的高素质专业化干部队伍。加强对干部的关心关爱，树立正确用人导向，落实有为有位、能上能下用人机制和精准考核、奖惩分明激励约束机制，激励干部人才大胆工作、担当作为。完善人才工作体系，培养造就大批德才兼备的高素质人才。坚持不懈强化理想信念教育，开展党史学习教育，不断提高政治判断力、政治领悟力、政治执行力，全面推行“党旗映天山”主题党日，大力弘扬民族精神和时代精神，认真践行胡杨精神和兵团精神，激励广大干部人才大力发扬孺子牛、拓荒牛、老黄牛精神，在新时代扎根边疆、奉献边疆。深入开展党性党风党纪教育，建立健全巩固深化“不忘初心、牢记使命”主题教育成果长效机制，以开展党史学习教育为契机，锲而不舍落实中央八项规定精神，持续纠治形式主义、官僚主义，切实为基层减负。坚持把严的主基调长期坚持下去，不断增强自我净化、自我完善、自我革新、自我提高能力。完善监督体系、强化政治监督，强化对公权力运行的制约和监督。坚持一手抓反分裂斗争、一手抓党风廉政建设和反腐败斗争，坚持无禁区、全覆盖、零容忍，一体推进不敢腐、不能腐、不想腐体制机制，巩固发展维护反分裂斗争纪律重要阶段性成果和反腐败斗争压倒性胜利，营造风清气正的良好政治生态。</w:t>
      </w:r>
    </w:p>
    <w:p w14:paraId="3634C89D">
      <w:pPr>
        <w:pStyle w:val="2"/>
        <w:spacing w:line="560" w:lineRule="exact"/>
        <w:jc w:val="center"/>
        <w:rPr>
          <w:rFonts w:ascii="Times New Roman" w:hAnsi="Times New Roman" w:eastAsia="方正楷体_GBK"/>
          <w:b w:val="0"/>
          <w:bCs w:val="0"/>
          <w:color w:val="000000"/>
          <w:kern w:val="0"/>
          <w:sz w:val="32"/>
        </w:rPr>
      </w:pPr>
      <w:bookmarkStart w:id="206" w:name="_Toc75285170"/>
      <w:r>
        <w:rPr>
          <w:rFonts w:ascii="Times New Roman" w:hAnsi="Times New Roman" w:eastAsia="方正楷体_GBK"/>
          <w:b w:val="0"/>
          <w:bCs w:val="0"/>
          <w:color w:val="000000"/>
          <w:kern w:val="0"/>
          <w:sz w:val="32"/>
        </w:rPr>
        <w:t>第二章  推进社会主义政治建设</w:t>
      </w:r>
      <w:bookmarkEnd w:id="206"/>
    </w:p>
    <w:p w14:paraId="16F706A2">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坚持党的领导、人民当家作主、依法治国有机统一，在党的领导下坚定不移发展社会主义民主政治。坚持和完善人民代表大会制度，加强人大对“一府一委两院”的监督，保障各族群众依法通过各种途径和形式管理国家事务、管理经济文化事业、管理社会事务。坚持中国共产党领导的多党合作和政治协商制度，加强人民政协专门协商机构建设，发挥社会主义协商民主独特优势，提高建言资政和凝聚共识水平。健全基层群众自治制度，增强群众自我管理、自我服务、自我教育、自我监督实效。发挥工会、共青团、妇联等人民团体作用，把各自联系的群众紧紧凝聚在党的周围。完善大统战工作格局，促进政党关系、民族关系、宗教关系、阶层关系、海内外同胞关系和谐，巩固和发展大团结大联合局面。</w:t>
      </w:r>
    </w:p>
    <w:p w14:paraId="46E20630">
      <w:pPr>
        <w:pStyle w:val="2"/>
        <w:spacing w:line="560" w:lineRule="exact"/>
        <w:jc w:val="center"/>
        <w:rPr>
          <w:rFonts w:ascii="Times New Roman" w:hAnsi="Times New Roman" w:eastAsia="方正楷体_GBK"/>
          <w:b w:val="0"/>
          <w:bCs w:val="0"/>
          <w:color w:val="000000"/>
          <w:kern w:val="0"/>
          <w:sz w:val="32"/>
        </w:rPr>
      </w:pPr>
      <w:bookmarkStart w:id="207" w:name="_Toc75285171"/>
      <w:r>
        <w:rPr>
          <w:rFonts w:ascii="Times New Roman" w:hAnsi="Times New Roman" w:eastAsia="方正楷体_GBK"/>
          <w:b w:val="0"/>
          <w:bCs w:val="0"/>
          <w:color w:val="000000"/>
          <w:kern w:val="0"/>
          <w:sz w:val="32"/>
        </w:rPr>
        <w:t>第三章  健全规划制定和落实机制</w:t>
      </w:r>
      <w:bookmarkEnd w:id="207"/>
    </w:p>
    <w:p w14:paraId="505FE2E4">
      <w:pPr>
        <w:pStyle w:val="5"/>
        <w:spacing w:line="580" w:lineRule="exact"/>
        <w:ind w:left="0"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各部门落实本规划纲要提出的发展思路、主要目标、重点任务和重大举措，制定专项规划、区域规划、国土空间规划，形成定位准确、边界清晰、功能互补、统一衔接的伊吾县规划体系。加强县年度计划与本规划纲要的衔接，按年度分解和落实规划纲要提出的目标任务。落实规划目标分工负责制，加强规划实施监督评估，县发展改革委牵头会同有关部门要及时跟踪规划实施情况。在本规划纲要实施的中期阶段，由伊吾县人民政府组织开展评估，并将中期评估报告提请伊吾县人民代表大会常务委员会审议。规划经中期评估需要调整的，伊吾县人民政府将调整方案提请伊吾县人民代表大会常务委员会审查和批准。</w:t>
      </w:r>
    </w:p>
    <w:sectPr>
      <w:footerReference r:id="rId5" w:type="default"/>
      <w:pgSz w:w="11850" w:h="16838"/>
      <w:pgMar w:top="2098" w:right="1531" w:bottom="1984" w:left="153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32B2AC-230D-4744-B19E-EC538DA62F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2000000000000000000"/>
    <w:charset w:val="86"/>
    <w:family w:val="script"/>
    <w:pitch w:val="default"/>
    <w:sig w:usb0="A00002BF" w:usb1="38CF7CFA" w:usb2="00082016" w:usb3="00000000" w:csb0="00040001" w:csb1="00000000"/>
    <w:embedRegular r:id="rId2" w:fontKey="{11482811-3C97-4F4F-AFE2-4FD9FC79EF07}"/>
  </w:font>
  <w:font w:name="楷体_GB2312">
    <w:altName w:val="楷体"/>
    <w:panose1 w:val="02010609030101010101"/>
    <w:charset w:val="86"/>
    <w:family w:val="auto"/>
    <w:pitch w:val="default"/>
    <w:sig w:usb0="00000000" w:usb1="00000000" w:usb2="00000000" w:usb3="00000000" w:csb0="00040000" w:csb1="00000000"/>
    <w:embedRegular r:id="rId3" w:fontKey="{FD1FDFE4-5CBA-48A4-878F-E3951253ADE4}"/>
  </w:font>
  <w:font w:name="仿宋_GB2312">
    <w:panose1 w:val="02010609030101010101"/>
    <w:charset w:val="86"/>
    <w:family w:val="auto"/>
    <w:pitch w:val="default"/>
    <w:sig w:usb0="00000001" w:usb1="080E0000" w:usb2="00000000" w:usb3="00000000" w:csb0="00040000" w:csb1="00000000"/>
    <w:embedRegular r:id="rId4" w:fontKey="{63B5A725-3044-4926-A350-087084F38DFC}"/>
  </w:font>
  <w:font w:name="仿宋">
    <w:panose1 w:val="02010609060101010101"/>
    <w:charset w:val="86"/>
    <w:family w:val="auto"/>
    <w:pitch w:val="default"/>
    <w:sig w:usb0="800002BF" w:usb1="38CF7CFA" w:usb2="00000016" w:usb3="00000000" w:csb0="00040001" w:csb1="00000000"/>
    <w:embedRegular r:id="rId5" w:fontKey="{4E064E50-06AD-43BF-B186-B20359E62C70}"/>
  </w:font>
  <w:font w:name="方正黑体_GBK">
    <w:panose1 w:val="02000000000000000000"/>
    <w:charset w:val="86"/>
    <w:family w:val="auto"/>
    <w:pitch w:val="default"/>
    <w:sig w:usb0="A00002BF" w:usb1="38CF7CFA" w:usb2="00082016" w:usb3="00000000" w:csb0="00040001" w:csb1="00000000"/>
    <w:embedRegular r:id="rId6" w:fontKey="{DC6694BB-A28F-4B87-90C8-A35C7D9F3DFD}"/>
  </w:font>
  <w:font w:name="方正楷体_GBK">
    <w:panose1 w:val="02000000000000000000"/>
    <w:charset w:val="86"/>
    <w:family w:val="script"/>
    <w:pitch w:val="default"/>
    <w:sig w:usb0="A00002BF" w:usb1="38CF7CFA" w:usb2="00082016" w:usb3="00000000" w:csb0="00040001" w:csb1="00000000"/>
    <w:embedRegular r:id="rId7" w:fontKey="{DC39D9C2-B559-44B6-8844-24EE17EFBA25}"/>
  </w:font>
  <w:font w:name="方正仿宋_GBK">
    <w:panose1 w:val="02000000000000000000"/>
    <w:charset w:val="86"/>
    <w:family w:val="script"/>
    <w:pitch w:val="default"/>
    <w:sig w:usb0="A00002BF" w:usb1="38CF7CFA" w:usb2="00082016" w:usb3="00000000" w:csb0="00040001" w:csb1="00000000"/>
    <w:embedRegular r:id="rId8" w:fontKey="{8EAD815F-22B8-47C5-8378-B4FE08293B5A}"/>
  </w:font>
  <w:font w:name="东文宋体">
    <w:altName w:val="宋体"/>
    <w:panose1 w:val="00000000000000000000"/>
    <w:charset w:val="00"/>
    <w:family w:val="auto"/>
    <w:pitch w:val="default"/>
    <w:sig w:usb0="00000000" w:usb1="00000000" w:usb2="00000000" w:usb3="00000000" w:csb0="00040001" w:csb1="00000000"/>
    <w:embedRegular r:id="rId9" w:fontKey="{215F51C6-3832-42D3-8251-BAF90CBA9A0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7CE30">
    <w:pPr>
      <w:pStyle w:val="9"/>
      <w:tabs>
        <w:tab w:val="left" w:pos="3356"/>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6B865">
    <w:pPr>
      <w:pStyle w:val="9"/>
      <w:tabs>
        <w:tab w:val="left" w:pos="3356"/>
        <w:tab w:val="clear" w:pos="4153"/>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F2283">
                          <w:pPr>
                            <w:pStyle w:val="9"/>
                            <w:jc w:val="center"/>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- 3 -</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9BF2283">
                    <w:pPr>
                      <w:pStyle w:val="9"/>
                      <w:jc w:val="center"/>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- 3 -</w:t>
                    </w:r>
                    <w:r>
                      <w:rPr>
                        <w:rFonts w:hint="default" w:ascii="Times New Roman" w:hAnsi="Times New Roman" w:cs="Times New Roman"/>
                        <w:sz w:val="28"/>
                        <w:szCs w:val="28"/>
                        <w:lang w:eastAsia="zh-CN"/>
                      </w:rP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8421E">
    <w:pPr>
      <w:pStyle w:val="9"/>
      <w:tabs>
        <w:tab w:val="left" w:pos="3356"/>
        <w:tab w:val="clear" w:pos="4153"/>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D34092E">
                          <w:pPr>
                            <w:pStyle w:val="9"/>
                          </w:pPr>
                          <w:r>
                            <w:rPr>
                              <w:rFonts w:hint="default" w:ascii="Times New Roman" w:hAnsi="Times New Roman" w:cs="Times New Roman" w:eastAsiaTheme="minorEastAsia"/>
                              <w:sz w:val="18"/>
                              <w:szCs w:val="18"/>
                            </w:rPr>
                            <w:fldChar w:fldCharType="begin"/>
                          </w:r>
                          <w:r>
                            <w:rPr>
                              <w:rFonts w:hint="default" w:ascii="Times New Roman" w:hAnsi="Times New Roman" w:cs="Times New Roman" w:eastAsiaTheme="minorEastAsia"/>
                              <w:sz w:val="18"/>
                              <w:szCs w:val="18"/>
                            </w:rPr>
                            <w:instrText xml:space="preserve"> PAGE  \* MERGEFORMAT </w:instrText>
                          </w:r>
                          <w:r>
                            <w:rPr>
                              <w:rFonts w:hint="default" w:ascii="Times New Roman" w:hAnsi="Times New Roman" w:cs="Times New Roman" w:eastAsiaTheme="minorEastAsia"/>
                              <w:sz w:val="18"/>
                              <w:szCs w:val="18"/>
                            </w:rPr>
                            <w:fldChar w:fldCharType="separate"/>
                          </w:r>
                          <w:r>
                            <w:rPr>
                              <w:rFonts w:hint="default" w:ascii="Times New Roman" w:hAnsi="Times New Roman" w:cs="Times New Roman" w:eastAsiaTheme="minorEastAsia"/>
                              <w:sz w:val="18"/>
                              <w:szCs w:val="18"/>
                            </w:rPr>
                            <w:t>- 86 -</w:t>
                          </w:r>
                          <w:r>
                            <w:rPr>
                              <w:rFonts w:hint="default" w:ascii="Times New Roman" w:hAnsi="Times New Roman" w:cs="Times New Roman" w:eastAsiaTheme="minorEastAsia"/>
                              <w:sz w:val="18"/>
                              <w:szCs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JGiYzc0BAACoAwAADgAAAAAAAAABACAAAAAeAQAAZHJzL2Uy&#10;b0RvYy54bWxQSwUGAAAAAAYABgBZAQAAXQUAAAAA&#10;">
              <v:fill on="f" focussize="0,0"/>
              <v:stroke on="f"/>
              <v:imagedata o:title=""/>
              <o:lock v:ext="edit" aspectratio="f"/>
              <v:textbox inset="0mm,0mm,0mm,0mm" style="mso-fit-shape-to-text:t;">
                <w:txbxContent>
                  <w:p w14:paraId="7D34092E">
                    <w:pPr>
                      <w:pStyle w:val="9"/>
                    </w:pPr>
                    <w:r>
                      <w:rPr>
                        <w:rFonts w:hint="default" w:ascii="Times New Roman" w:hAnsi="Times New Roman" w:cs="Times New Roman" w:eastAsiaTheme="minorEastAsia"/>
                        <w:sz w:val="18"/>
                        <w:szCs w:val="18"/>
                      </w:rPr>
                      <w:fldChar w:fldCharType="begin"/>
                    </w:r>
                    <w:r>
                      <w:rPr>
                        <w:rFonts w:hint="default" w:ascii="Times New Roman" w:hAnsi="Times New Roman" w:cs="Times New Roman" w:eastAsiaTheme="minorEastAsia"/>
                        <w:sz w:val="18"/>
                        <w:szCs w:val="18"/>
                      </w:rPr>
                      <w:instrText xml:space="preserve"> PAGE  \* MERGEFORMAT </w:instrText>
                    </w:r>
                    <w:r>
                      <w:rPr>
                        <w:rFonts w:hint="default" w:ascii="Times New Roman" w:hAnsi="Times New Roman" w:cs="Times New Roman" w:eastAsiaTheme="minorEastAsia"/>
                        <w:sz w:val="18"/>
                        <w:szCs w:val="18"/>
                      </w:rPr>
                      <w:fldChar w:fldCharType="separate"/>
                    </w:r>
                    <w:r>
                      <w:rPr>
                        <w:rFonts w:hint="default" w:ascii="Times New Roman" w:hAnsi="Times New Roman" w:cs="Times New Roman" w:eastAsiaTheme="minorEastAsia"/>
                        <w:sz w:val="18"/>
                        <w:szCs w:val="18"/>
                      </w:rPr>
                      <w:t>- 86 -</w:t>
                    </w:r>
                    <w:r>
                      <w:rPr>
                        <w:rFonts w:hint="default" w:ascii="Times New Roman" w:hAnsi="Times New Roman" w:cs="Times New Roman" w:eastAsiaTheme="minorEastAsia"/>
                        <w:sz w:val="18"/>
                        <w:szCs w:val="18"/>
                      </w:rP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A63F1"/>
    <w:rsid w:val="00000F74"/>
    <w:rsid w:val="000240AB"/>
    <w:rsid w:val="0002647C"/>
    <w:rsid w:val="000574D6"/>
    <w:rsid w:val="00092108"/>
    <w:rsid w:val="000A1455"/>
    <w:rsid w:val="000A151E"/>
    <w:rsid w:val="000A2475"/>
    <w:rsid w:val="000D0B33"/>
    <w:rsid w:val="00101469"/>
    <w:rsid w:val="00116159"/>
    <w:rsid w:val="00144712"/>
    <w:rsid w:val="001A2848"/>
    <w:rsid w:val="001D22CF"/>
    <w:rsid w:val="001D565D"/>
    <w:rsid w:val="002334F3"/>
    <w:rsid w:val="002379D8"/>
    <w:rsid w:val="00253EE0"/>
    <w:rsid w:val="0026042A"/>
    <w:rsid w:val="0026666B"/>
    <w:rsid w:val="002707CF"/>
    <w:rsid w:val="00270AB0"/>
    <w:rsid w:val="002872B4"/>
    <w:rsid w:val="002A4571"/>
    <w:rsid w:val="002D14CB"/>
    <w:rsid w:val="002E2076"/>
    <w:rsid w:val="003264FA"/>
    <w:rsid w:val="00330B97"/>
    <w:rsid w:val="00330E19"/>
    <w:rsid w:val="003923A9"/>
    <w:rsid w:val="003B1AA6"/>
    <w:rsid w:val="003B6EDB"/>
    <w:rsid w:val="003C53CE"/>
    <w:rsid w:val="003D475E"/>
    <w:rsid w:val="003E04BC"/>
    <w:rsid w:val="00402A59"/>
    <w:rsid w:val="00405682"/>
    <w:rsid w:val="00464629"/>
    <w:rsid w:val="00467EAC"/>
    <w:rsid w:val="00475429"/>
    <w:rsid w:val="004A689B"/>
    <w:rsid w:val="005C0BF7"/>
    <w:rsid w:val="005E4845"/>
    <w:rsid w:val="00613926"/>
    <w:rsid w:val="006143FC"/>
    <w:rsid w:val="006863E6"/>
    <w:rsid w:val="0069189B"/>
    <w:rsid w:val="006A17DE"/>
    <w:rsid w:val="006B474A"/>
    <w:rsid w:val="006F5CAF"/>
    <w:rsid w:val="0070237B"/>
    <w:rsid w:val="00717672"/>
    <w:rsid w:val="007239C5"/>
    <w:rsid w:val="00743C7D"/>
    <w:rsid w:val="007C0B10"/>
    <w:rsid w:val="007C3592"/>
    <w:rsid w:val="007E61C5"/>
    <w:rsid w:val="008015CC"/>
    <w:rsid w:val="00815EB3"/>
    <w:rsid w:val="008204D3"/>
    <w:rsid w:val="008208D3"/>
    <w:rsid w:val="00827E75"/>
    <w:rsid w:val="008325E0"/>
    <w:rsid w:val="00875EF5"/>
    <w:rsid w:val="00883D2C"/>
    <w:rsid w:val="008B4288"/>
    <w:rsid w:val="008D064E"/>
    <w:rsid w:val="008D538C"/>
    <w:rsid w:val="008D692D"/>
    <w:rsid w:val="00910B80"/>
    <w:rsid w:val="009567FB"/>
    <w:rsid w:val="00985422"/>
    <w:rsid w:val="009930CE"/>
    <w:rsid w:val="009C1465"/>
    <w:rsid w:val="009D718B"/>
    <w:rsid w:val="009E0B5F"/>
    <w:rsid w:val="009F18B2"/>
    <w:rsid w:val="00A717B7"/>
    <w:rsid w:val="00A768A8"/>
    <w:rsid w:val="00A87AD2"/>
    <w:rsid w:val="00A918B8"/>
    <w:rsid w:val="00AA3513"/>
    <w:rsid w:val="00AA56C2"/>
    <w:rsid w:val="00AC0160"/>
    <w:rsid w:val="00B177CA"/>
    <w:rsid w:val="00B23995"/>
    <w:rsid w:val="00B32D5D"/>
    <w:rsid w:val="00B7296F"/>
    <w:rsid w:val="00B737CD"/>
    <w:rsid w:val="00B9680F"/>
    <w:rsid w:val="00B97AEE"/>
    <w:rsid w:val="00BD1315"/>
    <w:rsid w:val="00BF56C9"/>
    <w:rsid w:val="00C061A1"/>
    <w:rsid w:val="00C455EF"/>
    <w:rsid w:val="00C66805"/>
    <w:rsid w:val="00C669E9"/>
    <w:rsid w:val="00C8677C"/>
    <w:rsid w:val="00CA680F"/>
    <w:rsid w:val="00D12DDC"/>
    <w:rsid w:val="00D269AF"/>
    <w:rsid w:val="00D4199F"/>
    <w:rsid w:val="00D506CB"/>
    <w:rsid w:val="00D8278C"/>
    <w:rsid w:val="00D93611"/>
    <w:rsid w:val="00DF199F"/>
    <w:rsid w:val="00DF51EB"/>
    <w:rsid w:val="00E021BB"/>
    <w:rsid w:val="00E46B4C"/>
    <w:rsid w:val="00E957F3"/>
    <w:rsid w:val="00EA112B"/>
    <w:rsid w:val="00ED1D2B"/>
    <w:rsid w:val="00EE2E7F"/>
    <w:rsid w:val="00EE4574"/>
    <w:rsid w:val="00EF2869"/>
    <w:rsid w:val="00EF3870"/>
    <w:rsid w:val="00EF4D5E"/>
    <w:rsid w:val="00F10527"/>
    <w:rsid w:val="00F247FE"/>
    <w:rsid w:val="00F5293B"/>
    <w:rsid w:val="00F57687"/>
    <w:rsid w:val="00F7758A"/>
    <w:rsid w:val="00F911D2"/>
    <w:rsid w:val="00FC6CF1"/>
    <w:rsid w:val="00FF4FB8"/>
    <w:rsid w:val="012165CF"/>
    <w:rsid w:val="03B87758"/>
    <w:rsid w:val="04F95927"/>
    <w:rsid w:val="054B5C15"/>
    <w:rsid w:val="05CD152E"/>
    <w:rsid w:val="06461D93"/>
    <w:rsid w:val="08310812"/>
    <w:rsid w:val="0B6574C0"/>
    <w:rsid w:val="0D630F02"/>
    <w:rsid w:val="0FB76C9D"/>
    <w:rsid w:val="10C76D3F"/>
    <w:rsid w:val="128B587A"/>
    <w:rsid w:val="129B27B5"/>
    <w:rsid w:val="12A565B0"/>
    <w:rsid w:val="14C77285"/>
    <w:rsid w:val="15DF47AA"/>
    <w:rsid w:val="16A61872"/>
    <w:rsid w:val="171F0F1C"/>
    <w:rsid w:val="18BA63F1"/>
    <w:rsid w:val="1BBFB055"/>
    <w:rsid w:val="1BFD582A"/>
    <w:rsid w:val="1C9A535E"/>
    <w:rsid w:val="1DDF75EE"/>
    <w:rsid w:val="1DF9212F"/>
    <w:rsid w:val="1EFC9FD3"/>
    <w:rsid w:val="1EFCC19A"/>
    <w:rsid w:val="1F12316A"/>
    <w:rsid w:val="1F461886"/>
    <w:rsid w:val="1F78586E"/>
    <w:rsid w:val="1F912D4E"/>
    <w:rsid w:val="204B67C0"/>
    <w:rsid w:val="208E69E2"/>
    <w:rsid w:val="20C908C1"/>
    <w:rsid w:val="21846506"/>
    <w:rsid w:val="238F04F9"/>
    <w:rsid w:val="25C56204"/>
    <w:rsid w:val="26FDDB23"/>
    <w:rsid w:val="282D2795"/>
    <w:rsid w:val="284670EE"/>
    <w:rsid w:val="289D09DB"/>
    <w:rsid w:val="28C01C47"/>
    <w:rsid w:val="296125E9"/>
    <w:rsid w:val="297FBB94"/>
    <w:rsid w:val="2B486D79"/>
    <w:rsid w:val="2DDBFF57"/>
    <w:rsid w:val="2E256DFB"/>
    <w:rsid w:val="2F57037E"/>
    <w:rsid w:val="2FA6325F"/>
    <w:rsid w:val="2FBA9AC5"/>
    <w:rsid w:val="307E53A5"/>
    <w:rsid w:val="346953ED"/>
    <w:rsid w:val="36A409E4"/>
    <w:rsid w:val="36F65077"/>
    <w:rsid w:val="38DA238F"/>
    <w:rsid w:val="39FB4330"/>
    <w:rsid w:val="3AADB301"/>
    <w:rsid w:val="3B7051B6"/>
    <w:rsid w:val="3C0529A9"/>
    <w:rsid w:val="3C9F5614"/>
    <w:rsid w:val="3D2A12B9"/>
    <w:rsid w:val="3D676EB0"/>
    <w:rsid w:val="3DFF2FBF"/>
    <w:rsid w:val="3E3F36D3"/>
    <w:rsid w:val="3E565F38"/>
    <w:rsid w:val="3EBB3B1C"/>
    <w:rsid w:val="3EDB570B"/>
    <w:rsid w:val="3F321EFE"/>
    <w:rsid w:val="3FB10CAB"/>
    <w:rsid w:val="3FB736EF"/>
    <w:rsid w:val="3FEA78BB"/>
    <w:rsid w:val="3FEB2A89"/>
    <w:rsid w:val="3FEE7344"/>
    <w:rsid w:val="3FEF6C44"/>
    <w:rsid w:val="421532FB"/>
    <w:rsid w:val="432A01AC"/>
    <w:rsid w:val="4387546F"/>
    <w:rsid w:val="44CC6046"/>
    <w:rsid w:val="45BF1A5D"/>
    <w:rsid w:val="464F0CAA"/>
    <w:rsid w:val="46B5E14F"/>
    <w:rsid w:val="477FA120"/>
    <w:rsid w:val="47D006F7"/>
    <w:rsid w:val="4A626474"/>
    <w:rsid w:val="4A9F2CD1"/>
    <w:rsid w:val="4BEB2795"/>
    <w:rsid w:val="4BFB7D01"/>
    <w:rsid w:val="4BFF2868"/>
    <w:rsid w:val="4F7EA0F4"/>
    <w:rsid w:val="4F9470A6"/>
    <w:rsid w:val="4FFBE6E9"/>
    <w:rsid w:val="4FFE44EA"/>
    <w:rsid w:val="4FFF6841"/>
    <w:rsid w:val="5147293F"/>
    <w:rsid w:val="51944AD6"/>
    <w:rsid w:val="52A81818"/>
    <w:rsid w:val="532C41BE"/>
    <w:rsid w:val="536D64A7"/>
    <w:rsid w:val="5588370B"/>
    <w:rsid w:val="558D3B71"/>
    <w:rsid w:val="559F1561"/>
    <w:rsid w:val="55EFB718"/>
    <w:rsid w:val="577FC198"/>
    <w:rsid w:val="579BB93A"/>
    <w:rsid w:val="57EF1806"/>
    <w:rsid w:val="5839D660"/>
    <w:rsid w:val="58B26B84"/>
    <w:rsid w:val="58FA4F48"/>
    <w:rsid w:val="58FF0E39"/>
    <w:rsid w:val="59271254"/>
    <w:rsid w:val="5B036719"/>
    <w:rsid w:val="5BB7AE5C"/>
    <w:rsid w:val="5CA664CE"/>
    <w:rsid w:val="5DFB925E"/>
    <w:rsid w:val="5FAAECE1"/>
    <w:rsid w:val="5FDBA0E7"/>
    <w:rsid w:val="5FDFBB20"/>
    <w:rsid w:val="5FFEDBE9"/>
    <w:rsid w:val="604638DA"/>
    <w:rsid w:val="60BFEAF0"/>
    <w:rsid w:val="62B303E3"/>
    <w:rsid w:val="635DF18A"/>
    <w:rsid w:val="636FDE3C"/>
    <w:rsid w:val="63FDD048"/>
    <w:rsid w:val="64614120"/>
    <w:rsid w:val="66A66F71"/>
    <w:rsid w:val="675BF93B"/>
    <w:rsid w:val="67CC190F"/>
    <w:rsid w:val="67DD6E2B"/>
    <w:rsid w:val="67FDDF95"/>
    <w:rsid w:val="68F558AC"/>
    <w:rsid w:val="6912146F"/>
    <w:rsid w:val="6AFFD968"/>
    <w:rsid w:val="6C2F2BB2"/>
    <w:rsid w:val="6CDE71F4"/>
    <w:rsid w:val="6D9FB2D9"/>
    <w:rsid w:val="6E396CF9"/>
    <w:rsid w:val="6EA7D7E7"/>
    <w:rsid w:val="6EBD446A"/>
    <w:rsid w:val="6EF52541"/>
    <w:rsid w:val="6F2F545B"/>
    <w:rsid w:val="6F3F9454"/>
    <w:rsid w:val="6F4D46AF"/>
    <w:rsid w:val="6F5FAFD6"/>
    <w:rsid w:val="6F7F5F66"/>
    <w:rsid w:val="6FCCF76A"/>
    <w:rsid w:val="6FF39DFC"/>
    <w:rsid w:val="6FFF10C3"/>
    <w:rsid w:val="70456AFE"/>
    <w:rsid w:val="70A1420D"/>
    <w:rsid w:val="72EE6E72"/>
    <w:rsid w:val="73FEE092"/>
    <w:rsid w:val="74B77DB5"/>
    <w:rsid w:val="74EAE951"/>
    <w:rsid w:val="75D10A45"/>
    <w:rsid w:val="75FCF172"/>
    <w:rsid w:val="77210E8E"/>
    <w:rsid w:val="779F7EFD"/>
    <w:rsid w:val="77BC2DEF"/>
    <w:rsid w:val="77EDCD46"/>
    <w:rsid w:val="77FE6D3C"/>
    <w:rsid w:val="78CF23EA"/>
    <w:rsid w:val="793333E7"/>
    <w:rsid w:val="793F4D36"/>
    <w:rsid w:val="79FC5930"/>
    <w:rsid w:val="79FF9710"/>
    <w:rsid w:val="7A901530"/>
    <w:rsid w:val="7AB41ECF"/>
    <w:rsid w:val="7B07119A"/>
    <w:rsid w:val="7B2D738D"/>
    <w:rsid w:val="7B4F8EE6"/>
    <w:rsid w:val="7BAF3B3E"/>
    <w:rsid w:val="7C6A3CCE"/>
    <w:rsid w:val="7CF688E9"/>
    <w:rsid w:val="7D6B56F7"/>
    <w:rsid w:val="7D77E096"/>
    <w:rsid w:val="7DBDACB3"/>
    <w:rsid w:val="7DDF3598"/>
    <w:rsid w:val="7DF78F5D"/>
    <w:rsid w:val="7E7F0C11"/>
    <w:rsid w:val="7EC32F80"/>
    <w:rsid w:val="7EDD53B2"/>
    <w:rsid w:val="7EEA0659"/>
    <w:rsid w:val="7EED5B9A"/>
    <w:rsid w:val="7EF8ABAD"/>
    <w:rsid w:val="7EFB41AA"/>
    <w:rsid w:val="7EFD4983"/>
    <w:rsid w:val="7F17758B"/>
    <w:rsid w:val="7F4D1829"/>
    <w:rsid w:val="7F562C2B"/>
    <w:rsid w:val="7F63B439"/>
    <w:rsid w:val="7F6F8AEB"/>
    <w:rsid w:val="7F7F868C"/>
    <w:rsid w:val="7FB7070D"/>
    <w:rsid w:val="7FC3341C"/>
    <w:rsid w:val="7FDB03D7"/>
    <w:rsid w:val="7FEC1ADB"/>
    <w:rsid w:val="7FEED203"/>
    <w:rsid w:val="7FEFCF79"/>
    <w:rsid w:val="7FF67AA6"/>
    <w:rsid w:val="7FFBD176"/>
    <w:rsid w:val="7FFEC7FA"/>
    <w:rsid w:val="7FFF34FF"/>
    <w:rsid w:val="7FFFE454"/>
    <w:rsid w:val="8DBE2AF3"/>
    <w:rsid w:val="9B9B0E01"/>
    <w:rsid w:val="9BEFAE99"/>
    <w:rsid w:val="9F776D0A"/>
    <w:rsid w:val="9F7C2F7B"/>
    <w:rsid w:val="9FAF62DE"/>
    <w:rsid w:val="9FCF13D3"/>
    <w:rsid w:val="9FEAD351"/>
    <w:rsid w:val="A7F68152"/>
    <w:rsid w:val="AEEF6092"/>
    <w:rsid w:val="AF7F56DD"/>
    <w:rsid w:val="AFFFBFC2"/>
    <w:rsid w:val="B237AEEE"/>
    <w:rsid w:val="B37F86EE"/>
    <w:rsid w:val="B3F47A7B"/>
    <w:rsid w:val="B4D56A9D"/>
    <w:rsid w:val="B6E1D272"/>
    <w:rsid w:val="B766FEB2"/>
    <w:rsid w:val="B7DCD9F2"/>
    <w:rsid w:val="BB46D99B"/>
    <w:rsid w:val="BBFFB3E8"/>
    <w:rsid w:val="BD6F4225"/>
    <w:rsid w:val="BDB59A44"/>
    <w:rsid w:val="BE093DC3"/>
    <w:rsid w:val="BF5FCAF7"/>
    <w:rsid w:val="BF5FD126"/>
    <w:rsid w:val="BF6F3B9F"/>
    <w:rsid w:val="BF7C7BAC"/>
    <w:rsid w:val="BFDB4297"/>
    <w:rsid w:val="BFF18B72"/>
    <w:rsid w:val="BFFCEFBB"/>
    <w:rsid w:val="BFFEC69B"/>
    <w:rsid w:val="CF7DCF2E"/>
    <w:rsid w:val="CFFFE310"/>
    <w:rsid w:val="D6B5C6D9"/>
    <w:rsid w:val="D6EE60AF"/>
    <w:rsid w:val="D736B35F"/>
    <w:rsid w:val="D7FE5E86"/>
    <w:rsid w:val="DA7A3AEF"/>
    <w:rsid w:val="DAF1393D"/>
    <w:rsid w:val="DBFE4754"/>
    <w:rsid w:val="DC5EA3AE"/>
    <w:rsid w:val="DC7E3C60"/>
    <w:rsid w:val="DCDA6831"/>
    <w:rsid w:val="DDADFAE1"/>
    <w:rsid w:val="DDF763DD"/>
    <w:rsid w:val="DEBD61EA"/>
    <w:rsid w:val="DF5532E9"/>
    <w:rsid w:val="DF6FDD6B"/>
    <w:rsid w:val="DFCF7D0D"/>
    <w:rsid w:val="DFD8BD1A"/>
    <w:rsid w:val="DFEFDD14"/>
    <w:rsid w:val="DFFEE545"/>
    <w:rsid w:val="E7F7BF43"/>
    <w:rsid w:val="E7FEAEC7"/>
    <w:rsid w:val="EB5F9BE4"/>
    <w:rsid w:val="EBFB995F"/>
    <w:rsid w:val="EEE38BD6"/>
    <w:rsid w:val="EF7E4656"/>
    <w:rsid w:val="EF9527BE"/>
    <w:rsid w:val="EFEB2357"/>
    <w:rsid w:val="F3789E69"/>
    <w:rsid w:val="F3CE3647"/>
    <w:rsid w:val="F52B1B90"/>
    <w:rsid w:val="F557F0E6"/>
    <w:rsid w:val="F5D52ACA"/>
    <w:rsid w:val="F6939E7B"/>
    <w:rsid w:val="F6EB7C68"/>
    <w:rsid w:val="F716A2D7"/>
    <w:rsid w:val="F74FFE01"/>
    <w:rsid w:val="F9DF8925"/>
    <w:rsid w:val="FACD14CA"/>
    <w:rsid w:val="FB6B1529"/>
    <w:rsid w:val="FB7782FC"/>
    <w:rsid w:val="FBD9FF69"/>
    <w:rsid w:val="FBDB3C21"/>
    <w:rsid w:val="FBE5A3F9"/>
    <w:rsid w:val="FBECB45A"/>
    <w:rsid w:val="FD7D773B"/>
    <w:rsid w:val="FE5D2F35"/>
    <w:rsid w:val="FE6D8855"/>
    <w:rsid w:val="FEBFCB37"/>
    <w:rsid w:val="FEC7CF35"/>
    <w:rsid w:val="FED7F6F1"/>
    <w:rsid w:val="FF7D926B"/>
    <w:rsid w:val="FF7F298D"/>
    <w:rsid w:val="FFEBCCAF"/>
    <w:rsid w:val="FFED7665"/>
    <w:rsid w:val="FFEEA1CD"/>
    <w:rsid w:val="FFEF4FFF"/>
    <w:rsid w:val="FFEF9784"/>
    <w:rsid w:val="FFFB4EBA"/>
    <w:rsid w:val="FFFB4F3D"/>
    <w:rsid w:val="FFFC1912"/>
    <w:rsid w:val="FFFE9795"/>
    <w:rsid w:val="FFFF9A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1"/>
    <w:qFormat/>
    <w:uiPriority w:val="9"/>
    <w:pPr>
      <w:keepNext/>
      <w:keepLines/>
      <w:spacing w:before="340" w:after="330" w:line="576" w:lineRule="auto"/>
      <w:outlineLvl w:val="0"/>
    </w:pPr>
    <w:rPr>
      <w:rFonts w:ascii="Times New Roman" w:hAnsi="Times New Roman"/>
      <w:b/>
      <w:kern w:val="44"/>
      <w:sz w:val="44"/>
      <w:szCs w:val="20"/>
    </w:rPr>
  </w:style>
  <w:style w:type="paragraph" w:styleId="2">
    <w:name w:val="heading 2"/>
    <w:basedOn w:val="1"/>
    <w:next w:val="1"/>
    <w:qFormat/>
    <w:uiPriority w:val="9"/>
    <w:pPr>
      <w:keepNext/>
      <w:keepLines/>
      <w:spacing w:before="260" w:after="260" w:line="416" w:lineRule="auto"/>
      <w:outlineLvl w:val="1"/>
    </w:pPr>
    <w:rPr>
      <w:rFonts w:ascii="Cambria" w:hAnsi="Cambria"/>
      <w:b/>
      <w:bCs/>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20"/>
    <w:qFormat/>
    <w:uiPriority w:val="1"/>
    <w:pPr>
      <w:ind w:left="923"/>
    </w:pPr>
    <w:rPr>
      <w:rFonts w:ascii="Arial Unicode MS" w:hAnsi="Arial Unicode MS" w:eastAsia="Arial Unicode MS" w:cs="Arial Unicode MS"/>
      <w:sz w:val="30"/>
      <w:szCs w:val="30"/>
      <w:lang w:val="zh-CN" w:bidi="zh-CN"/>
    </w:rPr>
  </w:style>
  <w:style w:type="paragraph" w:styleId="5">
    <w:name w:val="Body Text First Indent"/>
    <w:basedOn w:val="4"/>
    <w:link w:val="19"/>
    <w:qFormat/>
    <w:uiPriority w:val="0"/>
    <w:pPr>
      <w:ind w:firstLine="420" w:firstLineChars="100"/>
    </w:pPr>
    <w:rPr>
      <w:rFonts w:ascii="Times New Roman" w:hAnsi="Times New Roman" w:eastAsia="宋体" w:cs="Times New Roman"/>
    </w:rPr>
  </w:style>
  <w:style w:type="paragraph" w:styleId="6">
    <w:name w:val="Body Text Indent"/>
    <w:basedOn w:val="1"/>
    <w:next w:val="4"/>
    <w:link w:val="22"/>
    <w:qFormat/>
    <w:uiPriority w:val="0"/>
    <w:pPr>
      <w:spacing w:after="120"/>
      <w:ind w:left="420" w:leftChars="200"/>
    </w:pPr>
  </w:style>
  <w:style w:type="paragraph" w:styleId="7">
    <w:name w:val="Block Text"/>
    <w:basedOn w:val="1"/>
    <w:unhideWhenUsed/>
    <w:qFormat/>
    <w:uiPriority w:val="99"/>
  </w:style>
  <w:style w:type="paragraph" w:styleId="8">
    <w:name w:val="toc 3"/>
    <w:basedOn w:val="1"/>
    <w:next w:val="1"/>
    <w:qFormat/>
    <w:uiPriority w:val="39"/>
    <w:pPr>
      <w:ind w:left="840" w:leftChars="400"/>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Title"/>
    <w:basedOn w:val="1"/>
    <w:next w:val="1"/>
    <w:qFormat/>
    <w:uiPriority w:val="10"/>
    <w:pPr>
      <w:jc w:val="center"/>
      <w:outlineLvl w:val="0"/>
    </w:pPr>
    <w:rPr>
      <w:rFonts w:ascii="Cambria" w:hAnsi="Cambria" w:eastAsia="黑体"/>
      <w:b/>
      <w:bCs/>
      <w:szCs w:val="32"/>
    </w:rPr>
  </w:style>
  <w:style w:type="paragraph" w:styleId="15">
    <w:name w:val="Body Text First Indent 2"/>
    <w:basedOn w:val="6"/>
    <w:next w:val="6"/>
    <w:qFormat/>
    <w:uiPriority w:val="0"/>
    <w:pPr>
      <w:ind w:firstLine="420" w:firstLineChars="200"/>
    </w:pPr>
  </w:style>
  <w:style w:type="character" w:styleId="18">
    <w:name w:val="Hyperlink"/>
    <w:basedOn w:val="17"/>
    <w:unhideWhenUsed/>
    <w:qFormat/>
    <w:uiPriority w:val="99"/>
    <w:rPr>
      <w:color w:val="0000FF" w:themeColor="hyperlink"/>
      <w:u w:val="single"/>
      <w14:textFill>
        <w14:solidFill>
          <w14:schemeClr w14:val="hlink"/>
        </w14:solidFill>
      </w14:textFill>
    </w:rPr>
  </w:style>
  <w:style w:type="character" w:customStyle="1" w:styleId="19">
    <w:name w:val="正文首行缩进 Char"/>
    <w:basedOn w:val="20"/>
    <w:link w:val="5"/>
    <w:qFormat/>
    <w:uiPriority w:val="0"/>
  </w:style>
  <w:style w:type="character" w:customStyle="1" w:styleId="20">
    <w:name w:val="正文文本 Char"/>
    <w:basedOn w:val="17"/>
    <w:link w:val="4"/>
    <w:qFormat/>
    <w:uiPriority w:val="1"/>
    <w:rPr>
      <w:rFonts w:ascii="Arial Unicode MS" w:hAnsi="Arial Unicode MS" w:eastAsia="Arial Unicode MS" w:cs="Arial Unicode MS"/>
      <w:kern w:val="2"/>
      <w:sz w:val="30"/>
      <w:szCs w:val="30"/>
      <w:lang w:val="zh-CN" w:bidi="zh-CN"/>
    </w:rPr>
  </w:style>
  <w:style w:type="character" w:customStyle="1" w:styleId="21">
    <w:name w:val="标题 1 Char"/>
    <w:basedOn w:val="17"/>
    <w:link w:val="3"/>
    <w:qFormat/>
    <w:uiPriority w:val="9"/>
    <w:rPr>
      <w:b/>
      <w:kern w:val="44"/>
      <w:sz w:val="44"/>
    </w:rPr>
  </w:style>
  <w:style w:type="character" w:customStyle="1" w:styleId="22">
    <w:name w:val="正文文本缩进 Char"/>
    <w:basedOn w:val="17"/>
    <w:link w:val="6"/>
    <w:qFormat/>
    <w:uiPriority w:val="0"/>
    <w:rPr>
      <w:rFonts w:ascii="Calibri" w:hAnsi="Calibri"/>
      <w:kern w:val="2"/>
      <w:sz w:val="21"/>
      <w:szCs w:val="22"/>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6">
    <w:name w:val="font3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92</Pages>
  <Words>19269</Words>
  <Characters>19678</Characters>
  <Lines>362</Lines>
  <Paragraphs>102</Paragraphs>
  <TotalTime>100</TotalTime>
  <ScaleCrop>false</ScaleCrop>
  <LinksUpToDate>false</LinksUpToDate>
  <CharactersWithSpaces>20210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2021-06-22T02:32:00Z</dcterms:created>
  <dc:creator>天山冰</dc:creator>
  <cp:lastModifiedBy>doro</cp:lastModifiedBy>
  <cp:lastPrinted>2021-06-28T20:57:00Z</cp:lastPrinted>
  <dcterms:modified xsi:type="dcterms:W3CDTF">2025-10-29T09:57:59Z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2467EC5545A34596B733AD53128A5F95</vt:lpwstr>
  </property>
  <property fmtid="{D5CDD505-2E9C-101B-9397-08002B2CF9AE}" pid="4" name="KSOTemplateDocerSaveRecord">
    <vt:lpwstr>eyJoZGlkIjoiNDk5ZDNjNzgwMzZhY2Q4YWNiMDI3NDQzNDY4NmFmMjkiLCJ1c2VySWQiOiIxMDQ4MTQxNDYxIn0=</vt:lpwstr>
  </property>
</Properties>
</file>