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交通运输综合行政执法队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行政检查流程图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drawing>
          <wp:inline distT="0" distB="0" distL="114300" distR="114300">
            <wp:extent cx="5270500" cy="6786880"/>
            <wp:effectExtent l="0" t="0" r="6350" b="13970"/>
            <wp:docPr id="1" name="图片 1" descr="微信图片_20241219103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4121910320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78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3A0903"/>
    <w:rsid w:val="27FD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2024-12-19T02:32:00Z</dcterms:created>
  <dc:creator>Administrator</dc:creator>
  <cp:lastModifiedBy>Administrator</cp:lastModifiedBy>
  <cp:lastPrinted>2025-06-19T07:57:24Z</cp:lastPrinted>
  <dcterms:modified xsi:type="dcterms:W3CDTF">2025-06-19T07:57:27Z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1A0745402E504BC69054C9A9C76A84A8</vt:lpwstr>
  </property>
</Properties>
</file>