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EF455">
      <w:pPr>
        <w:pStyle w:val="7"/>
        <w:spacing w:line="560" w:lineRule="exact"/>
        <w:ind w:firstLine="0" w:firstLineChars="0"/>
        <w:rPr>
          <w:rFonts w:hint="eastAsia" w:ascii="黑体" w:hAnsi="黑体" w:eastAsia="黑体"/>
          <w:sz w:val="32"/>
          <w:szCs w:val="32"/>
        </w:rPr>
      </w:pPr>
      <w:r>
        <w:rPr>
          <w:rFonts w:hint="eastAsia" w:ascii="黑体" w:hAnsi="黑体" w:eastAsia="黑体"/>
          <w:sz w:val="32"/>
          <w:szCs w:val="32"/>
        </w:rPr>
        <w:t>附件：</w:t>
      </w:r>
    </w:p>
    <w:p w14:paraId="74734619">
      <w:pPr>
        <w:pStyle w:val="7"/>
        <w:spacing w:line="560" w:lineRule="exact"/>
        <w:ind w:firstLine="440"/>
        <w:jc w:val="center"/>
        <w:rPr>
          <w:rFonts w:ascii="方正小标宋简体" w:hAnsi="黑体" w:eastAsia="方正小标宋简体"/>
          <w:sz w:val="44"/>
          <w:szCs w:val="44"/>
        </w:rPr>
      </w:pPr>
      <w:r>
        <w:rPr>
          <w:rFonts w:hint="eastAsia" w:ascii="方正小标宋简体" w:hAnsi="黑体" w:eastAsia="方正小标宋简体"/>
          <w:sz w:val="44"/>
          <w:szCs w:val="44"/>
        </w:rPr>
        <w:t>伊吾县</w:t>
      </w:r>
      <w:r>
        <w:rPr>
          <w:rFonts w:hint="eastAsia" w:ascii="方正小标宋简体" w:hAnsi="黑体" w:eastAsia="方正小标宋简体"/>
          <w:sz w:val="44"/>
          <w:szCs w:val="44"/>
          <w:lang w:val="en-US" w:eastAsia="zh-CN"/>
        </w:rPr>
        <w:t>文体广旅局</w:t>
      </w:r>
      <w:r>
        <w:rPr>
          <w:rFonts w:hint="eastAsia" w:ascii="方正小标宋简体" w:hAnsi="黑体" w:eastAsia="方正小标宋简体"/>
          <w:sz w:val="44"/>
          <w:szCs w:val="44"/>
        </w:rPr>
        <w:t>行政许可事项清单（2023年版）</w:t>
      </w:r>
    </w:p>
    <w:p w14:paraId="3F107C51">
      <w:pPr>
        <w:pStyle w:val="7"/>
        <w:spacing w:line="560" w:lineRule="exact"/>
        <w:ind w:firstLine="0" w:firstLineChars="0"/>
        <w:rPr>
          <w:rFonts w:ascii="方正小标宋简体" w:hAnsi="黑体" w:eastAsia="方正小标宋简体"/>
          <w:sz w:val="28"/>
          <w:szCs w:val="28"/>
        </w:rPr>
      </w:pPr>
    </w:p>
    <w:p w14:paraId="185295D0">
      <w:pPr>
        <w:pStyle w:val="7"/>
        <w:spacing w:line="560" w:lineRule="exact"/>
        <w:ind w:firstLine="0" w:firstLineChars="0"/>
        <w:rPr>
          <w:rFonts w:ascii="方正小标宋简体" w:hAnsi="黑体" w:eastAsia="方正小标宋简体"/>
          <w:sz w:val="28"/>
          <w:szCs w:val="28"/>
        </w:rPr>
      </w:pPr>
      <w:r>
        <w:rPr>
          <w:rFonts w:hint="eastAsia" w:ascii="方正小标宋简体" w:hAnsi="黑体" w:eastAsia="方正小标宋简体"/>
          <w:sz w:val="28"/>
          <w:szCs w:val="28"/>
        </w:rPr>
        <w:t>上级设定、伊吾县实施的行政许可事项清单（246项）</w:t>
      </w:r>
    </w:p>
    <w:tbl>
      <w:tblPr>
        <w:tblStyle w:val="10"/>
        <w:tblW w:w="16310" w:type="dxa"/>
        <w:jc w:val="center"/>
        <w:tblLayout w:type="fixed"/>
        <w:tblCellMar>
          <w:top w:w="0" w:type="dxa"/>
          <w:left w:w="108" w:type="dxa"/>
          <w:bottom w:w="0" w:type="dxa"/>
          <w:right w:w="108" w:type="dxa"/>
        </w:tblCellMar>
      </w:tblPr>
      <w:tblGrid>
        <w:gridCol w:w="704"/>
        <w:gridCol w:w="879"/>
        <w:gridCol w:w="1507"/>
        <w:gridCol w:w="2055"/>
        <w:gridCol w:w="1845"/>
        <w:gridCol w:w="3180"/>
        <w:gridCol w:w="3570"/>
        <w:gridCol w:w="2570"/>
      </w:tblGrid>
      <w:tr w14:paraId="0FF393C1">
        <w:tblPrEx>
          <w:tblCellMar>
            <w:top w:w="0" w:type="dxa"/>
            <w:left w:w="108" w:type="dxa"/>
            <w:bottom w:w="0" w:type="dxa"/>
            <w:right w:w="108" w:type="dxa"/>
          </w:tblCellMar>
        </w:tblPrEx>
        <w:trPr>
          <w:trHeight w:val="583"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4AB6A2">
            <w:pPr>
              <w:widowControl/>
              <w:spacing w:line="280" w:lineRule="exact"/>
              <w:jc w:val="center"/>
              <w:rPr>
                <w:sz w:val="21"/>
                <w:szCs w:val="21"/>
              </w:rPr>
            </w:pPr>
            <w:r>
              <w:rPr>
                <w:rFonts w:hint="eastAsia" w:ascii="黑体" w:hAnsi="黑体" w:eastAsia="黑体"/>
                <w:color w:val="000000"/>
                <w:kern w:val="0"/>
                <w:sz w:val="21"/>
                <w:szCs w:val="21"/>
              </w:rPr>
              <w:t>序号</w:t>
            </w:r>
          </w:p>
        </w:tc>
        <w:tc>
          <w:tcPr>
            <w:tcW w:w="879" w:type="dxa"/>
            <w:tcBorders>
              <w:top w:val="single" w:color="000000" w:sz="4" w:space="0"/>
              <w:left w:val="single" w:color="000000" w:sz="4" w:space="0"/>
              <w:bottom w:val="single" w:color="000000" w:sz="4" w:space="0"/>
              <w:right w:val="single" w:color="000000" w:sz="4" w:space="0"/>
            </w:tcBorders>
            <w:vAlign w:val="center"/>
          </w:tcPr>
          <w:p w14:paraId="132903AF">
            <w:pPr>
              <w:widowControl/>
              <w:spacing w:line="280" w:lineRule="exact"/>
              <w:jc w:val="center"/>
              <w:rPr>
                <w:rFonts w:ascii="黑体" w:hAnsi="黑体" w:eastAsia="黑体"/>
                <w:color w:val="000000"/>
                <w:kern w:val="0"/>
                <w:sz w:val="21"/>
                <w:szCs w:val="21"/>
              </w:rPr>
            </w:pPr>
            <w:r>
              <w:rPr>
                <w:rFonts w:hint="eastAsia" w:ascii="黑体" w:hAnsi="黑体" w:eastAsia="黑体"/>
                <w:color w:val="000000"/>
                <w:kern w:val="0"/>
                <w:sz w:val="21"/>
                <w:szCs w:val="21"/>
              </w:rPr>
              <w:t>县</w:t>
            </w:r>
            <w:r>
              <w:rPr>
                <w:rFonts w:ascii="黑体" w:hAnsi="黑体" w:eastAsia="黑体"/>
                <w:color w:val="000000"/>
                <w:kern w:val="0"/>
                <w:sz w:val="21"/>
                <w:szCs w:val="21"/>
              </w:rPr>
              <w:t>级主管部门</w:t>
            </w:r>
          </w:p>
        </w:tc>
        <w:tc>
          <w:tcPr>
            <w:tcW w:w="1507" w:type="dxa"/>
            <w:tcBorders>
              <w:top w:val="single" w:color="000000" w:sz="4" w:space="0"/>
              <w:left w:val="single" w:color="000000" w:sz="4" w:space="0"/>
              <w:bottom w:val="single" w:color="000000" w:sz="4" w:space="0"/>
              <w:right w:val="single" w:color="000000" w:sz="4" w:space="0"/>
            </w:tcBorders>
            <w:vAlign w:val="center"/>
          </w:tcPr>
          <w:p w14:paraId="5A833A46">
            <w:pPr>
              <w:widowControl/>
              <w:spacing w:line="280" w:lineRule="exact"/>
              <w:jc w:val="center"/>
              <w:rPr>
                <w:rFonts w:ascii="黑体" w:hAnsi="黑体" w:eastAsia="黑体"/>
                <w:color w:val="000000"/>
                <w:kern w:val="0"/>
                <w:sz w:val="21"/>
                <w:szCs w:val="21"/>
              </w:rPr>
            </w:pPr>
            <w:r>
              <w:rPr>
                <w:rFonts w:ascii="黑体" w:hAnsi="黑体" w:eastAsia="黑体"/>
                <w:color w:val="000000"/>
                <w:kern w:val="0"/>
                <w:sz w:val="21"/>
                <w:szCs w:val="21"/>
              </w:rPr>
              <w:t>许可事项名称</w:t>
            </w:r>
          </w:p>
        </w:tc>
        <w:tc>
          <w:tcPr>
            <w:tcW w:w="2055" w:type="dxa"/>
            <w:tcBorders>
              <w:top w:val="single" w:color="000000" w:sz="4" w:space="0"/>
              <w:left w:val="single" w:color="000000" w:sz="4" w:space="0"/>
              <w:bottom w:val="single" w:color="000000" w:sz="4" w:space="0"/>
              <w:right w:val="single" w:color="000000" w:sz="4" w:space="0"/>
            </w:tcBorders>
            <w:vAlign w:val="center"/>
          </w:tcPr>
          <w:p w14:paraId="75097427">
            <w:pPr>
              <w:widowControl/>
              <w:spacing w:line="280" w:lineRule="exact"/>
              <w:jc w:val="center"/>
              <w:rPr>
                <w:rFonts w:ascii="黑体" w:hAnsi="黑体" w:eastAsia="黑体"/>
                <w:color w:val="000000"/>
                <w:kern w:val="0"/>
                <w:sz w:val="21"/>
                <w:szCs w:val="21"/>
              </w:rPr>
            </w:pPr>
            <w:r>
              <w:rPr>
                <w:rFonts w:ascii="黑体" w:hAnsi="黑体" w:eastAsia="黑体"/>
                <w:color w:val="000000"/>
                <w:kern w:val="0"/>
                <w:sz w:val="21"/>
                <w:szCs w:val="21"/>
              </w:rPr>
              <w:t>实施机关</w:t>
            </w:r>
          </w:p>
        </w:tc>
        <w:tc>
          <w:tcPr>
            <w:tcW w:w="1845" w:type="dxa"/>
            <w:tcBorders>
              <w:top w:val="single" w:color="000000" w:sz="4" w:space="0"/>
              <w:left w:val="single" w:color="000000" w:sz="4" w:space="0"/>
              <w:bottom w:val="single" w:color="000000" w:sz="4" w:space="0"/>
              <w:right w:val="single" w:color="000000" w:sz="4" w:space="0"/>
            </w:tcBorders>
            <w:vAlign w:val="center"/>
          </w:tcPr>
          <w:p w14:paraId="15087B39">
            <w:pPr>
              <w:widowControl/>
              <w:spacing w:line="280" w:lineRule="exact"/>
              <w:jc w:val="center"/>
              <w:rPr>
                <w:rFonts w:ascii="黑体" w:hAnsi="黑体" w:eastAsia="黑体"/>
                <w:color w:val="000000"/>
                <w:kern w:val="0"/>
                <w:sz w:val="21"/>
                <w:szCs w:val="21"/>
              </w:rPr>
            </w:pPr>
            <w:r>
              <w:rPr>
                <w:rFonts w:ascii="黑体" w:hAnsi="黑体" w:eastAsia="黑体"/>
                <w:color w:val="000000"/>
                <w:kern w:val="0"/>
                <w:sz w:val="21"/>
                <w:szCs w:val="21"/>
              </w:rPr>
              <w:t>设定和实施依据</w:t>
            </w:r>
          </w:p>
        </w:tc>
        <w:tc>
          <w:tcPr>
            <w:tcW w:w="3180" w:type="dxa"/>
            <w:tcBorders>
              <w:top w:val="single" w:color="000000" w:sz="4" w:space="0"/>
              <w:left w:val="single" w:color="000000" w:sz="4" w:space="0"/>
              <w:bottom w:val="single" w:color="000000" w:sz="4" w:space="0"/>
              <w:right w:val="single" w:color="000000" w:sz="4" w:space="0"/>
            </w:tcBorders>
            <w:vAlign w:val="center"/>
          </w:tcPr>
          <w:p w14:paraId="3B8E6810">
            <w:pPr>
              <w:widowControl/>
              <w:spacing w:line="280" w:lineRule="exact"/>
              <w:jc w:val="center"/>
              <w:rPr>
                <w:rFonts w:hint="eastAsia" w:ascii="黑体" w:hAnsi="黑体" w:eastAsia="黑体"/>
                <w:color w:val="000000"/>
                <w:kern w:val="0"/>
                <w:sz w:val="21"/>
                <w:szCs w:val="21"/>
                <w:lang w:val="en-US" w:eastAsia="zh-CN"/>
              </w:rPr>
            </w:pPr>
            <w:r>
              <w:rPr>
                <w:rFonts w:hint="eastAsia" w:ascii="黑体" w:hAnsi="黑体" w:eastAsia="黑体"/>
                <w:color w:val="000000"/>
                <w:kern w:val="0"/>
                <w:sz w:val="21"/>
                <w:szCs w:val="21"/>
                <w:lang w:val="en-US" w:eastAsia="zh-CN"/>
              </w:rPr>
              <w:t>审批流程</w:t>
            </w:r>
          </w:p>
        </w:tc>
        <w:tc>
          <w:tcPr>
            <w:tcW w:w="3570" w:type="dxa"/>
            <w:tcBorders>
              <w:top w:val="single" w:color="000000" w:sz="4" w:space="0"/>
              <w:left w:val="single" w:color="000000" w:sz="4" w:space="0"/>
              <w:bottom w:val="single" w:color="000000" w:sz="4" w:space="0"/>
              <w:right w:val="single" w:color="000000" w:sz="4" w:space="0"/>
            </w:tcBorders>
            <w:vAlign w:val="center"/>
          </w:tcPr>
          <w:p w14:paraId="05D02401">
            <w:pPr>
              <w:widowControl/>
              <w:spacing w:line="280" w:lineRule="exact"/>
              <w:jc w:val="center"/>
              <w:rPr>
                <w:rFonts w:hint="default" w:ascii="黑体" w:hAnsi="黑体" w:eastAsia="黑体"/>
                <w:color w:val="000000"/>
                <w:kern w:val="0"/>
                <w:sz w:val="21"/>
                <w:szCs w:val="21"/>
                <w:lang w:val="en-US" w:eastAsia="zh-CN"/>
              </w:rPr>
            </w:pPr>
            <w:r>
              <w:rPr>
                <w:rFonts w:hint="eastAsia" w:ascii="黑体" w:hAnsi="黑体" w:eastAsia="黑体"/>
                <w:color w:val="000000"/>
                <w:kern w:val="0"/>
                <w:sz w:val="21"/>
                <w:szCs w:val="21"/>
                <w:lang w:val="en-US" w:eastAsia="zh-CN"/>
              </w:rPr>
              <w:t>申请材料</w:t>
            </w:r>
          </w:p>
        </w:tc>
        <w:tc>
          <w:tcPr>
            <w:tcW w:w="2570" w:type="dxa"/>
            <w:tcBorders>
              <w:top w:val="single" w:color="000000" w:sz="4" w:space="0"/>
              <w:left w:val="single" w:color="000000" w:sz="4" w:space="0"/>
              <w:bottom w:val="single" w:color="000000" w:sz="4" w:space="0"/>
              <w:right w:val="single" w:color="000000" w:sz="4" w:space="0"/>
            </w:tcBorders>
            <w:vAlign w:val="center"/>
          </w:tcPr>
          <w:p w14:paraId="73B334FA">
            <w:pPr>
              <w:widowControl/>
              <w:spacing w:line="280" w:lineRule="exact"/>
              <w:jc w:val="center"/>
              <w:rPr>
                <w:rFonts w:hint="eastAsia" w:ascii="黑体" w:hAnsi="黑体" w:eastAsia="黑体"/>
                <w:color w:val="000000"/>
                <w:kern w:val="0"/>
                <w:sz w:val="21"/>
                <w:szCs w:val="21"/>
                <w:lang w:val="en-US" w:eastAsia="zh-CN"/>
              </w:rPr>
            </w:pPr>
            <w:r>
              <w:rPr>
                <w:rFonts w:hint="eastAsia" w:ascii="黑体" w:hAnsi="黑体" w:eastAsia="黑体"/>
                <w:color w:val="000000"/>
                <w:kern w:val="0"/>
                <w:sz w:val="21"/>
                <w:szCs w:val="21"/>
                <w:lang w:val="en-US" w:eastAsia="zh-CN"/>
              </w:rPr>
              <w:t>批准条件</w:t>
            </w:r>
          </w:p>
        </w:tc>
      </w:tr>
      <w:tr w14:paraId="2005F06F">
        <w:tblPrEx>
          <w:tblCellMar>
            <w:top w:w="0" w:type="dxa"/>
            <w:left w:w="108" w:type="dxa"/>
            <w:bottom w:w="0" w:type="dxa"/>
            <w:right w:w="108" w:type="dxa"/>
          </w:tblCellMar>
        </w:tblPrEx>
        <w:trPr>
          <w:trHeight w:val="100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4063F71B">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3BB85480">
            <w:pPr>
              <w:widowControl/>
              <w:spacing w:line="24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2E78DB52">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文艺表演团体设立审批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248ED697">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1816FA14">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《营业性演出管理条例》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5AC948AB">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　文艺表演团体从事营业性演出活动审批办理流程包括网上申请、受理、出具《受理通知书》、审查与决定、领取或送达； 　1.递交申请材料 　申请单位提交“全国文化市场技术监管与服务平台”审核通过的纸质材料；</w:t>
            </w:r>
          </w:p>
        </w:tc>
        <w:tc>
          <w:tcPr>
            <w:tcW w:w="3570" w:type="dxa"/>
            <w:tcBorders>
              <w:top w:val="single" w:color="000000" w:sz="4" w:space="0"/>
              <w:left w:val="single" w:color="000000" w:sz="4" w:space="0"/>
              <w:bottom w:val="single" w:color="000000" w:sz="4" w:space="0"/>
              <w:right w:val="single" w:color="000000" w:sz="4" w:space="0"/>
            </w:tcBorders>
            <w:vAlign w:val="center"/>
          </w:tcPr>
          <w:p w14:paraId="0069EA2D">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1.文艺表演团体申请登记表; 　2.营业执照(事业单位法人证书、民办非企业单位登记证书)副本复印件; 　3.法定代表人或者主要负责人身份证明复印件，营业执照(事业单位法人证书或民办非企业单位登记证书)已载明姓名及身份证明编号的，可以不用提供; 　4.演员的艺术表演能力证明复印件，可以是:中专以上学校文艺表演类专业毕业证书、职称证书、中国演出行业协会颁发的演员资格证明、其他有效证明(演出或练习的视频资料等证明)。 5.与业务相适应的演出器材设备书面声明</w:t>
            </w:r>
          </w:p>
        </w:tc>
        <w:tc>
          <w:tcPr>
            <w:tcW w:w="2570" w:type="dxa"/>
            <w:tcBorders>
              <w:top w:val="single" w:color="000000" w:sz="4" w:space="0"/>
              <w:left w:val="single" w:color="000000" w:sz="4" w:space="0"/>
              <w:bottom w:val="single" w:color="000000" w:sz="4" w:space="0"/>
              <w:right w:val="single" w:color="000000" w:sz="4" w:space="0"/>
            </w:tcBorders>
            <w:vAlign w:val="center"/>
          </w:tcPr>
          <w:p w14:paraId="3934238D">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文艺表演团体申请从事营业性演出活动，应当有与其业务相适应的专职演员和器材设备，并向县级人民政府文化主管部门提出申请；</w:t>
            </w:r>
          </w:p>
        </w:tc>
      </w:tr>
      <w:tr w14:paraId="483AFEE2">
        <w:tblPrEx>
          <w:tblCellMar>
            <w:top w:w="0" w:type="dxa"/>
            <w:left w:w="108" w:type="dxa"/>
            <w:bottom w:w="0" w:type="dxa"/>
            <w:right w:w="108" w:type="dxa"/>
          </w:tblCellMar>
        </w:tblPrEx>
        <w:trPr>
          <w:trHeight w:val="1031"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03F48227">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0CAE8760">
            <w:pPr>
              <w:widowControl/>
              <w:spacing w:line="24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5DD042D7">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营业性演出审批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34DE3C4C">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776F0353">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《营业性演出管理条例》</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《营业性演出管理条例实施细则》</w:t>
            </w:r>
          </w:p>
        </w:tc>
        <w:tc>
          <w:tcPr>
            <w:tcW w:w="3180" w:type="dxa"/>
            <w:tcBorders>
              <w:top w:val="single" w:color="000000" w:sz="4" w:space="0"/>
              <w:left w:val="single" w:color="000000" w:sz="4" w:space="0"/>
              <w:bottom w:val="single" w:color="000000" w:sz="4" w:space="0"/>
              <w:right w:val="single" w:color="000000" w:sz="4" w:space="0"/>
            </w:tcBorders>
            <w:vAlign w:val="center"/>
          </w:tcPr>
          <w:p w14:paraId="56663161">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演出场所经营单位从事演出场所经营活动审批办理流程包括网上申请、受理、出具《受理通知书》、审查与决定、领取或送达； 1.递交申请材料 申请单位提交“全国文化市场技术监管与服务平台”审核通过的纸质材料；</w:t>
            </w:r>
          </w:p>
        </w:tc>
        <w:tc>
          <w:tcPr>
            <w:tcW w:w="3570" w:type="dxa"/>
            <w:tcBorders>
              <w:top w:val="single" w:color="000000" w:sz="4" w:space="0"/>
              <w:left w:val="single" w:color="000000" w:sz="4" w:space="0"/>
              <w:bottom w:val="single" w:color="000000" w:sz="4" w:space="0"/>
              <w:right w:val="single" w:color="000000" w:sz="4" w:space="0"/>
            </w:tcBorders>
            <w:vAlign w:val="center"/>
          </w:tcPr>
          <w:p w14:paraId="0F0D5C7B">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受理人员核对材料 申请材料齐全且符合法定形式的，应作出受理决定，并出具《行政许可申请受理通知书》和《申请材料清单》。 申请材料不全或不符合法定形式的，应出具《行政许可申请材料补正告知书》，一次性告知申报单位需要补正的全部内容。逾期不告知的，视为受理。</w:t>
            </w:r>
          </w:p>
        </w:tc>
        <w:tc>
          <w:tcPr>
            <w:tcW w:w="2570" w:type="dxa"/>
            <w:tcBorders>
              <w:top w:val="single" w:color="000000" w:sz="4" w:space="0"/>
              <w:left w:val="single" w:color="000000" w:sz="4" w:space="0"/>
              <w:bottom w:val="single" w:color="000000" w:sz="4" w:space="0"/>
              <w:right w:val="single" w:color="000000" w:sz="4" w:space="0"/>
            </w:tcBorders>
            <w:vAlign w:val="center"/>
          </w:tcPr>
          <w:p w14:paraId="3B4FD0BF">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在公共场所举办营业性演出，演出举办单位应当依照有关安全、消防的法律、行政法规和国家有关规定办理审批手续，并制定安全保卫工作方案和灭火、应急疏散预案。演出场所应当配备应急广播、照明设施，在安全出入口设置明显标识，保证安全出入口畅通；需要临时搭建舞台、看台的，演出举办单位应当按照国家有关安全标准搭建舞台、看台，确保安全稳定。</w:t>
            </w:r>
          </w:p>
        </w:tc>
      </w:tr>
      <w:tr w14:paraId="529D7001">
        <w:tblPrEx>
          <w:tblCellMar>
            <w:top w:w="0" w:type="dxa"/>
            <w:left w:w="108" w:type="dxa"/>
            <w:bottom w:w="0" w:type="dxa"/>
            <w:right w:w="108" w:type="dxa"/>
          </w:tblCellMar>
        </w:tblPrEx>
        <w:trPr>
          <w:trHeight w:val="719"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6A2E756">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31A887AC">
            <w:pPr>
              <w:widowControl/>
              <w:spacing w:line="24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74038363">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娱乐场所经营活动审批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56EEF0DD">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12F85942">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《娱乐场所管理条例》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519C5E85">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　娱乐场所从事娱乐场所经营活动审批办理流程包括网上申请、受理、出具《受理通知书》、实地检查、公示、听证、审查与决定、领取或送达； 　 　一.递交申请材料 　申请单位提交“全国文化市场技术监管与服务平台”审核通过的纸质材料；</w:t>
            </w:r>
          </w:p>
        </w:tc>
        <w:tc>
          <w:tcPr>
            <w:tcW w:w="3570" w:type="dxa"/>
            <w:tcBorders>
              <w:top w:val="single" w:color="000000" w:sz="4" w:space="0"/>
              <w:left w:val="single" w:color="000000" w:sz="4" w:space="0"/>
              <w:bottom w:val="single" w:color="000000" w:sz="4" w:space="0"/>
              <w:right w:val="single" w:color="000000" w:sz="4" w:space="0"/>
            </w:tcBorders>
            <w:vAlign w:val="center"/>
          </w:tcPr>
          <w:p w14:paraId="60DF8343">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受理人员应当核对以下材料: 　1.歌舞娱乐场所申请登记表; 　2.营业执照副本复印件; 　3.投资人、法定代表人、主要负责人的身份证明复印件以及无《条例》第四条、第五条、第五十二条规定情况的书面声明，营业执照已载明姓名及身份证明编号的，可以不用提供: 　4.场所合法使用证明，租赁的还应提交租赁证明; 　5.场所内部结构平面图，标明包厢、包间面积及位置: 　6.公安消防部门出具的《公众聚集场所投入使用、营业前消防安全检查合格证》复印件; 　7.环境保护行政部门出具的批准文件复印件，如建设项目竣工环境保护验收决定;</w:t>
            </w:r>
          </w:p>
        </w:tc>
        <w:tc>
          <w:tcPr>
            <w:tcW w:w="2570" w:type="dxa"/>
            <w:tcBorders>
              <w:top w:val="single" w:color="000000" w:sz="4" w:space="0"/>
              <w:left w:val="single" w:color="000000" w:sz="4" w:space="0"/>
              <w:bottom w:val="single" w:color="000000" w:sz="4" w:space="0"/>
              <w:right w:val="single" w:color="000000" w:sz="4" w:space="0"/>
            </w:tcBorders>
            <w:vAlign w:val="center"/>
          </w:tcPr>
          <w:p w14:paraId="1E0E0A38">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娱乐场所申请从事娱乐场所经营活动，应当提交投资人员、拟任的法定代表人和其他负责人没有本条例第五条规定情形的书面声明。申请人应当对书面声明内容的真实性负责。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 有关法律、行政法规规定需要办理消防、卫生、环境保护等审批手续的，从其规定。</w:t>
            </w:r>
          </w:p>
        </w:tc>
      </w:tr>
      <w:tr w14:paraId="590ADCBD">
        <w:tblPrEx>
          <w:tblCellMar>
            <w:top w:w="0" w:type="dxa"/>
            <w:left w:w="108" w:type="dxa"/>
            <w:bottom w:w="0" w:type="dxa"/>
            <w:right w:w="108" w:type="dxa"/>
          </w:tblCellMar>
        </w:tblPrEx>
        <w:trPr>
          <w:trHeight w:val="136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97D2400">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081EA4C5">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38BEFD87">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互联网上网服务营业场所筹建审批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2A2C4E6B">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756C4104">
            <w:pPr>
              <w:widowControl/>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《互联网上网服务营业场所管理条例》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24D88402">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申请从事互联网上网服务经营活动审批办理流程包括网上申请、受理、出具《受理通知书》、实地检查、公示、审查与决定、领取或送达； 一.递交申请材料 申请单位在“全国文化市场技术监管与服务平台”上提交材料； 二.受理 受理人员应当核对以下材料: 申请从事互联网上网服务经营活动的，分筹建和最终审核2个阶段: 1.筹建阶段 (1)申请 申请人到拟从事互联网上网服务经营活动的营业场所在地区、县级文化主管部门窗口提交筹备材料 (2)受理 受理窗口工作人员在接到书面申请材料后，应当对材料进行审核。对材料合格的，予以受理，并出具收件凭证，并在1个工作日内将申请材料转至审批机关;对申办材料不符合标准的，将材料退回申请人，并一次性告知申请人需补正的材料。 (3)审核 审批机关收到申请人提交的申请材料后，应当对材料进行审核，并对场所进行现场</w:t>
            </w:r>
            <w:r>
              <w:rPr>
                <w:rFonts w:hint="eastAsia" w:ascii="Times New Roman" w:hAnsi="Times New Roman" w:eastAsia="仿宋_GB2312"/>
                <w:kern w:val="0"/>
                <w:sz w:val="21"/>
                <w:szCs w:val="21"/>
                <w:lang w:val="en-US" w:eastAsia="zh-CN"/>
              </w:rPr>
              <w:t>勘察</w:t>
            </w:r>
            <w:r>
              <w:rPr>
                <w:rFonts w:hint="eastAsia" w:ascii="Times New Roman" w:hAnsi="Times New Roman" w:eastAsia="仿宋_GB2312"/>
                <w:kern w:val="0"/>
                <w:sz w:val="21"/>
                <w:szCs w:val="21"/>
                <w:lang w:eastAsia="zh-CN"/>
              </w:rPr>
              <w:t>:</w:t>
            </w:r>
          </w:p>
        </w:tc>
        <w:tc>
          <w:tcPr>
            <w:tcW w:w="3570" w:type="dxa"/>
            <w:tcBorders>
              <w:top w:val="single" w:color="000000" w:sz="4" w:space="0"/>
              <w:left w:val="single" w:color="000000" w:sz="4" w:space="0"/>
              <w:bottom w:val="single" w:color="000000" w:sz="4" w:space="0"/>
              <w:right w:val="single" w:color="000000" w:sz="4" w:space="0"/>
            </w:tcBorders>
            <w:vAlign w:val="center"/>
          </w:tcPr>
          <w:p w14:paraId="5276E8A5">
            <w:pPr>
              <w:widowControl/>
              <w:tabs>
                <w:tab w:val="left" w:pos="702"/>
              </w:tabs>
              <w:spacing w:line="280" w:lineRule="exact"/>
              <w:ind w:firstLine="210" w:firstLineChars="100"/>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1.筹建阶段 (1)申请 申请人到拟从事互联网上网服务经营活动的营业场所在地区、县级文化主管部门窗口提交筹备材料 (2)受理 受理窗口工作人员在接到书面申请材料后，应当对材料进行审核。对材料合格的，予以受理，并出具收件凭证，并在1个工作日内将申请材料转至审批机关;对申办材料不符合标准的，将材料退回申请人，并一次性告知申请人需补正的材料。 (3)审核 审批机关收到申请人提交的申请材料后，应当对材料进行审核，并对场所进行现场枝查: ①前期准备工作应当包括以下内容: A.事先告知申请人实地核查的内容、时间、方式;B.熟悉实地核查的有关内容及申请人的有关情况:C.携带实地核查所需的工具、设备及取证工具、设备;D.携带实地核查所需的文书。 ②现场核查应当按照下列要求进行: A.核查人员不少于2人; B.说明核查理由; C.可运用专业技术手段对现场进行测量、勘察，并做好记录; D.填写《互联网上网服务营业场所勘查情况登记表(筹建)。核查人员和申请人应当在核</w:t>
            </w:r>
            <w:r>
              <w:rPr>
                <w:rFonts w:hint="eastAsia" w:ascii="Times New Roman" w:hAnsi="Times New Roman" w:eastAsia="仿宋_GB2312"/>
                <w:kern w:val="0"/>
                <w:sz w:val="21"/>
                <w:szCs w:val="21"/>
                <w:lang w:val="en-US" w:eastAsia="zh-CN"/>
              </w:rPr>
              <w:t xml:space="preserve"> </w:t>
            </w:r>
            <w:r>
              <w:rPr>
                <w:rFonts w:hint="eastAsia" w:ascii="Times New Roman" w:hAnsi="Times New Roman" w:eastAsia="仿宋_GB2312"/>
                <w:kern w:val="0"/>
                <w:sz w:val="21"/>
                <w:szCs w:val="21"/>
                <w:lang w:eastAsia="zh-CN"/>
              </w:rPr>
              <w:t>查表和核查记录上签名。申请人拒绝签名的，核查人员应当注明拒签情况。 ③现场核查应当重点包括以下内容: A.拟设立场所的地理位置; B.拟设立场所的经营面积。 (4)公示 对符合现场勘查条件拟设立的互联网上网服务营业场所，在审批机关办公地点、拟设立场所的经营地址等显著位置进行公示(公众聚集文化经营场所公示范例、公共聚集文化经营场所公示表见附录) . (5)决定 县(区)级文化主管部门经现场审核，分管领导审批，决定是否许可情况，向申请人发放《互联网上网服务营业场所筹建通知书》不符合规定条件的，作出不予行政许可决定，书面说明理由，</w:t>
            </w:r>
            <w:r>
              <w:rPr>
                <w:rFonts w:hint="eastAsia" w:ascii="Times New Roman" w:hAnsi="Times New Roman" w:eastAsia="仿宋_GB2312"/>
                <w:kern w:val="0"/>
                <w:sz w:val="21"/>
                <w:szCs w:val="21"/>
                <w:lang w:val="en-US" w:eastAsia="zh-CN"/>
              </w:rPr>
              <w:t>并</w:t>
            </w:r>
            <w:r>
              <w:rPr>
                <w:rFonts w:hint="eastAsia" w:ascii="Times New Roman" w:hAnsi="Times New Roman" w:eastAsia="仿宋_GB2312"/>
                <w:kern w:val="0"/>
                <w:sz w:val="21"/>
                <w:szCs w:val="21"/>
                <w:lang w:eastAsia="zh-CN"/>
              </w:rPr>
              <w:t>告知申请人享有依法申请行政复议或者提起行政诉讼的权利。 2.最终审核阶段 申请人完成筹建后，持《互联网上网服务营业场所筹建通知书》到公安机关申请信息网络安全和消防安全审核，同时安装经营管理技术系统。上述程序完成后，申请人向(区)县级文化主管部门申请最终审核。 (1)申请 申请人填写申请书，并提交材料 （2)受理 爱理窗口工作人员在接到书面申请材料后，对材</w:t>
            </w:r>
            <w:r>
              <w:rPr>
                <w:rFonts w:hint="eastAsia" w:ascii="Times New Roman" w:hAnsi="Times New Roman" w:eastAsia="仿宋_GB2312"/>
                <w:kern w:val="0"/>
                <w:sz w:val="21"/>
                <w:szCs w:val="21"/>
                <w:lang w:val="en-US" w:eastAsia="zh-CN"/>
              </w:rPr>
              <w:t>料</w:t>
            </w:r>
            <w:r>
              <w:rPr>
                <w:rFonts w:hint="eastAsia" w:ascii="Times New Roman" w:hAnsi="Times New Roman" w:eastAsia="仿宋_GB2312"/>
                <w:kern w:val="0"/>
                <w:sz w:val="21"/>
                <w:szCs w:val="21"/>
                <w:lang w:eastAsia="zh-CN"/>
              </w:rPr>
              <w:t xml:space="preserve">进行审核。合格的予以受理，出具收件凭证， 并将申请材料转至审批机关;对不符合标准的，将材料退回申请人，并一次性告知申请人需补正的材料。 (3)审核 </w:t>
            </w:r>
            <w:r>
              <w:rPr>
                <w:rFonts w:hint="eastAsia" w:ascii="Times New Roman" w:hAnsi="Times New Roman" w:eastAsia="仿宋_GB2312"/>
                <w:kern w:val="0"/>
                <w:sz w:val="21"/>
                <w:szCs w:val="21"/>
                <w:lang w:val="en-US" w:eastAsia="zh-CN"/>
              </w:rPr>
              <w:t>审</w:t>
            </w:r>
            <w:r>
              <w:rPr>
                <w:rFonts w:hint="eastAsia" w:ascii="Times New Roman" w:hAnsi="Times New Roman" w:eastAsia="仿宋_GB2312"/>
                <w:kern w:val="0"/>
                <w:sz w:val="21"/>
                <w:szCs w:val="21"/>
                <w:lang w:eastAsia="zh-CN"/>
              </w:rPr>
              <w:t>批机关收到申请人提交的申请材料后，应当对材料进行审核，并对场所进行现场核查， ①前期准备工作:事先告知中请人现场实地勘察的内容、时间、方式:日熟悉现场实地核查的有关内容及中请人的有关情况:备;C.携带现场实地勘察所需的工具，设备及取证工具D.携带现场实地核查所需的文书。 ②现场核查应当按照下列要求进行: A.核查人员不少于2人: B.出示工作证，并说明核查理由; C.可运用专业技术手段对现场进行测量、勘察，并做好记录; D.通过技术监管平台对该场所的服务器在线率、客户端安装率及计费系统与文化接口配置情况进行监测，填写《互联网上网服务营业场所现场勘查表》。核查人员和申请人应当在勘查表和勘查记录上签名。申请人拒绝签名的，核查人员应当注明拒签情况。</w:t>
            </w:r>
          </w:p>
        </w:tc>
        <w:tc>
          <w:tcPr>
            <w:tcW w:w="2570" w:type="dxa"/>
            <w:tcBorders>
              <w:top w:val="single" w:color="000000" w:sz="4" w:space="0"/>
              <w:left w:val="single" w:color="000000" w:sz="4" w:space="0"/>
              <w:bottom w:val="single" w:color="000000" w:sz="4" w:space="0"/>
              <w:right w:val="single" w:color="000000" w:sz="4" w:space="0"/>
            </w:tcBorders>
            <w:vAlign w:val="center"/>
          </w:tcPr>
          <w:p w14:paraId="14A217DD">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互联网上网服务营业场所经营单位从事互联网上网服务经营活动，应当具备下列条件： 　（一）有企业的名称、住所、组织机构和章程； 　（二）有与其经营活动相适应的资金； 　（三）有与其经营活动相适应并符合国家规定的消防安全条件的营业场所； 　（四）有健全、完善的信息网络安全管理制度和安全技术措施； 　（五）有固定的网络地址和与其经营活动相适应的计算机等装置及附属设备； 　（六）有与其经营活动相适应并取得从业资格的安全管理人员、经营管理人员、专业技术人员； 　（七）法律、行政法规和国务院有关部门规定的其他条件。 　互联网上网服务营业场所的最低营业面积、计算机等装置及附属设备数量、单机面积的标准，由国务院文化行政部门规定。 　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tc>
      </w:tr>
      <w:tr w14:paraId="54747973">
        <w:tblPrEx>
          <w:tblCellMar>
            <w:top w:w="0" w:type="dxa"/>
            <w:left w:w="108" w:type="dxa"/>
            <w:bottom w:w="0" w:type="dxa"/>
            <w:right w:w="108" w:type="dxa"/>
          </w:tblCellMar>
        </w:tblPrEx>
        <w:trPr>
          <w:trHeight w:val="1414"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211BE0A">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113D1AEB">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7D31E8BC">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互联网上网服务经营活动审批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3608375D">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599FC20B">
            <w:pPr>
              <w:widowControl/>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《互联网上网服务营业场所管理条例》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51696031">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申请从事互联网上网服务经营活动审批办理流程包括网上申请、受理、出具《受理通知书》、实地检查、公示、审查与决定、领取或送达； 一.递交申请材料 申请单位在“全国文化市场技术监管与服务平台”上提交材料；</w:t>
            </w:r>
          </w:p>
        </w:tc>
        <w:tc>
          <w:tcPr>
            <w:tcW w:w="3570" w:type="dxa"/>
            <w:tcBorders>
              <w:top w:val="single" w:color="000000" w:sz="4" w:space="0"/>
              <w:left w:val="single" w:color="000000" w:sz="4" w:space="0"/>
              <w:bottom w:val="single" w:color="000000" w:sz="4" w:space="0"/>
              <w:right w:val="single" w:color="000000" w:sz="4" w:space="0"/>
            </w:tcBorders>
            <w:vAlign w:val="center"/>
          </w:tcPr>
          <w:p w14:paraId="7711C004">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受理人员应当核对以下材料: 申请从事互联网上网服务经营活动的，分筹建和最终审核2个阶段: 1.筹建阶段 (1)申请 申请人到拟从事互联网上网服务经营活动的营业场所在地区、县级文化主管部门窗口提交筹备材料 (2)受理 受理窗口工作人员在接到书面申请材料后，应当对材料进行审核。对材料合格的，予以受理，并出具收件凭证，并在1个工作日内将申请材料转至审批机关;对申办材料不符合标准的，将材料退回申请人，并一次性告知申请人需补正的材料。</w:t>
            </w:r>
          </w:p>
        </w:tc>
        <w:tc>
          <w:tcPr>
            <w:tcW w:w="2570" w:type="dxa"/>
            <w:tcBorders>
              <w:top w:val="single" w:color="000000" w:sz="4" w:space="0"/>
              <w:left w:val="single" w:color="000000" w:sz="4" w:space="0"/>
              <w:bottom w:val="single" w:color="000000" w:sz="4" w:space="0"/>
              <w:right w:val="single" w:color="000000" w:sz="4" w:space="0"/>
            </w:tcBorders>
            <w:vAlign w:val="center"/>
          </w:tcPr>
          <w:p w14:paraId="10F4E09A">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互联网上网服务营业场所经营单位从事互联网上网服务经营活动，应当具备下列条件： 　（一）有企业的名称、住所、组织机构和章程； 　（二）有与其经营活动相适应的资金； 　（三）有与其经营活动相适应并符合国家规定的消防安全条件的营业场所； 　（四）有健全、完善的信息网络安全管理制度和安全技术措施； 　（五）有固定的网络地址和与其经营活动相适应的计算机等装置及附属设备； 　（六）有与其经营活动相适应并取得从业资格的安全管理人员、经营管理人员、专业技术人员； 　（七）法律、行政法规和国务院有关部门规定的其他条件。 　互联网上网服务营业场所的最低营业面积、计算机等装置及附属设备数量、单机面积的标准，由国务院文化行政部门规定。 　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tc>
      </w:tr>
      <w:tr w14:paraId="570AB216">
        <w:tblPrEx>
          <w:tblCellMar>
            <w:top w:w="0" w:type="dxa"/>
            <w:left w:w="108" w:type="dxa"/>
            <w:bottom w:w="0" w:type="dxa"/>
            <w:right w:w="108" w:type="dxa"/>
          </w:tblCellMar>
        </w:tblPrEx>
        <w:trPr>
          <w:trHeight w:val="2256"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A148565">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66A75FD4">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61F7AC8B">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建筑工程文物保护许可</w:t>
            </w:r>
          </w:p>
        </w:tc>
        <w:tc>
          <w:tcPr>
            <w:tcW w:w="2055" w:type="dxa"/>
            <w:tcBorders>
              <w:top w:val="single" w:color="000000" w:sz="4" w:space="0"/>
              <w:left w:val="single" w:color="000000" w:sz="4" w:space="0"/>
              <w:bottom w:val="single" w:color="000000" w:sz="4" w:space="0"/>
              <w:right w:val="single" w:color="000000" w:sz="4" w:space="0"/>
            </w:tcBorders>
            <w:vAlign w:val="center"/>
          </w:tcPr>
          <w:p w14:paraId="6A168B56">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县</w:t>
            </w:r>
            <w:r>
              <w:rPr>
                <w:rFonts w:hint="eastAsia" w:ascii="Times New Roman" w:hAnsi="Times New Roman" w:eastAsia="仿宋_GB2312"/>
                <w:kern w:val="0"/>
                <w:sz w:val="21"/>
                <w:szCs w:val="21"/>
              </w:rPr>
              <w:t>人民</w:t>
            </w:r>
            <w:r>
              <w:rPr>
                <w:rFonts w:ascii="Times New Roman" w:hAnsi="Times New Roman" w:eastAsia="仿宋_GB2312"/>
                <w:kern w:val="0"/>
                <w:sz w:val="21"/>
                <w:szCs w:val="21"/>
              </w:rPr>
              <w:t>政府（由</w:t>
            </w: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承办，征得上一级文物部门同意）</w:t>
            </w: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593EA208">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《中华人民共和国文物保护法》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7EFFD634">
            <w:pPr>
              <w:widowControl/>
              <w:tabs>
                <w:tab w:val="left" w:pos="702"/>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ab/>
            </w:r>
            <w:r>
              <w:rPr>
                <w:rFonts w:hint="eastAsia" w:ascii="Times New Roman" w:hAnsi="Times New Roman" w:eastAsia="仿宋_GB2312"/>
                <w:kern w:val="0"/>
                <w:sz w:val="21"/>
                <w:szCs w:val="21"/>
                <w:lang w:eastAsia="zh-CN"/>
              </w:rPr>
              <w:t>1.向项目所在地县级或市级文物主管部门提交材料。2.材料齐全后受理，业务部门及分管领导审查（承诺时限通常为2-20个工作日）。3.通过后出具审核意见或批文；未通过则书面告知。4.需报城乡规划部门批准（建设控制地带内项目）。</w:t>
            </w:r>
          </w:p>
        </w:tc>
        <w:tc>
          <w:tcPr>
            <w:tcW w:w="3570" w:type="dxa"/>
            <w:tcBorders>
              <w:top w:val="single" w:color="000000" w:sz="4" w:space="0"/>
              <w:left w:val="single" w:color="000000" w:sz="4" w:space="0"/>
              <w:bottom w:val="single" w:color="000000" w:sz="4" w:space="0"/>
              <w:right w:val="single" w:color="000000" w:sz="4" w:space="0"/>
            </w:tcBorders>
            <w:vAlign w:val="center"/>
          </w:tcPr>
          <w:p w14:paraId="6EA34650">
            <w:pPr>
              <w:widowControl/>
              <w:spacing w:line="280" w:lineRule="exact"/>
              <w:jc w:val="center"/>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工程选址地形图及建设工程设计方案（含总平面图、立面图等）；文物</w:t>
            </w:r>
            <w:r>
              <w:rPr>
                <w:rFonts w:hint="eastAsia" w:ascii="Times New Roman" w:hAnsi="Times New Roman" w:eastAsia="仿宋_GB2312"/>
                <w:kern w:val="0"/>
                <w:sz w:val="21"/>
                <w:szCs w:val="21"/>
                <w:lang w:val="en-US" w:eastAsia="zh-CN"/>
              </w:rPr>
              <w:t>保护</w:t>
            </w:r>
            <w:r>
              <w:rPr>
                <w:rFonts w:hint="eastAsia" w:ascii="Times New Roman" w:hAnsi="Times New Roman" w:eastAsia="仿宋_GB2312"/>
                <w:kern w:val="0"/>
                <w:sz w:val="21"/>
                <w:szCs w:val="21"/>
                <w:lang w:eastAsia="zh-CN"/>
              </w:rPr>
              <w:t>影响评估报告（含保护措施设计）；考古勘探资料（涉及地下文物时）；申请文件及文物行政部门初审意见。</w:t>
            </w:r>
          </w:p>
        </w:tc>
        <w:tc>
          <w:tcPr>
            <w:tcW w:w="2570" w:type="dxa"/>
            <w:tcBorders>
              <w:top w:val="single" w:color="000000" w:sz="4" w:space="0"/>
              <w:left w:val="single" w:color="000000" w:sz="4" w:space="0"/>
              <w:bottom w:val="single" w:color="000000" w:sz="4" w:space="0"/>
              <w:right w:val="single" w:color="000000" w:sz="4" w:space="0"/>
            </w:tcBorders>
            <w:vAlign w:val="center"/>
          </w:tcPr>
          <w:p w14:paraId="0FE3CF65">
            <w:pPr>
              <w:widowControl/>
              <w:spacing w:line="280" w:lineRule="exact"/>
              <w:jc w:val="center"/>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适用于文物保护单位保护范围内或建设控制地带内的建设工程，以及占地面积2万平方米以上的大型项目。若需在保护范围内施工，必须保证文物安全并获相应级别政府批准。</w:t>
            </w:r>
          </w:p>
        </w:tc>
      </w:tr>
      <w:tr w14:paraId="50D0BC6F">
        <w:tblPrEx>
          <w:tblCellMar>
            <w:top w:w="0" w:type="dxa"/>
            <w:left w:w="108" w:type="dxa"/>
            <w:bottom w:w="0" w:type="dxa"/>
            <w:right w:w="108" w:type="dxa"/>
          </w:tblCellMar>
        </w:tblPrEx>
        <w:trPr>
          <w:trHeight w:val="1307"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47ACAAD8">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5397D957">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5B75C271">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文物保护单位原址保护措施审批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1EAAC522">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79EF0A79">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《中华人民共和国文物保护法》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139CE576">
            <w:pPr>
              <w:widowControl/>
              <w:tabs>
                <w:tab w:val="left" w:pos="627"/>
              </w:tabs>
              <w:spacing w:line="280" w:lineRule="exact"/>
              <w:jc w:val="left"/>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eastAsia="zh-CN"/>
              </w:rPr>
              <w:tab/>
            </w:r>
            <w:r>
              <w:rPr>
                <w:rFonts w:hint="eastAsia" w:ascii="Times New Roman" w:hAnsi="Times New Roman" w:eastAsia="仿宋_GB2312"/>
                <w:kern w:val="0"/>
                <w:sz w:val="21"/>
                <w:szCs w:val="21"/>
                <w:lang w:eastAsia="zh-CN"/>
              </w:rPr>
              <w:t>1.提交申请：向文物行政部门提交材料，窗口工作人员在5个工作日内完成受理审查。2.专家评审与实地核查：行政部门组织专业机构或专家评审，必要时进行实地核查。3.审查决议：根据材料和评审意见作出批准或不予批准的决定。4.结果告知：批准的发放许可文件，不予批准的书面说明理由。</w:t>
            </w:r>
          </w:p>
        </w:tc>
        <w:tc>
          <w:tcPr>
            <w:tcW w:w="3570" w:type="dxa"/>
            <w:tcBorders>
              <w:top w:val="single" w:color="000000" w:sz="4" w:space="0"/>
              <w:left w:val="single" w:color="000000" w:sz="4" w:space="0"/>
              <w:bottom w:val="single" w:color="000000" w:sz="4" w:space="0"/>
              <w:right w:val="single" w:color="000000" w:sz="4" w:space="0"/>
            </w:tcBorders>
            <w:vAlign w:val="center"/>
          </w:tcPr>
          <w:p w14:paraId="2EE3BEC7">
            <w:pPr>
              <w:widowControl/>
              <w:spacing w:line="280" w:lineRule="exact"/>
              <w:jc w:val="center"/>
              <w:rPr>
                <w:rFonts w:ascii="Times New Roman" w:hAnsi="Times New Roman" w:eastAsia="仿宋_GB2312"/>
                <w:kern w:val="0"/>
                <w:sz w:val="21"/>
                <w:szCs w:val="21"/>
              </w:rPr>
            </w:pPr>
            <w:r>
              <w:rPr>
                <w:rFonts w:hint="eastAsia" w:ascii="Times New Roman" w:hAnsi="Times New Roman" w:eastAsia="仿宋_GB2312"/>
                <w:kern w:val="0"/>
                <w:sz w:val="21"/>
                <w:szCs w:val="21"/>
              </w:rPr>
              <w:t>原址保护措施申请书、建设项目可行性研究报告或计划任务书、文物保护措施方案（含平面图）及专家论证意见、建设工程选址批准文件（如用地预审与选址意见书）</w:t>
            </w:r>
          </w:p>
        </w:tc>
        <w:tc>
          <w:tcPr>
            <w:tcW w:w="2570" w:type="dxa"/>
            <w:tcBorders>
              <w:top w:val="single" w:color="000000" w:sz="4" w:space="0"/>
              <w:left w:val="single" w:color="000000" w:sz="4" w:space="0"/>
              <w:bottom w:val="single" w:color="000000" w:sz="4" w:space="0"/>
              <w:right w:val="single" w:color="000000" w:sz="4" w:space="0"/>
            </w:tcBorders>
            <w:vAlign w:val="center"/>
          </w:tcPr>
          <w:p w14:paraId="779D794F">
            <w:pPr>
              <w:widowControl/>
              <w:spacing w:line="280" w:lineRule="exact"/>
              <w:ind w:firstLine="597" w:firstLineChars="0"/>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1.建设工程选址要求：因特殊情况无法避开文物保护单位时，必须实施原址保护，若涉及县级文物保护单位，</w:t>
            </w:r>
            <w:r>
              <w:rPr>
                <w:rFonts w:hint="eastAsia" w:ascii="Times New Roman" w:hAnsi="Times New Roman" w:eastAsia="仿宋_GB2312"/>
                <w:kern w:val="0"/>
                <w:sz w:val="21"/>
                <w:szCs w:val="21"/>
                <w:lang w:eastAsia="zh-CN"/>
              </w:rPr>
              <w:t>还须确保</w:t>
            </w:r>
            <w:r>
              <w:rPr>
                <w:rFonts w:hint="eastAsia" w:ascii="Times New Roman" w:hAnsi="Times New Roman" w:eastAsia="仿宋_GB2312"/>
                <w:kern w:val="0"/>
                <w:sz w:val="21"/>
                <w:szCs w:val="21"/>
              </w:rPr>
              <w:t>申请人拥有合法土地使用权。2.保护措施方案要求：需提交具体保护方案，包括文字说明、图纸及专家论证意见；若涉及文物保护工程，需附市级文物行政部门批准文件。方案需遵循不改变文物原状的原则，并由具备相应资质的单位编制。3.</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市级行政部门的书面审查意见；不同级别文物保护单位的审批主体不同：县级由县级文物部门审批，市级由地级市审批，自治区级由自治区文旅厅审批。4.其他条件：建设项目需已获批准并纳入设计任务书或可行性研究报告。保护措施不得破坏文物本体及历史风貌。</w:t>
            </w:r>
          </w:p>
        </w:tc>
      </w:tr>
      <w:tr w14:paraId="57936208">
        <w:tblPrEx>
          <w:tblCellMar>
            <w:top w:w="0" w:type="dxa"/>
            <w:left w:w="108" w:type="dxa"/>
            <w:bottom w:w="0" w:type="dxa"/>
            <w:right w:w="108" w:type="dxa"/>
          </w:tblCellMar>
        </w:tblPrEx>
        <w:trPr>
          <w:trHeight w:val="1715"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9B91109">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2A719339">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799D35DF">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核定为文物保护单位的属于国家所有的纪念建筑物或者古建筑改变用途审批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1D0D6CD9">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县</w:t>
            </w:r>
            <w:r>
              <w:rPr>
                <w:rFonts w:hint="eastAsia" w:ascii="Times New Roman" w:hAnsi="Times New Roman" w:eastAsia="仿宋_GB2312"/>
                <w:kern w:val="0"/>
                <w:sz w:val="21"/>
                <w:szCs w:val="21"/>
              </w:rPr>
              <w:t>人民</w:t>
            </w:r>
            <w:r>
              <w:rPr>
                <w:rFonts w:ascii="Times New Roman" w:hAnsi="Times New Roman" w:eastAsia="仿宋_GB2312"/>
                <w:kern w:val="0"/>
                <w:sz w:val="21"/>
                <w:szCs w:val="21"/>
              </w:rPr>
              <w:t>政府（由</w:t>
            </w: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承办，征得市级文物部门同意）</w:t>
            </w:r>
          </w:p>
        </w:tc>
        <w:tc>
          <w:tcPr>
            <w:tcW w:w="1845" w:type="dxa"/>
            <w:tcBorders>
              <w:top w:val="single" w:color="000000" w:sz="4" w:space="0"/>
              <w:left w:val="single" w:color="000000" w:sz="4" w:space="0"/>
              <w:bottom w:val="single" w:color="000000" w:sz="4" w:space="0"/>
              <w:right w:val="single" w:color="000000" w:sz="4" w:space="0"/>
            </w:tcBorders>
            <w:vAlign w:val="center"/>
          </w:tcPr>
          <w:p w14:paraId="58A532C5">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《中华人民共和国文物保护法》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4D59834A">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申请提交：由使用单位或管理单位向所在地县级文物行政部门提出书面申请，说明改变用途的具体理由、方案及保护措施。2.县级文物部门初审：县级文物行政部门对申请材料进行初步审查，核实是否符合文物保护要求，并征求相关专家或机构意见。3.逐级上报审批：初审通过后，县级文物行政部门需将申请材料逐级上报至省级文物行政部门，并最终由省级人民政府批准。对于全国重点文物保护单位，需经国家文物局审核后报国务院批准。4.批准与备案：批准后，需将审批结果报上一级文物行政部门备案，并确保改变用途后的使用符合文物保护要求。</w:t>
            </w:r>
          </w:p>
        </w:tc>
        <w:tc>
          <w:tcPr>
            <w:tcW w:w="3570" w:type="dxa"/>
            <w:tcBorders>
              <w:top w:val="single" w:color="000000" w:sz="4" w:space="0"/>
              <w:left w:val="single" w:color="000000" w:sz="4" w:space="0"/>
              <w:bottom w:val="single" w:color="000000" w:sz="4" w:space="0"/>
              <w:right w:val="single" w:color="000000" w:sz="4" w:space="0"/>
            </w:tcBorders>
            <w:vAlign w:val="center"/>
          </w:tcPr>
          <w:p w14:paraId="066AF8CB">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1.改变用途申请书：</w:t>
            </w:r>
            <w:r>
              <w:rPr>
                <w:rFonts w:hint="eastAsia" w:ascii="Times New Roman" w:hAnsi="Times New Roman" w:eastAsia="仿宋_GB2312"/>
                <w:kern w:val="0"/>
                <w:sz w:val="21"/>
                <w:szCs w:val="21"/>
                <w:lang w:eastAsia="zh-CN"/>
              </w:rPr>
              <w:t>须说明</w:t>
            </w:r>
            <w:r>
              <w:rPr>
                <w:rFonts w:hint="eastAsia" w:ascii="Times New Roman" w:hAnsi="Times New Roman" w:eastAsia="仿宋_GB2312"/>
                <w:kern w:val="0"/>
                <w:sz w:val="21"/>
                <w:szCs w:val="21"/>
              </w:rPr>
              <w:t>原有用途、拟变更用途及变更理由。2.文物保护单位历史及现状材料：包括建筑年代、历史价值、当前保存状况等。3.使用单位及上级主管部门证明：如涉及国有单位</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产权或管理权证明。4.改变用途方案：详细说明新用途的具体内容、实施计划及必要性。5.文物保护措施方案：需包含针对新用途的专项保护措施，确保不破坏文物本体及环境风貌。6.可行性研究报告：需论证变更用途的合规性、技术可行性和社会影响。7.文物行政部门初审意见：由核定该文物保护单位的同级文物部门出具。8.专家审核意见书：部分区域要求提供第三方专家评估意见。9.保护承诺书：承诺遵守</w:t>
            </w:r>
            <w:r>
              <w:rPr>
                <w:rFonts w:hint="eastAsia" w:ascii="Times New Roman" w:hAnsi="Times New Roman" w:eastAsia="仿宋_GB2312"/>
                <w:kern w:val="0"/>
                <w:sz w:val="21"/>
                <w:szCs w:val="21"/>
                <w:lang w:eastAsia="zh-CN"/>
              </w:rPr>
              <w:t>中华人民共和国文物保护法</w:t>
            </w:r>
            <w:r>
              <w:rPr>
                <w:rFonts w:hint="eastAsia" w:ascii="Times New Roman" w:hAnsi="Times New Roman" w:eastAsia="仿宋_GB2312"/>
                <w:kern w:val="0"/>
                <w:sz w:val="21"/>
                <w:szCs w:val="21"/>
              </w:rPr>
              <w:t>相关规定。</w:t>
            </w:r>
          </w:p>
        </w:tc>
        <w:tc>
          <w:tcPr>
            <w:tcW w:w="2570" w:type="dxa"/>
            <w:tcBorders>
              <w:top w:val="single" w:color="000000" w:sz="4" w:space="0"/>
              <w:left w:val="single" w:color="000000" w:sz="4" w:space="0"/>
              <w:bottom w:val="single" w:color="000000" w:sz="4" w:space="0"/>
              <w:right w:val="single" w:color="000000" w:sz="4" w:space="0"/>
            </w:tcBorders>
            <w:vAlign w:val="center"/>
          </w:tcPr>
          <w:p w14:paraId="0DEC490A">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1.符合文物保护原则：必须确保不损坏文物本体，且不破坏其环境风貌。</w:t>
            </w:r>
            <w:r>
              <w:rPr>
                <w:rFonts w:hint="eastAsia" w:ascii="Times New Roman" w:hAnsi="Times New Roman" w:eastAsia="仿宋_GB2312"/>
                <w:kern w:val="0"/>
                <w:sz w:val="21"/>
                <w:szCs w:val="21"/>
                <w:lang w:eastAsia="zh-CN"/>
              </w:rPr>
              <w:t>须制定</w:t>
            </w:r>
            <w:r>
              <w:rPr>
                <w:rFonts w:hint="eastAsia" w:ascii="Times New Roman" w:hAnsi="Times New Roman" w:eastAsia="仿宋_GB2312"/>
                <w:kern w:val="0"/>
                <w:sz w:val="21"/>
                <w:szCs w:val="21"/>
              </w:rPr>
              <w:t>具体的文物保护措施和方案，并符合《中华人民共和国文物保护法》第二十三条的规定。2.法律程序要求：县级文物保护单位需经核定公布该单位的政府文物行政部门初审，并征得上一级文物行政部门同意后，报同级政府批准；省级及以上文物保护单位需逐级上报至对应层级的政府审批。3.申请材料：需提交申请书及核定公布该文物保护单位的政府文物行政主管部门的初审意见。部分情况下可能需补充文物保护方案或专家评估报告。4.特殊限制：此类建筑原则上仅允许作为博物馆、保管所或参观游览场所使用，作其他用途需严格审批。</w:t>
            </w:r>
          </w:p>
        </w:tc>
      </w:tr>
      <w:tr w14:paraId="30F14FE6">
        <w:tblPrEx>
          <w:tblCellMar>
            <w:top w:w="0" w:type="dxa"/>
            <w:left w:w="108" w:type="dxa"/>
            <w:bottom w:w="0" w:type="dxa"/>
            <w:right w:w="108" w:type="dxa"/>
          </w:tblCellMar>
        </w:tblPrEx>
        <w:trPr>
          <w:trHeight w:val="144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A4FE811">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5E607603">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4623FF73">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不可移动文物修缮审批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5C90D0DA">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322D0B93">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《中华人民共和国文物保护法》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28EC554E">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材料提交：申请人需向县级政务服务中心文物行政部门窗口提交申请材料包括修缮申请表、工程技术方案等。2.材料审查：窗口工作人员在收到材料后1-2个工作日内完成审查。材料不齐全的，需补正；不符合条件的，出具《不予受理通知书》。3.受理决定：材料齐全且符合法定形式的，出具《受理通知书》。4.技术审查：对修缮方案进行技术评估，涉及重大利益或公共利益的需征求利害关系人意见或组织听证。5.层级审核：若为文物保护单位，需逐级上报至相应级别文物行政部门审批。6.时限要求：一般承诺时限为3-20个工作日（不含听证、专家评审等时间）。7.结果通知：不予批准的</w:t>
            </w:r>
            <w:r>
              <w:rPr>
                <w:rFonts w:hint="eastAsia" w:ascii="Times New Roman" w:hAnsi="Times New Roman" w:eastAsia="仿宋_GB2312"/>
                <w:kern w:val="0"/>
                <w:sz w:val="21"/>
                <w:szCs w:val="21"/>
                <w:lang w:eastAsia="zh-CN"/>
              </w:rPr>
              <w:t>须说明</w:t>
            </w:r>
            <w:r>
              <w:rPr>
                <w:rFonts w:hint="eastAsia" w:ascii="Times New Roman" w:hAnsi="Times New Roman" w:eastAsia="仿宋_GB2312"/>
                <w:kern w:val="0"/>
                <w:sz w:val="21"/>
                <w:szCs w:val="21"/>
              </w:rPr>
              <w:t>理由并告知复议或诉讼权利；批准的，制作批文或证照。</w:t>
            </w:r>
          </w:p>
        </w:tc>
        <w:tc>
          <w:tcPr>
            <w:tcW w:w="3570" w:type="dxa"/>
            <w:tcBorders>
              <w:top w:val="single" w:color="000000" w:sz="4" w:space="0"/>
              <w:left w:val="single" w:color="000000" w:sz="4" w:space="0"/>
              <w:bottom w:val="single" w:color="000000" w:sz="4" w:space="0"/>
              <w:right w:val="single" w:color="000000" w:sz="4" w:space="0"/>
            </w:tcBorders>
            <w:vAlign w:val="center"/>
          </w:tcPr>
          <w:p w14:paraId="1F0D8BB8">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申请书：需包含文物名称、位置、现状、修缮必要性等信息，并加盖申请单位公章。2.修缮工程立项报告：说明修缮目的、范围及预期效果。3.资质设计单位编制的修缮方案及工程资质的单位编制，包括现状实测图、设计图及技术方案。4.设计单位资质证明：提供资质证书复印件。5.文物勘探报告：部分区域需提交文物影响评估或勘探结果。6.专家初审意见：需当地文物专家或部门对方案的可行性进行审核。7.保护措施具体方案：包括施工期间文物保护措施。8.非国有文物：</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所有权证明或使用人责任声明。9.审批流程：通常需经现场勘察、专家评审及上级文物部门意见征询。</w:t>
            </w:r>
          </w:p>
        </w:tc>
        <w:tc>
          <w:tcPr>
            <w:tcW w:w="2570" w:type="dxa"/>
            <w:tcBorders>
              <w:top w:val="single" w:color="000000" w:sz="4" w:space="0"/>
              <w:left w:val="single" w:color="000000" w:sz="4" w:space="0"/>
              <w:bottom w:val="single" w:color="000000" w:sz="4" w:space="0"/>
              <w:right w:val="single" w:color="000000" w:sz="4" w:space="0"/>
            </w:tcBorders>
            <w:vAlign w:val="center"/>
          </w:tcPr>
          <w:p w14:paraId="1802023B">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申请人资格：申请人需为文物保护单位的所有权人、管理人或使用人。施工单位需具备文物保护工程相关资质。2.修缮原则：必须遵守“不改变文物原状”的原则，确保文物历史信息的真实性和完整性。3.技术方案要求：需提交由资质设计单位编制的修缮方案，包括工程技术方案或维修方案。涉及结构加固或局部复原的，</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专项说明。4.其他条件：需符合消防安全、信息网络安全等国家规定标准。全国重点文物保护单位的修缮需报国家文物局批准。</w:t>
            </w:r>
          </w:p>
        </w:tc>
      </w:tr>
      <w:tr w14:paraId="6E401A27">
        <w:tblPrEx>
          <w:tblCellMar>
            <w:top w:w="0" w:type="dxa"/>
            <w:left w:w="108" w:type="dxa"/>
            <w:bottom w:w="0" w:type="dxa"/>
            <w:right w:w="108" w:type="dxa"/>
          </w:tblCellMar>
        </w:tblPrEx>
        <w:trPr>
          <w:trHeight w:val="1284"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ECF46C">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49323A4B">
            <w:pPr>
              <w:widowControl/>
              <w:spacing w:line="28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0BD9596C">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非国有文物收藏单位和其他单位借用国有馆藏文物审批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2DC8A2F5">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1FA38449">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《中华人民共和国文物保护法》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232E1A55">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申请提交：申请人需准备材料（如申请表、借用协议、文物清单、安全方案等）并向主管文物行政部门提交申请。部分区域要求现场递交材料，部分支持网上受理。2.材料审查：窗口或部门受理后，对材料进行形式审查。材料不齐</w:t>
            </w:r>
            <w:r>
              <w:rPr>
                <w:rFonts w:hint="eastAsia" w:ascii="Times New Roman" w:hAnsi="Times New Roman" w:eastAsia="仿宋_GB2312"/>
                <w:kern w:val="0"/>
                <w:sz w:val="21"/>
                <w:szCs w:val="21"/>
                <w:lang w:val="en-US" w:eastAsia="zh-CN"/>
              </w:rPr>
              <w:t>全</w:t>
            </w:r>
            <w:r>
              <w:rPr>
                <w:rFonts w:hint="eastAsia" w:ascii="Times New Roman" w:hAnsi="Times New Roman" w:eastAsia="仿宋_GB2312"/>
                <w:kern w:val="0"/>
                <w:sz w:val="21"/>
                <w:szCs w:val="21"/>
              </w:rPr>
              <w:t>的需补正，不符合条件的出具《不予受理通知书》。涉及重大利益或公共安全的，可能需听证或征求利害关系人意见。3.审批决定：审查通过后，由文物行政主管部门负责人作出批准或不予批准的决定。审批时限一般为6-20个工作日，部分地区承诺1个工作日内办结。4.结果送达：批准的，发放《批复》或相关批文；不予批准的</w:t>
            </w:r>
            <w:r>
              <w:rPr>
                <w:rFonts w:hint="eastAsia" w:ascii="Times New Roman" w:hAnsi="Times New Roman" w:eastAsia="仿宋_GB2312"/>
                <w:kern w:val="0"/>
                <w:sz w:val="21"/>
                <w:szCs w:val="21"/>
                <w:lang w:eastAsia="zh-CN"/>
              </w:rPr>
              <w:t>须说明</w:t>
            </w:r>
            <w:r>
              <w:rPr>
                <w:rFonts w:hint="eastAsia" w:ascii="Times New Roman" w:hAnsi="Times New Roman" w:eastAsia="仿宋_GB2312"/>
                <w:kern w:val="0"/>
                <w:sz w:val="21"/>
                <w:szCs w:val="21"/>
              </w:rPr>
              <w:t>理由并告知复议或诉讼权利。结果可通过窗口领取或邮寄方式送达。</w:t>
            </w:r>
          </w:p>
        </w:tc>
        <w:tc>
          <w:tcPr>
            <w:tcW w:w="3570" w:type="dxa"/>
            <w:tcBorders>
              <w:top w:val="single" w:color="000000" w:sz="4" w:space="0"/>
              <w:left w:val="single" w:color="000000" w:sz="4" w:space="0"/>
              <w:bottom w:val="single" w:color="000000" w:sz="4" w:space="0"/>
              <w:right w:val="single" w:color="000000" w:sz="4" w:space="0"/>
            </w:tcBorders>
            <w:vAlign w:val="center"/>
          </w:tcPr>
          <w:p w14:paraId="2558D94C">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1.文物借用备案申请书：</w:t>
            </w:r>
            <w:r>
              <w:rPr>
                <w:rFonts w:hint="eastAsia" w:ascii="Times New Roman" w:hAnsi="Times New Roman" w:eastAsia="仿宋_GB2312"/>
                <w:kern w:val="0"/>
                <w:sz w:val="21"/>
                <w:szCs w:val="21"/>
                <w:lang w:eastAsia="zh-CN"/>
              </w:rPr>
              <w:t>须说明</w:t>
            </w:r>
            <w:r>
              <w:rPr>
                <w:rFonts w:hint="eastAsia" w:ascii="Times New Roman" w:hAnsi="Times New Roman" w:eastAsia="仿宋_GB2312"/>
                <w:kern w:val="0"/>
                <w:sz w:val="21"/>
                <w:szCs w:val="21"/>
              </w:rPr>
              <w:t>借用原因、用途、期限等。2.借用协议书：明确双方责任及文物归还条件。3.文物安全运输方案和紧急情况处理预案：确保文物运输和存放安全。4.借用的文物目录：包括文物名称、质地、年代、级别、来源、尺寸、完残状况等。5.文物照片：需与目录信息对应。6.借方场馆设施报告：证明借入单位具备保存文物的条件和能力。7.借用单位证明材料：如法人证书、单位设立批准文件等。8.安全状况评估报告：由文物收藏单位出具，评估文物是否适宜展出及运输建议。9.专家评估意见：部分情况</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专家对借用必要性的论证。</w:t>
            </w:r>
          </w:p>
        </w:tc>
        <w:tc>
          <w:tcPr>
            <w:tcW w:w="2570" w:type="dxa"/>
            <w:tcBorders>
              <w:top w:val="single" w:color="000000" w:sz="4" w:space="0"/>
              <w:left w:val="single" w:color="000000" w:sz="4" w:space="0"/>
              <w:bottom w:val="single" w:color="000000" w:sz="4" w:space="0"/>
              <w:right w:val="single" w:color="000000" w:sz="4" w:space="0"/>
            </w:tcBorders>
            <w:vAlign w:val="center"/>
          </w:tcPr>
          <w:p w14:paraId="34B4000E">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1.借用单位资质要求：借用单位需具备科学保护文物的基本条件和安全措施。非国有文物收藏单位或其他单位</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法人证书、机构代码证书等证明材料。2.文物等级与期限限制：借用文物通常限于二级及以下馆藏文物，一级文物需经国务院文物行政部门批准。借用期限最长不得超过三年，部分情况下需明确具体期限（如展览用途一般不超过一年）。3.申请材料要求：需提交申请书、借用协议、文物目录。</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场馆设施评估报告、安全运输方案及紧急处理预案。4.备案与合规性：出借的国有文物收藏单位需已建立馆藏文物档案并报主管文物行政部门备案。申请需符合国家法律规定，且展览目的需明确。5.特殊限制：一次借用三级以上文物数量不得超过20件（套）。长途运输</w:t>
            </w:r>
            <w:r>
              <w:rPr>
                <w:rFonts w:hint="eastAsia" w:ascii="Times New Roman" w:hAnsi="Times New Roman" w:eastAsia="仿宋_GB2312"/>
                <w:kern w:val="0"/>
                <w:sz w:val="21"/>
                <w:szCs w:val="21"/>
                <w:lang w:eastAsia="zh-CN"/>
              </w:rPr>
              <w:t>须提供</w:t>
            </w:r>
            <w:r>
              <w:rPr>
                <w:rFonts w:hint="eastAsia" w:ascii="Times New Roman" w:hAnsi="Times New Roman" w:eastAsia="仿宋_GB2312"/>
                <w:kern w:val="0"/>
                <w:sz w:val="21"/>
                <w:szCs w:val="21"/>
              </w:rPr>
              <w:t>专项安全评估报告。</w:t>
            </w:r>
          </w:p>
        </w:tc>
      </w:tr>
      <w:tr w14:paraId="201116C7">
        <w:tblPrEx>
          <w:tblCellMar>
            <w:top w:w="0" w:type="dxa"/>
            <w:left w:w="108" w:type="dxa"/>
            <w:bottom w:w="0" w:type="dxa"/>
            <w:right w:w="108" w:type="dxa"/>
          </w:tblCellMar>
        </w:tblPrEx>
        <w:trPr>
          <w:trHeight w:val="1354"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11EC94">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579B1D0E">
            <w:pPr>
              <w:widowControl/>
              <w:spacing w:line="280" w:lineRule="exact"/>
              <w:jc w:val="center"/>
              <w:rPr>
                <w:rFonts w:ascii="Times New Roman" w:hAnsi="Times New Roman" w:eastAsia="仿宋_GB2312"/>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0E78D805">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博物馆处理不够入藏标准、无保存价值的文物或标本审批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6235E343">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23C5DD49">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《国务院对确需保留的行政审批项目设定行政许可的决定》</w:t>
            </w:r>
          </w:p>
        </w:tc>
        <w:tc>
          <w:tcPr>
            <w:tcW w:w="3180" w:type="dxa"/>
            <w:tcBorders>
              <w:top w:val="single" w:color="000000" w:sz="4" w:space="0"/>
              <w:left w:val="single" w:color="000000" w:sz="4" w:space="0"/>
              <w:bottom w:val="single" w:color="000000" w:sz="4" w:space="0"/>
              <w:right w:val="single" w:color="000000" w:sz="4" w:space="0"/>
            </w:tcBorders>
            <w:vAlign w:val="top"/>
          </w:tcPr>
          <w:p w14:paraId="2A79932F">
            <w:pPr>
              <w:jc w:val="left"/>
              <w:rPr>
                <w:rFonts w:hint="eastAsia" w:ascii="Calibri" w:hAnsi="Calibri" w:eastAsia="宋体" w:cs="Times New Roman"/>
                <w:kern w:val="2"/>
                <w:sz w:val="21"/>
                <w:szCs w:val="21"/>
                <w:lang w:val="en-US" w:eastAsia="zh-CN" w:bidi="ar-SA"/>
              </w:rPr>
            </w:pPr>
            <w:r>
              <w:rPr>
                <w:rFonts w:hint="eastAsia" w:ascii="仿宋" w:hAnsi="仿宋" w:eastAsia="仿宋" w:cs="仿宋"/>
                <w:kern w:val="2"/>
                <w:sz w:val="21"/>
                <w:szCs w:val="21"/>
                <w:lang w:val="en-US" w:eastAsia="zh-CN" w:bidi="ar-SA"/>
              </w:rPr>
              <w:t>申请即办</w:t>
            </w:r>
            <w:r>
              <w:rPr>
                <w:rFonts w:hint="eastAsia" w:ascii="仿宋" w:hAnsi="仿宋" w:eastAsia="仿宋" w:cs="仿宋"/>
                <w:szCs w:val="21"/>
              </w:rPr>
              <w:t>向县文物行政部门提交材料（窗口或政务网</w:t>
            </w:r>
            <w:r>
              <w:rPr>
                <w:rFonts w:hint="eastAsia" w:ascii="仿宋" w:hAnsi="仿宋" w:eastAsia="仿宋" w:cs="仿宋"/>
                <w:szCs w:val="21"/>
                <w:lang w:eastAsia="zh-CN"/>
              </w:rPr>
              <w:t>）；</w:t>
            </w:r>
            <w:r>
              <w:rPr>
                <w:rFonts w:hint="eastAsia" w:ascii="仿宋" w:hAnsi="仿宋" w:eastAsia="仿宋" w:cs="仿宋"/>
                <w:szCs w:val="21"/>
                <w:lang w:val="en-US" w:eastAsia="zh-CN"/>
              </w:rPr>
              <w:t>受理1个工作日</w:t>
            </w:r>
            <w:r>
              <w:rPr>
                <w:rFonts w:hint="eastAsia" w:ascii="仿宋" w:hAnsi="仿宋" w:eastAsia="仿宋" w:cs="仿宋"/>
                <w:szCs w:val="21"/>
              </w:rPr>
              <w:t>材料齐全且符合法定形式，出具《受理通知书》</w:t>
            </w:r>
            <w:r>
              <w:rPr>
                <w:rFonts w:hint="eastAsia" w:ascii="仿宋" w:hAnsi="仿宋" w:eastAsia="仿宋" w:cs="仿宋"/>
                <w:szCs w:val="21"/>
                <w:lang w:eastAsia="zh-CN"/>
              </w:rPr>
              <w:t>；</w:t>
            </w:r>
            <w:r>
              <w:rPr>
                <w:rFonts w:hint="eastAsia" w:ascii="仿宋" w:hAnsi="仿宋" w:eastAsia="仿宋" w:cs="仿宋"/>
                <w:szCs w:val="21"/>
              </w:rPr>
              <w:t>专家论证3个工作日组织专家评估处理合理性</w:t>
            </w:r>
            <w:r>
              <w:rPr>
                <w:rFonts w:hint="eastAsia" w:ascii="仿宋" w:hAnsi="仿宋" w:eastAsia="仿宋" w:cs="仿宋"/>
                <w:szCs w:val="21"/>
                <w:lang w:eastAsia="zh-CN"/>
              </w:rPr>
              <w:t>；</w:t>
            </w:r>
            <w:r>
              <w:rPr>
                <w:rFonts w:hint="eastAsia" w:ascii="仿宋" w:hAnsi="仿宋" w:eastAsia="仿宋" w:cs="仿宋"/>
                <w:szCs w:val="21"/>
              </w:rPr>
              <w:t>审查2个工作日审核是否符合法规及处理条件</w:t>
            </w:r>
            <w:r>
              <w:rPr>
                <w:rFonts w:hint="eastAsia" w:ascii="仿宋" w:hAnsi="仿宋" w:eastAsia="仿宋" w:cs="仿宋"/>
                <w:szCs w:val="21"/>
                <w:lang w:eastAsia="zh-CN"/>
              </w:rPr>
              <w:t>；</w:t>
            </w:r>
            <w:r>
              <w:rPr>
                <w:rFonts w:hint="eastAsia" w:ascii="仿宋" w:hAnsi="仿宋" w:eastAsia="仿宋" w:cs="仿宋"/>
                <w:szCs w:val="21"/>
              </w:rPr>
              <w:t>2个工作日作出批准或不予批准决定，发放批复文件</w:t>
            </w:r>
            <w:r>
              <w:rPr>
                <w:rFonts w:hint="eastAsia" w:ascii="仿宋" w:hAnsi="仿宋" w:eastAsia="仿宋" w:cs="仿宋"/>
                <w:szCs w:val="21"/>
                <w:lang w:eastAsia="zh-CN"/>
              </w:rPr>
              <w:t>；</w:t>
            </w:r>
            <w:r>
              <w:rPr>
                <w:rFonts w:hint="eastAsia" w:ascii="仿宋" w:hAnsi="仿宋" w:eastAsia="仿宋" w:cs="仿宋"/>
                <w:szCs w:val="21"/>
              </w:rPr>
              <w:t>送达即办批复文件送达申请人</w:t>
            </w:r>
          </w:p>
        </w:tc>
        <w:tc>
          <w:tcPr>
            <w:tcW w:w="3570" w:type="dxa"/>
            <w:tcBorders>
              <w:top w:val="single" w:color="000000" w:sz="4" w:space="0"/>
              <w:left w:val="single" w:color="000000" w:sz="4" w:space="0"/>
              <w:bottom w:val="single" w:color="000000" w:sz="4" w:space="0"/>
              <w:right w:val="single" w:color="000000" w:sz="4" w:space="0"/>
            </w:tcBorders>
            <w:vAlign w:val="top"/>
          </w:tcPr>
          <w:p w14:paraId="2EADBD79">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1.申请书（说明处理理由、方式）；</w:t>
            </w:r>
          </w:p>
          <w:p w14:paraId="52A26FA7">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拟处理文物/标本清单（名称、年代、质地、级别、尺寸、完残状况、照片等）；3.专家复核意见（学术委员会或外部专家出具）；4.理事会或决策机构书面意见（如使用）；5.藏品档案复制件（如退出馆藏申请）。</w:t>
            </w:r>
          </w:p>
          <w:p w14:paraId="44C70D81">
            <w:pPr>
              <w:jc w:val="left"/>
              <w:rPr>
                <w:rFonts w:hint="eastAsia" w:ascii="Calibri" w:hAnsi="Calibri" w:eastAsia="宋体" w:cs="Times New Roman"/>
                <w:kern w:val="2"/>
                <w:sz w:val="21"/>
                <w:szCs w:val="21"/>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top"/>
          </w:tcPr>
          <w:p w14:paraId="3FB3DE0A">
            <w:pPr>
              <w:rPr>
                <w:rFonts w:hint="eastAsia" w:ascii="仿宋" w:hAnsi="仿宋" w:eastAsia="仿宋" w:cs="仿宋"/>
                <w:b w:val="0"/>
                <w:bCs w:val="0"/>
                <w:sz w:val="21"/>
                <w:szCs w:val="21"/>
              </w:rPr>
            </w:pPr>
            <w:r>
              <w:rPr>
                <w:rFonts w:hint="eastAsia" w:ascii="仿宋" w:hAnsi="仿宋" w:eastAsia="仿宋" w:cs="仿宋"/>
                <w:b w:val="0"/>
                <w:bCs w:val="0"/>
                <w:sz w:val="21"/>
                <w:szCs w:val="21"/>
              </w:rPr>
              <w:t>文物/标本严重损坏、无法修复；不符合可移动文物认定标准；无保存价值；</w:t>
            </w:r>
          </w:p>
          <w:p w14:paraId="3E7D3D62">
            <w:pPr>
              <w:jc w:val="both"/>
              <w:rPr>
                <w:rFonts w:hint="eastAsia" w:ascii="Calibri" w:hAnsi="Calibri" w:eastAsia="宋体" w:cs="Times New Roman"/>
                <w:kern w:val="2"/>
                <w:sz w:val="21"/>
                <w:szCs w:val="21"/>
                <w:lang w:val="en-US" w:eastAsia="zh-CN" w:bidi="ar-SA"/>
              </w:rPr>
            </w:pPr>
          </w:p>
        </w:tc>
      </w:tr>
      <w:tr w14:paraId="47903190">
        <w:tblPrEx>
          <w:tblCellMar>
            <w:top w:w="0" w:type="dxa"/>
            <w:left w:w="108" w:type="dxa"/>
            <w:bottom w:w="0" w:type="dxa"/>
            <w:right w:w="108" w:type="dxa"/>
          </w:tblCellMar>
        </w:tblPrEx>
        <w:trPr>
          <w:trHeight w:val="166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C7A012A">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5317AD8E">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7BC3FA92">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广播电视专用频段频率使用许可</w:t>
            </w:r>
          </w:p>
        </w:tc>
        <w:tc>
          <w:tcPr>
            <w:tcW w:w="2055" w:type="dxa"/>
            <w:tcBorders>
              <w:top w:val="single" w:color="000000" w:sz="4" w:space="0"/>
              <w:left w:val="single" w:color="000000" w:sz="4" w:space="0"/>
              <w:bottom w:val="single" w:color="000000" w:sz="4" w:space="0"/>
              <w:right w:val="single" w:color="000000" w:sz="4" w:space="0"/>
            </w:tcBorders>
            <w:vAlign w:val="center"/>
          </w:tcPr>
          <w:p w14:paraId="474B7AB6">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（受理广电总局审批事项并逐级上报）</w:t>
            </w:r>
          </w:p>
        </w:tc>
        <w:tc>
          <w:tcPr>
            <w:tcW w:w="1845" w:type="dxa"/>
            <w:tcBorders>
              <w:top w:val="single" w:color="000000" w:sz="4" w:space="0"/>
              <w:left w:val="single" w:color="000000" w:sz="4" w:space="0"/>
              <w:bottom w:val="single" w:color="000000" w:sz="4" w:space="0"/>
              <w:right w:val="single" w:color="000000" w:sz="4" w:space="0"/>
            </w:tcBorders>
            <w:vAlign w:val="center"/>
          </w:tcPr>
          <w:p w14:paraId="6D939EAC">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2DC2C432">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1.受理:2个工作日，经办人员对申请人提供的申请材料进行初步审核。经审核，申请材料齐全、符合法定形式的，决定予以受理。申请材料提供不齐全、不完备的，一次性告知申请人补正补齐； 2.初审:3个工作日，证件、证明材料齐全的，对所有材料的内容是否真实有效进行初步审查，形成初步办理意见； 3.审核:1个工作日，业务处室负责人对初审情况进行复核，提交的材料是否齐全、是否符合法定形式；材料内容需要核实的，核实相关材料真实性； 4.审批:2个工作日，分管局领导对审核意见作出决定； 5.办结:2个工作日，经办人员根据审批结果情况，结束办理过程，将办理结果通知申请人。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21CEEF92">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1.受理:2个工作日，经办人员对申请人提供的申请材料进行初步审核。经审核，申请材料齐全、符合法定形式的，决定予以受理。申请材料提供不齐全、不完备的，一次性告知申请人补正补齐； 2.初审:3个工作日，证件、证明材料齐全的，对所有材料的内容是否真实有效进行初步审查，形成初步办理意见； 3.审核:1个工作日，业务处室负责人对初审情况进行复核，提交的材料是否齐全、是否符合法定形式；材料内容需要核实的，核实相关材料真实性； 4.审批:2个工作日，分管局领导对审核意见作出决定； 5.办结:2个工作日，经办人员根据审批结果情况，结束办理过程，将办理结果通知申请人。</w:t>
            </w:r>
          </w:p>
        </w:tc>
        <w:tc>
          <w:tcPr>
            <w:tcW w:w="2570" w:type="dxa"/>
            <w:tcBorders>
              <w:top w:val="single" w:color="000000" w:sz="4" w:space="0"/>
              <w:left w:val="single" w:color="000000" w:sz="4" w:space="0"/>
              <w:bottom w:val="single" w:color="000000" w:sz="4" w:space="0"/>
              <w:right w:val="single" w:color="000000" w:sz="4" w:space="0"/>
            </w:tcBorders>
            <w:vAlign w:val="center"/>
          </w:tcPr>
          <w:p w14:paraId="5A58F063">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《广播电视无线传输覆盖网管理办法》（2004年11月15日国家广播电影电视总局令第45号，2021年3月23日国家广播电视总局令第8号修订） 第十九条 具有《广播电视节目传送业务经营许可证（无线）》的单位，申请使用广播电视频率传输广播电视节目，应提供以下文件： （一）广播电视频率申请表； （二）申请使用的广播电视频率涉及修改和调整广播电视覆盖网规划的，提供技术评估报告和与相关部门或单位的协调文件； （三）相关广播电视行政部门的审核意见。</w:t>
            </w:r>
          </w:p>
        </w:tc>
      </w:tr>
      <w:tr w14:paraId="5D8564B9">
        <w:tblPrEx>
          <w:tblCellMar>
            <w:top w:w="0" w:type="dxa"/>
            <w:left w:w="108" w:type="dxa"/>
            <w:bottom w:w="0" w:type="dxa"/>
            <w:right w:w="108" w:type="dxa"/>
          </w:tblCellMar>
        </w:tblPrEx>
        <w:trPr>
          <w:trHeight w:val="1419"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7B4C6D4">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084ED406">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7EC0B5C4">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广播电台、电视台设立、终止审批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32A4ED76">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（受理广电总局审批事项并逐级上报）</w:t>
            </w:r>
          </w:p>
        </w:tc>
        <w:tc>
          <w:tcPr>
            <w:tcW w:w="1845" w:type="dxa"/>
            <w:tcBorders>
              <w:top w:val="single" w:color="000000" w:sz="4" w:space="0"/>
              <w:left w:val="single" w:color="000000" w:sz="4" w:space="0"/>
              <w:bottom w:val="single" w:color="000000" w:sz="4" w:space="0"/>
              <w:right w:val="single" w:color="000000" w:sz="4" w:space="0"/>
            </w:tcBorders>
            <w:vAlign w:val="center"/>
          </w:tcPr>
          <w:p w14:paraId="7341640F">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059FAE00">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互联网咨询,互联网收件,互联网预审,互联网受理,互联网办理,互联网办理结果信息反馈,互联网电子证照反馈,其他</w:t>
            </w:r>
          </w:p>
        </w:tc>
        <w:tc>
          <w:tcPr>
            <w:tcW w:w="3570" w:type="dxa"/>
            <w:tcBorders>
              <w:top w:val="single" w:color="000000" w:sz="4" w:space="0"/>
              <w:left w:val="single" w:color="000000" w:sz="4" w:space="0"/>
              <w:bottom w:val="single" w:color="000000" w:sz="4" w:space="0"/>
              <w:right w:val="single" w:color="000000" w:sz="4" w:space="0"/>
            </w:tcBorders>
            <w:vAlign w:val="center"/>
          </w:tcPr>
          <w:p w14:paraId="2671BD76">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须提交以下申请材料：（一）申请书；（二）可行性报告。报告应载明以下内容：1.人力资源；2.资金保障及来源；3.场地、设备；4.节目频道设置规划（含频道定位、栏目设置）；5.传输覆盖范围、方式和技术参数；6.运营规划。（三）拟使用的台名、台标、呼号，并附台标设计彩色样稿、创意简述和电子文稿；（四）本级人民政府同意设立、合并的批准文件；（五）筹备计划。</w:t>
            </w:r>
          </w:p>
        </w:tc>
        <w:tc>
          <w:tcPr>
            <w:tcW w:w="2570" w:type="dxa"/>
            <w:tcBorders>
              <w:top w:val="single" w:color="000000" w:sz="4" w:space="0"/>
              <w:left w:val="single" w:color="000000" w:sz="4" w:space="0"/>
              <w:bottom w:val="single" w:color="000000" w:sz="4" w:space="0"/>
              <w:right w:val="single" w:color="000000" w:sz="4" w:space="0"/>
            </w:tcBorders>
            <w:vAlign w:val="center"/>
          </w:tcPr>
          <w:p w14:paraId="72620A68">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《广播电视管理条例》第九条　设立广播电台、电视台，应当具备下列条件：（一）有符合国家规定的广播电视专业人员；（二）有符合国家规定的广播电视技术设备；（三）有必要的基本建设资金和稳定的资金保障；（四）有必要的场所。 《广播电台电视台审批管理办法》第八条　申请设立、合并广播电台、电视台的，须提交以下申请材料：（一）申请书；（二）可行性报告。报告应载明以下内容：1.人力资源；2.资金保障及来源；3.场地、设备；4.节目频道设置规划（含频道定位、栏目设置）；5.传输覆盖范围、方式和技术参数；6.运营规划。（三）拟使用的台名、台标、呼号，并附台标设计彩色样稿、创意简述和电子文稿；（四）本级人民政府同意设立、合并的批准文件；（五）筹备计划。</w:t>
            </w:r>
          </w:p>
        </w:tc>
      </w:tr>
      <w:tr w14:paraId="3A110FDB">
        <w:tblPrEx>
          <w:tblCellMar>
            <w:top w:w="0" w:type="dxa"/>
            <w:left w:w="108" w:type="dxa"/>
            <w:bottom w:w="0" w:type="dxa"/>
            <w:right w:w="108" w:type="dxa"/>
          </w:tblCellMar>
        </w:tblPrEx>
        <w:trPr>
          <w:trHeight w:val="1429"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C46BE6">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16A162B3">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3FA71E9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广播电台、电视台变更台名、台标、节目设置范围或节目套数审批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5727AB52">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（受理自治区广播电视局审批事项并逐级上报）</w:t>
            </w:r>
          </w:p>
        </w:tc>
        <w:tc>
          <w:tcPr>
            <w:tcW w:w="1845" w:type="dxa"/>
            <w:tcBorders>
              <w:top w:val="single" w:color="000000" w:sz="4" w:space="0"/>
              <w:left w:val="single" w:color="000000" w:sz="4" w:space="0"/>
              <w:bottom w:val="single" w:color="000000" w:sz="4" w:space="0"/>
              <w:right w:val="single" w:color="000000" w:sz="4" w:space="0"/>
            </w:tcBorders>
            <w:vAlign w:val="center"/>
          </w:tcPr>
          <w:p w14:paraId="12D0B29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7B8FB3A0">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登录新疆政务服务网-选择本级本单位事项-点击申报按钮-提交相关材料后相关单位在规定时限内办理完结并通知申报人。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142C3A38">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市级、县级广播电视行政部门逐级上报的请示文件申请表格文书（1）变更台名的理由。 （2）要注明变更台名后的设立主体、呼号、节目设置及传输方式、覆盖范围、技术参数等是否变化。如有变化应写明。 （3）应明确报文单位的审核意见。 （4）报送材料时应将联系人和电话写在正文后面，以方便沟通。请示文件一文一事，应有版头、标有文号，加盖公章。《广播电台电视台审批管理办法》（国家广播电影电视总局令第37号令，国家新闻出版广电总局令第13号修订）第十一条 广播电台、电视台申请变更台名、呼号，省级以上人民政府广播电视行政部门设立的广播电台、电视台或者省级以上人民政府教育行政部门设立的教育电视台申请变更台标的，须提交以下申请材料：（一）申请书；（二）拟变更的台名、台标、呼号及其设计彩色样稿、创意简述和电子文稿。因行政区划变更的，须提交国务院关于变更行政区划的批准文件复印件。 　　因其他原因变更台名、呼号的，申请书中应充分说明变更的理由。</w:t>
            </w:r>
          </w:p>
        </w:tc>
        <w:tc>
          <w:tcPr>
            <w:tcW w:w="2570" w:type="dxa"/>
            <w:tcBorders>
              <w:top w:val="single" w:color="000000" w:sz="4" w:space="0"/>
              <w:left w:val="single" w:color="000000" w:sz="4" w:space="0"/>
              <w:bottom w:val="single" w:color="000000" w:sz="4" w:space="0"/>
              <w:right w:val="single" w:color="000000" w:sz="4" w:space="0"/>
            </w:tcBorders>
            <w:vAlign w:val="center"/>
          </w:tcPr>
          <w:p w14:paraId="434BC78C">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广播电视管理条例》第十三条：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tc>
      </w:tr>
      <w:tr w14:paraId="4A6A1DB2">
        <w:tblPrEx>
          <w:tblCellMar>
            <w:top w:w="0" w:type="dxa"/>
            <w:left w:w="108" w:type="dxa"/>
            <w:bottom w:w="0" w:type="dxa"/>
            <w:right w:w="108" w:type="dxa"/>
          </w:tblCellMar>
        </w:tblPrEx>
        <w:trPr>
          <w:trHeight w:val="157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DC244DC">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3378A0BA">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6C77A3EB">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乡镇设立广播电视站和机关、部队、团体、企业事业单位设立有线广播电视站审批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34402524">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（初审自治区广播电视局审批事项）</w:t>
            </w:r>
          </w:p>
        </w:tc>
        <w:tc>
          <w:tcPr>
            <w:tcW w:w="1845" w:type="dxa"/>
            <w:tcBorders>
              <w:top w:val="single" w:color="000000" w:sz="4" w:space="0"/>
              <w:left w:val="single" w:color="000000" w:sz="4" w:space="0"/>
              <w:bottom w:val="single" w:color="000000" w:sz="4" w:space="0"/>
              <w:right w:val="single" w:color="000000" w:sz="4" w:space="0"/>
            </w:tcBorders>
            <w:vAlign w:val="center"/>
          </w:tcPr>
          <w:p w14:paraId="103F6205">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《广播电视站审批管理暂行规定》</w:t>
            </w:r>
          </w:p>
        </w:tc>
        <w:tc>
          <w:tcPr>
            <w:tcW w:w="3180" w:type="dxa"/>
            <w:tcBorders>
              <w:top w:val="single" w:color="000000" w:sz="4" w:space="0"/>
              <w:left w:val="single" w:color="000000" w:sz="4" w:space="0"/>
              <w:bottom w:val="single" w:color="000000" w:sz="4" w:space="0"/>
              <w:right w:val="single" w:color="000000" w:sz="4" w:space="0"/>
            </w:tcBorders>
            <w:vAlign w:val="center"/>
          </w:tcPr>
          <w:p w14:paraId="13F2AD71">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依据《关于取消和调整行政许可事项的决定》（新政发〔2009〕44号），下放区县级广电部门实施。（初审）</w:t>
            </w:r>
          </w:p>
        </w:tc>
        <w:tc>
          <w:tcPr>
            <w:tcW w:w="3570" w:type="dxa"/>
            <w:tcBorders>
              <w:top w:val="single" w:color="000000" w:sz="4" w:space="0"/>
              <w:left w:val="single" w:color="000000" w:sz="4" w:space="0"/>
              <w:bottom w:val="single" w:color="000000" w:sz="4" w:space="0"/>
              <w:right w:val="single" w:color="000000" w:sz="4" w:space="0"/>
            </w:tcBorders>
            <w:vAlign w:val="center"/>
          </w:tcPr>
          <w:p w14:paraId="2057CC0F">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广播电视节目转播技术方案，覆盖范围以及广播业务或电视业务的主要内容。人员、资金、场地、设备的证明文件。设立有线广播电视站审批申请表。申请书</w:t>
            </w:r>
          </w:p>
        </w:tc>
        <w:tc>
          <w:tcPr>
            <w:tcW w:w="2570" w:type="dxa"/>
            <w:tcBorders>
              <w:top w:val="single" w:color="000000" w:sz="4" w:space="0"/>
              <w:left w:val="single" w:color="000000" w:sz="4" w:space="0"/>
              <w:bottom w:val="single" w:color="000000" w:sz="4" w:space="0"/>
              <w:right w:val="single" w:color="000000" w:sz="4" w:space="0"/>
            </w:tcBorders>
            <w:vAlign w:val="center"/>
          </w:tcPr>
          <w:p w14:paraId="62D26EF7">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申请材料齐全、符合规定</w:t>
            </w:r>
          </w:p>
        </w:tc>
      </w:tr>
      <w:tr w14:paraId="314C2455">
        <w:tblPrEx>
          <w:tblCellMar>
            <w:top w:w="0" w:type="dxa"/>
            <w:left w:w="108" w:type="dxa"/>
            <w:bottom w:w="0" w:type="dxa"/>
            <w:right w:w="108" w:type="dxa"/>
          </w:tblCellMar>
        </w:tblPrEx>
        <w:trPr>
          <w:trHeight w:val="1004"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D94B9A8">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17757299">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287E98FD">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有线广播电视传输覆盖网工程验收审核</w:t>
            </w:r>
          </w:p>
        </w:tc>
        <w:tc>
          <w:tcPr>
            <w:tcW w:w="2055" w:type="dxa"/>
            <w:tcBorders>
              <w:top w:val="single" w:color="000000" w:sz="4" w:space="0"/>
              <w:left w:val="single" w:color="000000" w:sz="4" w:space="0"/>
              <w:bottom w:val="single" w:color="000000" w:sz="4" w:space="0"/>
              <w:right w:val="single" w:color="000000" w:sz="4" w:space="0"/>
            </w:tcBorders>
            <w:vAlign w:val="center"/>
          </w:tcPr>
          <w:p w14:paraId="50375677">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13CC6920">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49809F04">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登录新疆政务服务网-选择本级本单位事项-点击申报按钮-提交相关材料后相关单位在规定时限内办理完结并通知申报人。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7FE83E2A">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本级宣传部申请文件。人员、资金、场地、设备的证明文件。工程验收审核申请表。申请书。</w:t>
            </w:r>
          </w:p>
        </w:tc>
        <w:tc>
          <w:tcPr>
            <w:tcW w:w="2570" w:type="dxa"/>
            <w:tcBorders>
              <w:top w:val="single" w:color="000000" w:sz="4" w:space="0"/>
              <w:left w:val="single" w:color="000000" w:sz="4" w:space="0"/>
              <w:bottom w:val="single" w:color="000000" w:sz="4" w:space="0"/>
              <w:right w:val="single" w:color="000000" w:sz="4" w:space="0"/>
            </w:tcBorders>
            <w:vAlign w:val="center"/>
          </w:tcPr>
          <w:p w14:paraId="4711DA8F">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申请材料齐全、符合规定</w:t>
            </w:r>
          </w:p>
        </w:tc>
      </w:tr>
      <w:tr w14:paraId="1EB615CF">
        <w:tblPrEx>
          <w:tblCellMar>
            <w:top w:w="0" w:type="dxa"/>
            <w:left w:w="108" w:type="dxa"/>
            <w:bottom w:w="0" w:type="dxa"/>
            <w:right w:w="108" w:type="dxa"/>
          </w:tblCellMar>
        </w:tblPrEx>
        <w:trPr>
          <w:trHeight w:val="149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F009E81">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6B897B29">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2E4976A9">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广播电视视频点播业务审批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4D5BEFFD">
            <w:pPr>
              <w:widowControl/>
              <w:spacing w:line="280" w:lineRule="exact"/>
              <w:jc w:val="left"/>
              <w:rPr>
                <w:rFonts w:ascii="Times New Roman" w:hAnsi="Times New Roman" w:eastAsia="仿宋_GB2312"/>
                <w:spacing w:val="-10"/>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spacing w:val="-10"/>
                <w:kern w:val="0"/>
                <w:sz w:val="21"/>
                <w:szCs w:val="21"/>
              </w:rPr>
              <w:t>（受理自治区广播电视局审批事项并逐级上报）</w:t>
            </w:r>
          </w:p>
        </w:tc>
        <w:tc>
          <w:tcPr>
            <w:tcW w:w="1845" w:type="dxa"/>
            <w:tcBorders>
              <w:top w:val="single" w:color="000000" w:sz="4" w:space="0"/>
              <w:left w:val="single" w:color="000000" w:sz="4" w:space="0"/>
              <w:bottom w:val="single" w:color="000000" w:sz="4" w:space="0"/>
              <w:right w:val="single" w:color="000000" w:sz="4" w:space="0"/>
            </w:tcBorders>
            <w:vAlign w:val="center"/>
          </w:tcPr>
          <w:p w14:paraId="4178FD52">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《国务院对确需保留的行政审批项目设定行政许可的决定》</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《广播电视视频点播业务管理办法》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5E2EDA00">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登录新疆政务服务网-选择本级本单位事项-点击申报按钮-提交相关材料后相关单位在规定时限内办理完结并通知申报人。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74C7BE26">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管理部门的逐级申请文件、请示文件。</w:t>
            </w:r>
          </w:p>
        </w:tc>
        <w:tc>
          <w:tcPr>
            <w:tcW w:w="2570" w:type="dxa"/>
            <w:tcBorders>
              <w:top w:val="single" w:color="000000" w:sz="4" w:space="0"/>
              <w:left w:val="single" w:color="000000" w:sz="4" w:space="0"/>
              <w:bottom w:val="single" w:color="000000" w:sz="4" w:space="0"/>
              <w:right w:val="single" w:color="000000" w:sz="4" w:space="0"/>
            </w:tcBorders>
            <w:vAlign w:val="center"/>
          </w:tcPr>
          <w:p w14:paraId="5E7C84AD">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申请材料齐全、符合规定</w:t>
            </w:r>
          </w:p>
        </w:tc>
      </w:tr>
      <w:tr w14:paraId="12E296D4">
        <w:tblPrEx>
          <w:tblCellMar>
            <w:top w:w="0" w:type="dxa"/>
            <w:left w:w="108" w:type="dxa"/>
            <w:bottom w:w="0" w:type="dxa"/>
            <w:right w:w="108" w:type="dxa"/>
          </w:tblCellMar>
        </w:tblPrEx>
        <w:trPr>
          <w:trHeight w:val="1597"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7C83A8">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25A2FF77">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11064D60">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卫星电视广播地面接收设施安装服务许可</w:t>
            </w:r>
          </w:p>
        </w:tc>
        <w:tc>
          <w:tcPr>
            <w:tcW w:w="2055" w:type="dxa"/>
            <w:tcBorders>
              <w:top w:val="single" w:color="000000" w:sz="4" w:space="0"/>
              <w:left w:val="single" w:color="000000" w:sz="4" w:space="0"/>
              <w:bottom w:val="single" w:color="000000" w:sz="4" w:space="0"/>
              <w:right w:val="single" w:color="000000" w:sz="4" w:space="0"/>
            </w:tcBorders>
            <w:vAlign w:val="center"/>
          </w:tcPr>
          <w:p w14:paraId="3EEF9A16">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（初审自治区广播电视局审批事项）</w:t>
            </w:r>
          </w:p>
        </w:tc>
        <w:tc>
          <w:tcPr>
            <w:tcW w:w="1845" w:type="dxa"/>
            <w:tcBorders>
              <w:top w:val="single" w:color="000000" w:sz="4" w:space="0"/>
              <w:left w:val="single" w:color="000000" w:sz="4" w:space="0"/>
              <w:bottom w:val="single" w:color="000000" w:sz="4" w:space="0"/>
              <w:right w:val="single" w:color="000000" w:sz="4" w:space="0"/>
            </w:tcBorders>
            <w:vAlign w:val="center"/>
          </w:tcPr>
          <w:p w14:paraId="6C3A8DA4">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《卫星电视广播地面接收设施管理规定》</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《卫星电视广播地面接收设施安装服务暂行办法》</w:t>
            </w:r>
            <w:r>
              <w:rPr>
                <w:rFonts w:ascii="Times New Roman" w:hAnsi="Times New Roman" w:eastAsia="仿宋_GB2312"/>
                <w:kern w:val="0"/>
                <w:sz w:val="21"/>
                <w:szCs w:val="21"/>
              </w:rPr>
              <w:br w:type="textWrapping"/>
            </w:r>
            <w:r>
              <w:rPr>
                <w:rFonts w:ascii="Times New Roman" w:hAnsi="Times New Roman" w:eastAsia="仿宋_GB2312"/>
                <w:spacing w:val="-8"/>
                <w:kern w:val="0"/>
                <w:sz w:val="21"/>
                <w:szCs w:val="21"/>
              </w:rPr>
              <w:t>《广电总局关于设立卫星地面接收设施安装服务机构审批事项的通知》（广发〔2010〕24号）</w:t>
            </w:r>
          </w:p>
        </w:tc>
        <w:tc>
          <w:tcPr>
            <w:tcW w:w="3180" w:type="dxa"/>
            <w:tcBorders>
              <w:top w:val="single" w:color="000000" w:sz="4" w:space="0"/>
              <w:left w:val="single" w:color="000000" w:sz="4" w:space="0"/>
              <w:bottom w:val="single" w:color="000000" w:sz="4" w:space="0"/>
              <w:right w:val="single" w:color="000000" w:sz="4" w:space="0"/>
            </w:tcBorders>
            <w:vAlign w:val="center"/>
          </w:tcPr>
          <w:p w14:paraId="4331864B">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登录新疆政务服务网-选择本级本单位事项-点击申报按钮-提交相关材料后相关单位在规定时限内办理完结并通知申报人。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098642CB">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卫星电视广播地面接收设施安装申请、管理部门的逐级请示文件。</w:t>
            </w:r>
          </w:p>
        </w:tc>
        <w:tc>
          <w:tcPr>
            <w:tcW w:w="2570" w:type="dxa"/>
            <w:tcBorders>
              <w:top w:val="single" w:color="000000" w:sz="4" w:space="0"/>
              <w:left w:val="single" w:color="000000" w:sz="4" w:space="0"/>
              <w:bottom w:val="single" w:color="000000" w:sz="4" w:space="0"/>
              <w:right w:val="single" w:color="000000" w:sz="4" w:space="0"/>
            </w:tcBorders>
            <w:vAlign w:val="center"/>
          </w:tcPr>
          <w:p w14:paraId="3930FB56">
            <w:pP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提交齐全、符合法定形式的申请文件</w:t>
            </w:r>
          </w:p>
        </w:tc>
      </w:tr>
      <w:tr w14:paraId="395E7D9A">
        <w:tblPrEx>
          <w:tblCellMar>
            <w:top w:w="0" w:type="dxa"/>
            <w:left w:w="108" w:type="dxa"/>
            <w:bottom w:w="0" w:type="dxa"/>
            <w:right w:w="108" w:type="dxa"/>
          </w:tblCellMar>
        </w:tblPrEx>
        <w:trPr>
          <w:trHeight w:val="151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1118573">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3321BCA4">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5A52283D">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设置卫星电视广播地面接收设施审批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6FD0726E">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r>
              <w:rPr>
                <w:rFonts w:ascii="Times New Roman" w:hAnsi="Times New Roman" w:eastAsia="仿宋_GB2312"/>
                <w:kern w:val="0"/>
                <w:sz w:val="21"/>
                <w:szCs w:val="21"/>
              </w:rPr>
              <w:t>（初审自治区广播电视局审批事项）</w:t>
            </w:r>
          </w:p>
        </w:tc>
        <w:tc>
          <w:tcPr>
            <w:tcW w:w="1845" w:type="dxa"/>
            <w:tcBorders>
              <w:top w:val="single" w:color="000000" w:sz="4" w:space="0"/>
              <w:left w:val="single" w:color="000000" w:sz="4" w:space="0"/>
              <w:bottom w:val="single" w:color="000000" w:sz="4" w:space="0"/>
              <w:right w:val="single" w:color="000000" w:sz="4" w:space="0"/>
            </w:tcBorders>
            <w:vAlign w:val="center"/>
          </w:tcPr>
          <w:p w14:paraId="1FBA07CF">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《广播电视管理条例》</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《卫星电视广播地面接收设施管理规定》</w:t>
            </w:r>
          </w:p>
        </w:tc>
        <w:tc>
          <w:tcPr>
            <w:tcW w:w="3180" w:type="dxa"/>
            <w:tcBorders>
              <w:top w:val="single" w:color="000000" w:sz="4" w:space="0"/>
              <w:left w:val="single" w:color="000000" w:sz="4" w:space="0"/>
              <w:bottom w:val="single" w:color="000000" w:sz="4" w:space="0"/>
              <w:right w:val="single" w:color="000000" w:sz="4" w:space="0"/>
            </w:tcBorders>
            <w:vAlign w:val="center"/>
          </w:tcPr>
          <w:p w14:paraId="69ACACF4">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登录新疆政务服务网-选择本级本单位事项-点击申报按钮-提交相关材料后相关单位在规定时限内办理完结并通知申报人。</w:t>
            </w:r>
          </w:p>
        </w:tc>
        <w:tc>
          <w:tcPr>
            <w:tcW w:w="3570" w:type="dxa"/>
            <w:tcBorders>
              <w:top w:val="single" w:color="000000" w:sz="4" w:space="0"/>
              <w:left w:val="single" w:color="000000" w:sz="4" w:space="0"/>
              <w:bottom w:val="single" w:color="000000" w:sz="4" w:space="0"/>
              <w:right w:val="single" w:color="000000" w:sz="4" w:space="0"/>
            </w:tcBorders>
            <w:vAlign w:val="center"/>
          </w:tcPr>
          <w:p w14:paraId="5DB5FFE2">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材料齐全，填写完整； 3.提交的证照证件或批复文件齐全完整、如提交复印件，应当完整清晰并与原件一致； 4.申请材料所载基本信息与提交的证照证件或批复文件所载内容一致； 5.申请材料按要求签字、盖章，且签字内容与申请材料所载内容、提交的证照证件或批复文件所载内容一致。</w:t>
            </w:r>
          </w:p>
        </w:tc>
        <w:tc>
          <w:tcPr>
            <w:tcW w:w="2570" w:type="dxa"/>
            <w:tcBorders>
              <w:top w:val="single" w:color="000000" w:sz="4" w:space="0"/>
              <w:left w:val="single" w:color="000000" w:sz="4" w:space="0"/>
              <w:bottom w:val="single" w:color="000000" w:sz="4" w:space="0"/>
              <w:right w:val="single" w:color="000000" w:sz="4" w:space="0"/>
            </w:tcBorders>
            <w:vAlign w:val="center"/>
          </w:tcPr>
          <w:p w14:paraId="56004BD8">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 第三条 申请设置卫星地面接收设施接收卫星传送的电视节目的单位，应当具备下列条件：（一）有确定的接收方位、接收内容和收视对象范围；（二）有符合国家标准的接收设备；（三）有合格的专职管理人员；（四）有健全的管理制度。第四条 任何单位均可申请设置卫星地面接收设施接收卫星传送的境内电视节目。下列单位和场所可申请设置、使用卫星地面接收设施接收卫星传送的境外电视节目：（一）级别较高、规模较大的教育、科研、新闻、金融、经贸和党政机关等确因业务工作需要的单位；（二）确有境外电视节目接收需求，且具备接收条件的规模较大、级别较高的宾馆酒店；（三）专供外国人和港、澳、台人士办公或者居住的写字楼、公寓等；（四）其他确有需要设置卫星地面接收设施接收卫星传送的境外电视节目的情形。（来源：《卫星电视广播地面接收设施管理规定实施细则》（（1994年2月3日 广播电影电视部令第11号 根据2021年10月9日《国家广播电视总局关于第四批修改的部门规章的决定》修订） 2.材料齐全，填写完整； 3.提交的证照证件或批复文件齐全完整、如提交复印件，应当完整清晰并与原件一致； 4.申请材料所载基本信息与提交的证照证件或批复文件所载内容一致； 5.申请材料按要求签字、盖章，且签字内容与申请材料所载内容、提交的证照证件或批复文件所载内容一致。</w:t>
            </w:r>
          </w:p>
        </w:tc>
      </w:tr>
      <w:tr w14:paraId="4A566592">
        <w:tblPrEx>
          <w:tblCellMar>
            <w:top w:w="0" w:type="dxa"/>
            <w:left w:w="108" w:type="dxa"/>
            <w:bottom w:w="0" w:type="dxa"/>
            <w:right w:w="108" w:type="dxa"/>
          </w:tblCellMar>
        </w:tblPrEx>
        <w:trPr>
          <w:trHeight w:val="171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D7772E3">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6A674E66">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5EB822A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举办健身气功活动及设立站点审批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71FBFF18">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2AAA0DF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《国务院对确需保留的行政审批项目设定行政许可的决定》</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《健身气功管理办法》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6F8F6900">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依据《关于取消、调整和保留行政许可事项的决定》（哈行署发〔2011〕47号），下放区县级体育部门实施。申请举办健身气功活动及设立站点审批，应当提前四十五日报送申请材料。 1.受理：接件受理人员核验申请材料，当场作出受理决定。申请人符合申请资格，并材料齐全、格式规范、符合法定形式的予以受理；申请人材料不符合要求但可以当场更正的，退回当场更正后予以受理。 2.审核：受理后审查人员对材料进行审查，符合条件的立即予以审核。 3.决定：决定是否给予办理。</w:t>
            </w:r>
          </w:p>
        </w:tc>
        <w:tc>
          <w:tcPr>
            <w:tcW w:w="3570" w:type="dxa"/>
            <w:tcBorders>
              <w:top w:val="single" w:color="000000" w:sz="4" w:space="0"/>
              <w:left w:val="single" w:color="000000" w:sz="4" w:space="0"/>
              <w:bottom w:val="single" w:color="000000" w:sz="4" w:space="0"/>
              <w:right w:val="single" w:color="000000" w:sz="4" w:space="0"/>
            </w:tcBorders>
            <w:vAlign w:val="center"/>
          </w:tcPr>
          <w:p w14:paraId="723F0FC8">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举办健身气功活动及设立站点申请表.申请表格文书原件和复印件要求提供材料的依据（旧）健身气功管理办法</w:t>
            </w:r>
          </w:p>
        </w:tc>
        <w:tc>
          <w:tcPr>
            <w:tcW w:w="2570" w:type="dxa"/>
            <w:tcBorders>
              <w:top w:val="single" w:color="000000" w:sz="4" w:space="0"/>
              <w:left w:val="single" w:color="000000" w:sz="4" w:space="0"/>
              <w:bottom w:val="single" w:color="000000" w:sz="4" w:space="0"/>
              <w:right w:val="single" w:color="000000" w:sz="4" w:space="0"/>
            </w:tcBorders>
            <w:vAlign w:val="center"/>
          </w:tcPr>
          <w:p w14:paraId="501C2754">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1.小型、分散、就地、就近、资源； 2.布局合理，方便群众，便于管理； 3.不妨碍社会治安、交通和生产、生活秩序； 4.习练的功法为国家体育总局审定批准的健身气功功法； 5.负责人具有合法身份； 6.有社会体育指导员</w:t>
            </w:r>
            <w:bookmarkStart w:id="0" w:name="_GoBack"/>
            <w:bookmarkEnd w:id="0"/>
            <w:r>
              <w:rPr>
                <w:rFonts w:hint="eastAsia" w:ascii="Times New Roman" w:hAnsi="Times New Roman" w:eastAsia="仿宋_GB2312" w:cs="Times New Roman"/>
                <w:kern w:val="0"/>
                <w:sz w:val="21"/>
                <w:szCs w:val="21"/>
                <w:lang w:val="en-US" w:eastAsia="zh-CN" w:bidi="ar-SA"/>
              </w:rPr>
              <w:t>； 7.活动场所、活动时间相对固定。</w:t>
            </w:r>
          </w:p>
        </w:tc>
      </w:tr>
      <w:tr w14:paraId="2DC4B98C">
        <w:tblPrEx>
          <w:tblCellMar>
            <w:top w:w="0" w:type="dxa"/>
            <w:left w:w="108" w:type="dxa"/>
            <w:bottom w:w="0" w:type="dxa"/>
            <w:right w:w="108" w:type="dxa"/>
          </w:tblCellMar>
        </w:tblPrEx>
        <w:trPr>
          <w:trHeight w:val="1846"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C207871">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5B32F5FB">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3A3996CB">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高危险性体育项目经营许可</w:t>
            </w:r>
          </w:p>
        </w:tc>
        <w:tc>
          <w:tcPr>
            <w:tcW w:w="2055" w:type="dxa"/>
            <w:tcBorders>
              <w:top w:val="single" w:color="000000" w:sz="4" w:space="0"/>
              <w:left w:val="single" w:color="000000" w:sz="4" w:space="0"/>
              <w:bottom w:val="single" w:color="000000" w:sz="4" w:space="0"/>
              <w:right w:val="single" w:color="000000" w:sz="4" w:space="0"/>
            </w:tcBorders>
            <w:vAlign w:val="center"/>
          </w:tcPr>
          <w:p w14:paraId="2D9F57B0">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785C20B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《中华人民共和国体育法》</w:t>
            </w:r>
          </w:p>
          <w:p w14:paraId="295EC8FD">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《全民健身条例》</w:t>
            </w:r>
          </w:p>
        </w:tc>
        <w:tc>
          <w:tcPr>
            <w:tcW w:w="3180" w:type="dxa"/>
            <w:tcBorders>
              <w:top w:val="single" w:color="000000" w:sz="4" w:space="0"/>
              <w:left w:val="single" w:color="000000" w:sz="4" w:space="0"/>
              <w:bottom w:val="single" w:color="000000" w:sz="4" w:space="0"/>
              <w:right w:val="single" w:color="000000" w:sz="4" w:space="0"/>
            </w:tcBorders>
            <w:vAlign w:val="center"/>
          </w:tcPr>
          <w:p w14:paraId="6D42BC16">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依据《关于印发2014年哈密地区取消调整继续实施确认行政许可事项的通知》（哈行署发〔2014〕74号），下放区县级体育部门实施。</w:t>
            </w:r>
          </w:p>
          <w:p w14:paraId="2A546E73">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登录新疆政务服务网-选择本级本单位事项-点击申报按钮-提交相关材料后相关单位在规定时限内办理完结并通知申报人。2.县级以上地方人民政府体育主管部门应当自收到申请之日起30日内进行实地核查，做出批准或者不予批准的决定。批准的，应当发给许可证；不予批准的，应当书面通知申请人并说明理由。</w:t>
            </w:r>
          </w:p>
        </w:tc>
        <w:tc>
          <w:tcPr>
            <w:tcW w:w="3570" w:type="dxa"/>
            <w:tcBorders>
              <w:top w:val="single" w:color="000000" w:sz="4" w:space="0"/>
              <w:left w:val="single" w:color="000000" w:sz="4" w:space="0"/>
              <w:bottom w:val="single" w:color="000000" w:sz="4" w:space="0"/>
              <w:right w:val="single" w:color="000000" w:sz="4" w:space="0"/>
            </w:tcBorders>
            <w:vAlign w:val="center"/>
          </w:tcPr>
          <w:p w14:paraId="5A29E216">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安全保障制度和措施书面材料证明材料（含具备法律效力文件等）复印件要求提供材料的依据（旧）中华人民共和国体育法</w:t>
            </w:r>
          </w:p>
        </w:tc>
        <w:tc>
          <w:tcPr>
            <w:tcW w:w="2570" w:type="dxa"/>
            <w:tcBorders>
              <w:top w:val="single" w:color="000000" w:sz="4" w:space="0"/>
              <w:left w:val="single" w:color="000000" w:sz="4" w:space="0"/>
              <w:bottom w:val="single" w:color="000000" w:sz="4" w:space="0"/>
              <w:right w:val="single" w:color="000000" w:sz="4" w:space="0"/>
            </w:tcBorders>
            <w:vAlign w:val="center"/>
          </w:tcPr>
          <w:p w14:paraId="4119C46D">
            <w:pP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游泳： （一）游泳池、救生设施、救生器材等设施符合国家标准（GB 19079.1-2003）； （二）有符合国家标准（GB 19079.1-2003）数量要求的游泳救生员和社会体育指导员（游泳）； （三）有安全生产岗位责任制，溺水抢救操作规程，溺水突发事件应急预案，游泳设施、设备、器材安全检查制度、救生员定期培训制度等安全保障制度和措施。 滑雪： (一)滑雪道、设施设备等符合国家标准 (GB19079.6-2013); (二)至少配备5名取得国家职业资格证书的社会体育指导员(滑雪); (三)有安全保障制度和措施(包括安全生产岗位责任制，安全操作规程，突发事件应急预案，滑雪设施、设备、器材安全检查制度)。 潜水： (一)潜水用池、设施等符合国家标准(GB19079.10—2013); (二)具有符合国家标准 (GB19079.10-2013) 数量要求、取得国家职业资格证书的社会体育指导员(潜水); (三)有安全保障制度和措施(包括安全生产岗位责任制，溺水抢救操作规程，溺水突发事件应急预案，潜水设施、设备、器材安全检查制度)。 攀岩： (一)攀岩壁、设施等符合国家标准 (GB19079.4-2014); (二)至少配备1名取得国家职业资格证书的社会体育指导员(攀岩); (三)有安全保障制度和措施(包括安全岗位责任制，安全操作规程，突发事件应急预案，攀岩设施、设备、器材安全检查制度)。</w:t>
            </w:r>
          </w:p>
        </w:tc>
      </w:tr>
      <w:tr w14:paraId="583AED17">
        <w:tblPrEx>
          <w:tblCellMar>
            <w:top w:w="0" w:type="dxa"/>
            <w:left w:w="108" w:type="dxa"/>
            <w:bottom w:w="0" w:type="dxa"/>
            <w:right w:w="108" w:type="dxa"/>
          </w:tblCellMar>
        </w:tblPrEx>
        <w:trPr>
          <w:trHeight w:val="1041"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04A751D">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32A276A2">
            <w:pPr>
              <w:widowControl/>
              <w:spacing w:line="280" w:lineRule="exact"/>
              <w:jc w:val="center"/>
              <w:rPr>
                <w:rFonts w:ascii="Times New Roman" w:hAnsi="Times New Roman" w:eastAsia="仿宋_GB2312"/>
                <w:spacing w:val="-14"/>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482F32EA">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临时占用公共体育设施审批</w:t>
            </w:r>
          </w:p>
        </w:tc>
        <w:tc>
          <w:tcPr>
            <w:tcW w:w="2055" w:type="dxa"/>
            <w:tcBorders>
              <w:top w:val="single" w:color="000000" w:sz="4" w:space="0"/>
              <w:left w:val="single" w:color="000000" w:sz="4" w:space="0"/>
              <w:bottom w:val="single" w:color="000000" w:sz="4" w:space="0"/>
              <w:right w:val="single" w:color="000000" w:sz="4" w:space="0"/>
            </w:tcBorders>
            <w:vAlign w:val="center"/>
          </w:tcPr>
          <w:p w14:paraId="2C020EEF">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24B78A0B">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《中华人民共和国体育法》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230A6800">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1. 提出申请：申请人向当地县级体育行政部门提交临时占用公共体育设施的申请，说明临时占用的理由、期限、用途等内容，并提供相关材料，如临时占用申请表、申请人身份证明、营业执照等。2. 收件：体育行政部门收到申请后，对申请材料进行核对。申请材料不齐全或不符合法定形式的，当场或5日内出具一次性告知通知书，要求申请人补正；申请材料齐全、符合法定形式的，出具收件通知书。3. 受理：能当场受理或通过当场补正达到受理条件的，直接进入受理步骤，当场出具受理通知书；根据一次性告知通知书内容进行补正后达到受理条件的，出具决定受理通知书；收件之日起5个工作日内未收到一次性告知通知书的，从收件之日起即为受理。4. 审查：体育行政部门对申请材料进行审查，并可能进行实地核查，以确定临时占用是否符合相关规定和要求，如是否会影响公共体育设施的正常使用、是否有安全保障措施等。5. 决定：体育行政部门根据审查结果，作出准予行政许可或不准予行政许可的决定。6. 制证与送达：准予行政许可的，制作《准予行政许可决定书》；不准予行政许可的，制作《不予行政许可决定书》，并通过窗口领取、邮寄等方式送达申请人。另外，根据《中华人民共和国体育法》规定，临时占用公共体育设施超过十日的，应当经本级人民政府体育行政部门同意；超过三个月的，应当报上一级人民政府体育行政部门批准。</w:t>
            </w:r>
          </w:p>
          <w:p w14:paraId="3B76DCB4">
            <w:pPr>
              <w:widowControl/>
              <w:spacing w:line="280" w:lineRule="exact"/>
              <w:jc w:val="left"/>
              <w:rPr>
                <w:rFonts w:ascii="Times New Roman" w:hAnsi="Times New Roman" w:eastAsia="仿宋_GB2312"/>
                <w:kern w:val="0"/>
                <w:sz w:val="21"/>
                <w:szCs w:val="21"/>
              </w:rPr>
            </w:pPr>
          </w:p>
        </w:tc>
        <w:tc>
          <w:tcPr>
            <w:tcW w:w="3570" w:type="dxa"/>
            <w:tcBorders>
              <w:top w:val="single" w:color="000000" w:sz="4" w:space="0"/>
              <w:left w:val="single" w:color="000000" w:sz="4" w:space="0"/>
              <w:bottom w:val="single" w:color="000000" w:sz="4" w:space="0"/>
              <w:right w:val="single" w:color="000000" w:sz="4" w:space="0"/>
            </w:tcBorders>
            <w:vAlign w:val="center"/>
          </w:tcPr>
          <w:p w14:paraId="205A4E3E">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1. 申请报告：需为原件1份，由申请人提供。内容应包括占用公共体育设施原因、占用时间、开展活动的基本情况、规模、内容、主办方、承办方、安保力量设置等。2. 临时租赁协议：原件4份，由申请人提供。协议应明确租赁的时间、费用、要求，双方的权利和义务等。3. 安全保障制度和措施：原件1份，申请人自行提供，确保占用期间的安全。4. 承诺书：原件1份，由申请人提供，承诺遵守相关规定，如不损坏体育设施设备等。5. 保证金：原件1份，具体金额和缴纳方式根据当地规定执行。此外，可能还需要提供申请人的合法证明、营业执照等材料，具体要求可咨询当地体育行政部门。</w:t>
            </w:r>
          </w:p>
          <w:p w14:paraId="3E674158">
            <w:pPr>
              <w:widowControl/>
              <w:spacing w:line="280" w:lineRule="exact"/>
              <w:jc w:val="left"/>
              <w:rPr>
                <w:rFonts w:ascii="Times New Roman" w:hAnsi="Times New Roman" w:eastAsia="仿宋_GB2312"/>
                <w:kern w:val="0"/>
                <w:sz w:val="21"/>
                <w:szCs w:val="21"/>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0675A7C4">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1. 占用公共体育设施应当用于体育活动。因举办公益性活动或者大型文化活动等特殊情况临时出租的除外。2. 临时占用时间一般不得超过10日。超过十日的，应当经场（馆）设施所属的本级人民政府体育行政部门同意；超过三个月的，还应当报上一级人民政府体育行政部门批准。3. 占用期满，占用者应当恢复公共体育场（馆）设施原状，不得影响该设施的功能、用途。</w:t>
            </w:r>
          </w:p>
          <w:p w14:paraId="13534DFB">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4. 公众在使用公共体育设施时，应当遵守公共秩序，爱护公共体育设施。</w:t>
            </w:r>
          </w:p>
          <w:p w14:paraId="41F994F6">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cs="Times New Roman"/>
                <w:kern w:val="0"/>
                <w:sz w:val="21"/>
                <w:szCs w:val="21"/>
                <w:lang w:eastAsia="zh-CN"/>
              </w:rPr>
              <w:t>5. 任何单位或者个人不得损坏公共体育设施</w:t>
            </w:r>
          </w:p>
        </w:tc>
      </w:tr>
      <w:tr w14:paraId="5D3979AC">
        <w:tblPrEx>
          <w:tblCellMar>
            <w:top w:w="0" w:type="dxa"/>
            <w:left w:w="108" w:type="dxa"/>
            <w:bottom w:w="0" w:type="dxa"/>
            <w:right w:w="108" w:type="dxa"/>
          </w:tblCellMar>
        </w:tblPrEx>
        <w:trPr>
          <w:trHeight w:val="1017"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21BDDB4">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2CF3288C">
            <w:pPr>
              <w:widowControl/>
              <w:spacing w:line="280" w:lineRule="exact"/>
              <w:jc w:val="center"/>
              <w:rPr>
                <w:rFonts w:ascii="Times New Roman" w:hAnsi="Times New Roman" w:eastAsia="仿宋_GB2312"/>
                <w:kern w:val="0"/>
                <w:sz w:val="21"/>
                <w:szCs w:val="21"/>
              </w:rPr>
            </w:pPr>
            <w:r>
              <w:rPr>
                <w:rFonts w:ascii="Times New Roman" w:hAnsi="Times New Roman" w:eastAsia="仿宋_GB2312"/>
                <w:spacing w:val="-14"/>
                <w:kern w:val="0"/>
                <w:sz w:val="21"/>
                <w:szCs w:val="21"/>
              </w:rPr>
              <w:t>县文化体育广播电视和旅游局</w:t>
            </w:r>
          </w:p>
        </w:tc>
        <w:tc>
          <w:tcPr>
            <w:tcW w:w="1507" w:type="dxa"/>
            <w:tcBorders>
              <w:top w:val="single" w:color="000000" w:sz="4" w:space="0"/>
              <w:left w:val="single" w:color="000000" w:sz="4" w:space="0"/>
              <w:bottom w:val="single" w:color="000000" w:sz="4" w:space="0"/>
              <w:right w:val="single" w:color="000000" w:sz="4" w:space="0"/>
            </w:tcBorders>
            <w:vAlign w:val="center"/>
          </w:tcPr>
          <w:p w14:paraId="178374D7">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举办高危险性体育赛事活动许可</w:t>
            </w:r>
          </w:p>
        </w:tc>
        <w:tc>
          <w:tcPr>
            <w:tcW w:w="2055" w:type="dxa"/>
            <w:tcBorders>
              <w:top w:val="single" w:color="000000" w:sz="4" w:space="0"/>
              <w:left w:val="single" w:color="000000" w:sz="4" w:space="0"/>
              <w:bottom w:val="single" w:color="000000" w:sz="4" w:space="0"/>
              <w:right w:val="single" w:color="000000" w:sz="4" w:space="0"/>
            </w:tcBorders>
            <w:vAlign w:val="center"/>
          </w:tcPr>
          <w:p w14:paraId="5330871A">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kern w:val="0"/>
                <w:sz w:val="21"/>
                <w:szCs w:val="21"/>
              </w:rPr>
              <w:t>县</w:t>
            </w:r>
            <w:r>
              <w:rPr>
                <w:rFonts w:ascii="Times New Roman" w:hAnsi="Times New Roman" w:eastAsia="仿宋_GB2312"/>
                <w:spacing w:val="-14"/>
                <w:kern w:val="0"/>
                <w:sz w:val="21"/>
                <w:szCs w:val="21"/>
              </w:rPr>
              <w:t>文化体育广播电视和旅游局</w:t>
            </w:r>
          </w:p>
        </w:tc>
        <w:tc>
          <w:tcPr>
            <w:tcW w:w="1845" w:type="dxa"/>
            <w:tcBorders>
              <w:top w:val="single" w:color="000000" w:sz="4" w:space="0"/>
              <w:left w:val="single" w:color="000000" w:sz="4" w:space="0"/>
              <w:bottom w:val="single" w:color="000000" w:sz="4" w:space="0"/>
              <w:right w:val="single" w:color="000000" w:sz="4" w:space="0"/>
            </w:tcBorders>
            <w:vAlign w:val="center"/>
          </w:tcPr>
          <w:p w14:paraId="02A65071">
            <w:pPr>
              <w:widowControl/>
              <w:spacing w:line="280" w:lineRule="exact"/>
              <w:jc w:val="left"/>
              <w:rPr>
                <w:rFonts w:ascii="Times New Roman" w:hAnsi="Times New Roman" w:eastAsia="仿宋_GB2312"/>
                <w:kern w:val="0"/>
                <w:sz w:val="21"/>
                <w:szCs w:val="21"/>
              </w:rPr>
            </w:pPr>
            <w:r>
              <w:rPr>
                <w:rFonts w:ascii="Times New Roman" w:hAnsi="Times New Roman" w:eastAsia="仿宋_GB2312"/>
                <w:kern w:val="0"/>
                <w:sz w:val="21"/>
                <w:szCs w:val="21"/>
              </w:rPr>
              <w:t>《中华人民共和国体育法》</w:t>
            </w:r>
          </w:p>
        </w:tc>
        <w:tc>
          <w:tcPr>
            <w:tcW w:w="3180" w:type="dxa"/>
            <w:tcBorders>
              <w:top w:val="single" w:color="000000" w:sz="4" w:space="0"/>
              <w:left w:val="single" w:color="000000" w:sz="4" w:space="0"/>
              <w:bottom w:val="single" w:color="000000" w:sz="4" w:space="0"/>
              <w:right w:val="single" w:color="000000" w:sz="4" w:space="0"/>
            </w:tcBorders>
            <w:vAlign w:val="center"/>
          </w:tcPr>
          <w:p w14:paraId="24CE242F">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1. 准备申请材料：根据《经营高危险性体育项目许可管理办法》第七条规定，准备申请书、体育设施符合相关国家标准的说明性材料、体育场所的所有权或使用权证明、社会体育指导人员和救助人员的职业资格证明、安全保障制度和措施等材料。</w:t>
            </w:r>
          </w:p>
          <w:p w14:paraId="761BF819">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2. 提交申请：向县级以上地方人民政府体育主管部门提交申请，部分地区支持通过政务服务网线上申请，也可前往当地相关部门办事窗口线下提交纸质材料。</w:t>
            </w:r>
          </w:p>
          <w:p w14:paraId="7283E645">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3. 实地核查：县级以上地方人民政府体育主管部门应当自收到申请之日起30日内进行实地核查，检查场地设施、人员资质、安全制度等是否符合要求。</w:t>
            </w:r>
          </w:p>
          <w:p w14:paraId="775A8CFF">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4. 审批决定：体育主管部门根据实地核查情况，做出批准或者不予批准的决定。批准的，应当发给许可证；不予批准的，应当书面通知申请人并说明理由。</w:t>
            </w:r>
          </w:p>
          <w:p w14:paraId="4FCF23CF">
            <w:pPr>
              <w:widowControl/>
              <w:spacing w:line="280" w:lineRule="exact"/>
              <w:jc w:val="left"/>
              <w:rPr>
                <w:rFonts w:ascii="Times New Roman" w:hAnsi="Times New Roman" w:eastAsia="仿宋_GB2312"/>
                <w:kern w:val="0"/>
                <w:sz w:val="21"/>
                <w:szCs w:val="21"/>
              </w:rPr>
            </w:pPr>
          </w:p>
        </w:tc>
        <w:tc>
          <w:tcPr>
            <w:tcW w:w="3570" w:type="dxa"/>
            <w:tcBorders>
              <w:top w:val="single" w:color="000000" w:sz="4" w:space="0"/>
              <w:left w:val="single" w:color="000000" w:sz="4" w:space="0"/>
              <w:bottom w:val="single" w:color="000000" w:sz="4" w:space="0"/>
              <w:right w:val="single" w:color="000000" w:sz="4" w:space="0"/>
            </w:tcBorders>
            <w:vAlign w:val="center"/>
          </w:tcPr>
          <w:p w14:paraId="2CB9A7C4">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1. 申请书：应包括申请人的名称、住所，拟经营的高危险性体育项目等内容。</w:t>
            </w:r>
          </w:p>
          <w:p w14:paraId="5ABE5854">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2. 体育设施符合相关国家标准的说明性材料：可由申请人自行检查提供，也可由检验机构、认证机构检查出具，需要合格证明的须出具合格证明。</w:t>
            </w:r>
          </w:p>
          <w:p w14:paraId="4CFC15FB">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3. 体育场所的所有权或使用权证明：如场地租赁合同、经营场所的所有权证明等。</w:t>
            </w:r>
          </w:p>
          <w:p w14:paraId="5CD92553">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4. 社会体育指导人员、救助人员的职业资格证明：须提供人力资源和社会保障部统一印制的社会体育指导员职业资格证书及复印件等。</w:t>
            </w:r>
          </w:p>
          <w:p w14:paraId="658C492E">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5. 安全保障制度和措施书面材料：包括安全生产岗位责任制、安全操作规程、突发事件应急预案、体育设施设备器材安全检查制度等。</w:t>
            </w:r>
          </w:p>
          <w:p w14:paraId="0639A65C">
            <w:pPr>
              <w:widowControl/>
              <w:spacing w:line="280" w:lineRule="exact"/>
              <w:jc w:val="left"/>
              <w:rPr>
                <w:rFonts w:ascii="Times New Roman" w:hAnsi="Times New Roman" w:eastAsia="仿宋_GB2312"/>
                <w:kern w:val="0"/>
                <w:sz w:val="21"/>
                <w:szCs w:val="21"/>
              </w:rPr>
            </w:pPr>
            <w:r>
              <w:rPr>
                <w:rFonts w:hint="eastAsia" w:ascii="Times New Roman" w:hAnsi="Times New Roman" w:eastAsia="仿宋_GB2312" w:cs="Times New Roman"/>
                <w:kern w:val="0"/>
                <w:sz w:val="21"/>
                <w:szCs w:val="21"/>
                <w:lang w:eastAsia="zh-CN"/>
              </w:rPr>
              <w:t>6. 工商营业执照及复印件：企业、个体工商户经营高危险性体育项目的，须提供工商营业执照及复印件。</w:t>
            </w:r>
          </w:p>
        </w:tc>
        <w:tc>
          <w:tcPr>
            <w:tcW w:w="2570" w:type="dxa"/>
            <w:tcBorders>
              <w:top w:val="single" w:color="000000" w:sz="4" w:space="0"/>
              <w:left w:val="single" w:color="000000" w:sz="4" w:space="0"/>
              <w:bottom w:val="single" w:color="000000" w:sz="4" w:space="0"/>
              <w:right w:val="single" w:color="000000" w:sz="4" w:space="0"/>
            </w:tcBorders>
            <w:vAlign w:val="center"/>
          </w:tcPr>
          <w:p w14:paraId="487E71BA">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 体育设施符合标准：相关体育设施符合国家标准。例如游泳池、救生设施、救生器材等设施符合游泳场所开放条件与技术要求的国家标准。</w:t>
            </w:r>
          </w:p>
          <w:p w14:paraId="62EA0B2E">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 人员资质达标：具有达到规定数量、取得国家职业资格证书的社会体育指导人员和救助人员。不同高危险性体育项目对人员数量和资质的要求不同，如游泳项目，需有符合国家标准数量要求的游泳救生员和社会体育指导员（游泳）。</w:t>
            </w:r>
          </w:p>
          <w:p w14:paraId="484D21AA">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 安全保障制度完善：具有安全生产岗位责任制、安全操作规程、突发事件应急预案、体育设施、设备、器材安全检查制度等安全保障制度和措施。</w:t>
            </w:r>
          </w:p>
          <w:p w14:paraId="77781858">
            <w:pPr>
              <w:widowControl/>
              <w:spacing w:line="280" w:lineRule="exact"/>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 符合法律法规其他条件：满足法律、法规规定的其他条件。</w:t>
            </w:r>
          </w:p>
          <w:p w14:paraId="126B87C6">
            <w:pPr>
              <w:widowControl/>
              <w:spacing w:line="280" w:lineRule="exact"/>
              <w:jc w:val="left"/>
              <w:rPr>
                <w:rFonts w:ascii="Times New Roman" w:hAnsi="Times New Roman" w:eastAsia="仿宋_GB2312"/>
                <w:kern w:val="0"/>
                <w:sz w:val="21"/>
                <w:szCs w:val="21"/>
              </w:rPr>
            </w:pPr>
          </w:p>
        </w:tc>
      </w:tr>
      <w:tr w14:paraId="072A9FC1">
        <w:tblPrEx>
          <w:tblCellMar>
            <w:top w:w="0" w:type="dxa"/>
            <w:left w:w="108" w:type="dxa"/>
            <w:bottom w:w="0" w:type="dxa"/>
            <w:right w:w="108" w:type="dxa"/>
          </w:tblCellMar>
        </w:tblPrEx>
        <w:trPr>
          <w:trHeight w:val="1478"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1F08481">
            <w:pPr>
              <w:pStyle w:val="13"/>
              <w:numPr>
                <w:ilvl w:val="0"/>
                <w:numId w:val="1"/>
              </w:numPr>
              <w:ind w:firstLineChars="0"/>
              <w:rPr>
                <w:sz w:val="21"/>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14:paraId="693668E2">
            <w:pPr>
              <w:widowControl/>
              <w:spacing w:line="280" w:lineRule="exact"/>
              <w:jc w:val="center"/>
              <w:rPr>
                <w:rFonts w:ascii="Times New Roman" w:hAnsi="Times New Roman" w:eastAsia="仿宋_GB2312"/>
                <w:kern w:val="0"/>
                <w:sz w:val="21"/>
                <w:szCs w:val="21"/>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34DA8E07">
            <w:pPr>
              <w:widowControl/>
              <w:spacing w:line="280" w:lineRule="exact"/>
              <w:jc w:val="left"/>
              <w:rPr>
                <w:rFonts w:ascii="Times New Roman" w:hAnsi="Times New Roman" w:eastAsia="仿宋_GB2312"/>
                <w:kern w:val="0"/>
                <w:sz w:val="21"/>
                <w:szCs w:val="21"/>
              </w:rPr>
            </w:pPr>
          </w:p>
        </w:tc>
        <w:tc>
          <w:tcPr>
            <w:tcW w:w="2055" w:type="dxa"/>
            <w:tcBorders>
              <w:top w:val="single" w:color="000000" w:sz="4" w:space="0"/>
              <w:left w:val="single" w:color="000000" w:sz="4" w:space="0"/>
              <w:bottom w:val="single" w:color="000000" w:sz="4" w:space="0"/>
              <w:right w:val="single" w:color="000000" w:sz="4" w:space="0"/>
            </w:tcBorders>
            <w:vAlign w:val="center"/>
          </w:tcPr>
          <w:p w14:paraId="17C276E0">
            <w:pPr>
              <w:widowControl/>
              <w:spacing w:line="280" w:lineRule="exact"/>
              <w:jc w:val="left"/>
              <w:rPr>
                <w:rFonts w:ascii="Times New Roman" w:hAnsi="Times New Roman" w:eastAsia="仿宋_GB2312"/>
                <w:kern w:val="0"/>
                <w:sz w:val="21"/>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1F7F503">
            <w:pPr>
              <w:widowControl/>
              <w:spacing w:line="280" w:lineRule="exact"/>
              <w:jc w:val="left"/>
              <w:rPr>
                <w:rFonts w:ascii="Times New Roman" w:hAnsi="Times New Roman" w:eastAsia="仿宋_GB2312"/>
                <w:kern w:val="0"/>
                <w:sz w:val="21"/>
                <w:szCs w:val="21"/>
              </w:rPr>
            </w:pPr>
          </w:p>
        </w:tc>
        <w:tc>
          <w:tcPr>
            <w:tcW w:w="3180" w:type="dxa"/>
            <w:tcBorders>
              <w:top w:val="single" w:color="000000" w:sz="4" w:space="0"/>
              <w:left w:val="single" w:color="000000" w:sz="4" w:space="0"/>
              <w:bottom w:val="single" w:color="000000" w:sz="4" w:space="0"/>
              <w:right w:val="single" w:color="000000" w:sz="4" w:space="0"/>
            </w:tcBorders>
            <w:vAlign w:val="center"/>
          </w:tcPr>
          <w:p w14:paraId="1F41FF4C">
            <w:pPr>
              <w:widowControl/>
              <w:spacing w:line="280" w:lineRule="exact"/>
              <w:jc w:val="left"/>
              <w:rPr>
                <w:rFonts w:ascii="Times New Roman" w:hAnsi="Times New Roman" w:eastAsia="仿宋_GB2312"/>
                <w:kern w:val="0"/>
                <w:sz w:val="21"/>
                <w:szCs w:val="21"/>
              </w:rPr>
            </w:pPr>
          </w:p>
        </w:tc>
        <w:tc>
          <w:tcPr>
            <w:tcW w:w="3570" w:type="dxa"/>
            <w:tcBorders>
              <w:top w:val="single" w:color="000000" w:sz="4" w:space="0"/>
              <w:left w:val="single" w:color="000000" w:sz="4" w:space="0"/>
              <w:bottom w:val="single" w:color="000000" w:sz="4" w:space="0"/>
              <w:right w:val="single" w:color="000000" w:sz="4" w:space="0"/>
            </w:tcBorders>
            <w:vAlign w:val="center"/>
          </w:tcPr>
          <w:p w14:paraId="482E05E0">
            <w:pPr>
              <w:widowControl/>
              <w:spacing w:line="280" w:lineRule="exact"/>
              <w:jc w:val="left"/>
              <w:rPr>
                <w:rFonts w:ascii="Times New Roman" w:hAnsi="Times New Roman" w:eastAsia="仿宋_GB2312"/>
                <w:kern w:val="0"/>
                <w:sz w:val="21"/>
                <w:szCs w:val="21"/>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47E04095">
            <w:pPr>
              <w:widowControl/>
              <w:spacing w:line="280" w:lineRule="exact"/>
              <w:jc w:val="left"/>
              <w:rPr>
                <w:rFonts w:ascii="Times New Roman" w:hAnsi="Times New Roman" w:eastAsia="仿宋_GB2312"/>
                <w:kern w:val="0"/>
                <w:sz w:val="21"/>
                <w:szCs w:val="21"/>
              </w:rPr>
            </w:pPr>
          </w:p>
        </w:tc>
      </w:tr>
    </w:tbl>
    <w:p w14:paraId="2083B662">
      <w:pPr>
        <w:pStyle w:val="6"/>
        <w:sectPr>
          <w:footerReference r:id="rId3" w:type="default"/>
          <w:pgSz w:w="16838" w:h="11906" w:orient="landscape"/>
          <w:pgMar w:top="1531" w:right="1814" w:bottom="1531" w:left="1701" w:header="851" w:footer="992" w:gutter="0"/>
          <w:pgNumType w:fmt="numberInDash" w:start="5"/>
          <w:cols w:space="425" w:num="1"/>
          <w:docGrid w:type="lines" w:linePitch="312" w:charSpace="0"/>
        </w:sectPr>
      </w:pPr>
    </w:p>
    <w:p w14:paraId="26DFA2CE">
      <w:pPr>
        <w:pStyle w:val="7"/>
        <w:ind w:firstLine="0" w:firstLineChars="0"/>
      </w:pPr>
    </w:p>
    <w:sectPr>
      <w:footerReference r:id="rId4" w:type="default"/>
      <w:pgSz w:w="11906" w:h="16838"/>
      <w:pgMar w:top="1814" w:right="1531" w:bottom="1701" w:left="153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621A">
    <w:pPr>
      <w:pStyle w:val="8"/>
    </w:pPr>
    <w:r>
      <w:pict>
        <v:shape id="文本框 3" o:spid="_x0000_s1025" o:spt="202" type="#_x0000_t202" style="position:absolute;left:0pt;margin-left:315.9pt;margin-top:0pt;height:18.15pt;width:35.05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5046ED82">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92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371D5"/>
    <w:multiLevelType w:val="multilevel"/>
    <w:tmpl w:val="77F371D5"/>
    <w:lvl w:ilvl="0" w:tentative="0">
      <w:start w:val="1"/>
      <w:numFmt w:val="decimal"/>
      <w:lvlText w:val="%1"/>
      <w:lvlJc w:val="left"/>
      <w:pPr>
        <w:ind w:left="294" w:hanging="152"/>
      </w:pPr>
      <w:rPr>
        <w:rFonts w:hint="eastAsia"/>
      </w:rPr>
    </w:lvl>
    <w:lvl w:ilvl="1" w:tentative="0">
      <w:start w:val="1"/>
      <w:numFmt w:val="lowerLetter"/>
      <w:lvlText w:val="%2)"/>
      <w:lvlJc w:val="left"/>
      <w:pPr>
        <w:ind w:left="596" w:hanging="440"/>
      </w:pPr>
    </w:lvl>
    <w:lvl w:ilvl="2" w:tentative="0">
      <w:start w:val="1"/>
      <w:numFmt w:val="lowerRoman"/>
      <w:lvlText w:val="%3."/>
      <w:lvlJc w:val="right"/>
      <w:pPr>
        <w:ind w:left="1036" w:hanging="440"/>
      </w:pPr>
    </w:lvl>
    <w:lvl w:ilvl="3" w:tentative="0">
      <w:start w:val="1"/>
      <w:numFmt w:val="decimal"/>
      <w:lvlText w:val="%4."/>
      <w:lvlJc w:val="left"/>
      <w:pPr>
        <w:ind w:left="1476" w:hanging="440"/>
      </w:pPr>
    </w:lvl>
    <w:lvl w:ilvl="4" w:tentative="0">
      <w:start w:val="1"/>
      <w:numFmt w:val="lowerLetter"/>
      <w:lvlText w:val="%5)"/>
      <w:lvlJc w:val="left"/>
      <w:pPr>
        <w:ind w:left="1916" w:hanging="440"/>
      </w:pPr>
    </w:lvl>
    <w:lvl w:ilvl="5" w:tentative="0">
      <w:start w:val="1"/>
      <w:numFmt w:val="lowerRoman"/>
      <w:lvlText w:val="%6."/>
      <w:lvlJc w:val="right"/>
      <w:pPr>
        <w:ind w:left="2356" w:hanging="440"/>
      </w:pPr>
    </w:lvl>
    <w:lvl w:ilvl="6" w:tentative="0">
      <w:start w:val="1"/>
      <w:numFmt w:val="decimal"/>
      <w:lvlText w:val="%7."/>
      <w:lvlJc w:val="left"/>
      <w:pPr>
        <w:ind w:left="2796" w:hanging="440"/>
      </w:pPr>
    </w:lvl>
    <w:lvl w:ilvl="7" w:tentative="0">
      <w:start w:val="1"/>
      <w:numFmt w:val="lowerLetter"/>
      <w:lvlText w:val="%8)"/>
      <w:lvlJc w:val="left"/>
      <w:pPr>
        <w:ind w:left="3236" w:hanging="440"/>
      </w:pPr>
    </w:lvl>
    <w:lvl w:ilvl="8" w:tentative="0">
      <w:start w:val="1"/>
      <w:numFmt w:val="lowerRoman"/>
      <w:lvlText w:val="%9."/>
      <w:lvlJc w:val="right"/>
      <w:pPr>
        <w:ind w:left="367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38632A0D"/>
    <w:rsid w:val="000016E3"/>
    <w:rsid w:val="0005680D"/>
    <w:rsid w:val="000C0118"/>
    <w:rsid w:val="000C0C76"/>
    <w:rsid w:val="000F6FAE"/>
    <w:rsid w:val="0010573C"/>
    <w:rsid w:val="00117A34"/>
    <w:rsid w:val="00172699"/>
    <w:rsid w:val="00190ED6"/>
    <w:rsid w:val="001D349E"/>
    <w:rsid w:val="001F17EC"/>
    <w:rsid w:val="00314A00"/>
    <w:rsid w:val="00364628"/>
    <w:rsid w:val="00376313"/>
    <w:rsid w:val="00387367"/>
    <w:rsid w:val="003A024C"/>
    <w:rsid w:val="003C1AF2"/>
    <w:rsid w:val="003E32C9"/>
    <w:rsid w:val="003F79D3"/>
    <w:rsid w:val="004113EB"/>
    <w:rsid w:val="00436BDE"/>
    <w:rsid w:val="00452A0A"/>
    <w:rsid w:val="00475DE2"/>
    <w:rsid w:val="004833D8"/>
    <w:rsid w:val="00486581"/>
    <w:rsid w:val="004A27B6"/>
    <w:rsid w:val="004B3E1C"/>
    <w:rsid w:val="004C2804"/>
    <w:rsid w:val="004D4B0D"/>
    <w:rsid w:val="005E5DA0"/>
    <w:rsid w:val="00612232"/>
    <w:rsid w:val="006E5DA5"/>
    <w:rsid w:val="007261ED"/>
    <w:rsid w:val="00751434"/>
    <w:rsid w:val="00751599"/>
    <w:rsid w:val="007C6210"/>
    <w:rsid w:val="007F629D"/>
    <w:rsid w:val="007F74A5"/>
    <w:rsid w:val="00811AAF"/>
    <w:rsid w:val="0082760E"/>
    <w:rsid w:val="008555F8"/>
    <w:rsid w:val="00863C6E"/>
    <w:rsid w:val="008A1BE8"/>
    <w:rsid w:val="008B28D5"/>
    <w:rsid w:val="008E4AB4"/>
    <w:rsid w:val="009128FA"/>
    <w:rsid w:val="00960850"/>
    <w:rsid w:val="009975D8"/>
    <w:rsid w:val="00A26BFB"/>
    <w:rsid w:val="00AA42EF"/>
    <w:rsid w:val="00AC2607"/>
    <w:rsid w:val="00AD5166"/>
    <w:rsid w:val="00B17E05"/>
    <w:rsid w:val="00B36EC1"/>
    <w:rsid w:val="00B51E37"/>
    <w:rsid w:val="00B76F13"/>
    <w:rsid w:val="00BA5407"/>
    <w:rsid w:val="00BB44BA"/>
    <w:rsid w:val="00BE37F2"/>
    <w:rsid w:val="00C20946"/>
    <w:rsid w:val="00C30E40"/>
    <w:rsid w:val="00C412A1"/>
    <w:rsid w:val="00CC4808"/>
    <w:rsid w:val="00CE79F5"/>
    <w:rsid w:val="00CF4C6E"/>
    <w:rsid w:val="00D172FA"/>
    <w:rsid w:val="00D23F8D"/>
    <w:rsid w:val="00D340AD"/>
    <w:rsid w:val="00D60A1C"/>
    <w:rsid w:val="00DB4DB2"/>
    <w:rsid w:val="00DE2648"/>
    <w:rsid w:val="00E34DA1"/>
    <w:rsid w:val="00E635AA"/>
    <w:rsid w:val="00F02C3A"/>
    <w:rsid w:val="00F20225"/>
    <w:rsid w:val="00F36A01"/>
    <w:rsid w:val="00F37694"/>
    <w:rsid w:val="00F901BE"/>
    <w:rsid w:val="00F921CF"/>
    <w:rsid w:val="00FB4972"/>
    <w:rsid w:val="00FC3AFA"/>
    <w:rsid w:val="00FE7C8E"/>
    <w:rsid w:val="015D2AF2"/>
    <w:rsid w:val="061914DA"/>
    <w:rsid w:val="06234117"/>
    <w:rsid w:val="09C627E5"/>
    <w:rsid w:val="0E286D47"/>
    <w:rsid w:val="16475A79"/>
    <w:rsid w:val="19A65BA3"/>
    <w:rsid w:val="1B1F438E"/>
    <w:rsid w:val="1B7FD054"/>
    <w:rsid w:val="1E0915C6"/>
    <w:rsid w:val="1E73099F"/>
    <w:rsid w:val="248F3D0B"/>
    <w:rsid w:val="2706405C"/>
    <w:rsid w:val="28716AEC"/>
    <w:rsid w:val="2BAE0B52"/>
    <w:rsid w:val="2CAD0B83"/>
    <w:rsid w:val="2F16111A"/>
    <w:rsid w:val="2FFB0430"/>
    <w:rsid w:val="30886AE7"/>
    <w:rsid w:val="32FC9DCF"/>
    <w:rsid w:val="33EF25E4"/>
    <w:rsid w:val="34CC203D"/>
    <w:rsid w:val="35D75BD1"/>
    <w:rsid w:val="38214D90"/>
    <w:rsid w:val="38632A0D"/>
    <w:rsid w:val="3B0E2D5B"/>
    <w:rsid w:val="3DF82817"/>
    <w:rsid w:val="3FDFE847"/>
    <w:rsid w:val="3FE7EABC"/>
    <w:rsid w:val="3FFF4FCC"/>
    <w:rsid w:val="41CF3C4C"/>
    <w:rsid w:val="432B7C17"/>
    <w:rsid w:val="48FD2B2B"/>
    <w:rsid w:val="49D5596B"/>
    <w:rsid w:val="4A281322"/>
    <w:rsid w:val="4AD1270A"/>
    <w:rsid w:val="4DD7541A"/>
    <w:rsid w:val="4E7FE2F4"/>
    <w:rsid w:val="4F806B35"/>
    <w:rsid w:val="557F84FB"/>
    <w:rsid w:val="5B3BE957"/>
    <w:rsid w:val="5B754B5A"/>
    <w:rsid w:val="5BAE91B2"/>
    <w:rsid w:val="5F9141AC"/>
    <w:rsid w:val="5FFFEC24"/>
    <w:rsid w:val="62544AF8"/>
    <w:rsid w:val="65F476D5"/>
    <w:rsid w:val="66341876"/>
    <w:rsid w:val="69923EF7"/>
    <w:rsid w:val="6A751C15"/>
    <w:rsid w:val="6CF724D3"/>
    <w:rsid w:val="6DBBBB9E"/>
    <w:rsid w:val="6DF7CD1D"/>
    <w:rsid w:val="6DFD1F3F"/>
    <w:rsid w:val="6EF83F08"/>
    <w:rsid w:val="6EFF93C8"/>
    <w:rsid w:val="71254CFE"/>
    <w:rsid w:val="72B8DE4D"/>
    <w:rsid w:val="74143988"/>
    <w:rsid w:val="741B72BF"/>
    <w:rsid w:val="74B69D5E"/>
    <w:rsid w:val="753B15B8"/>
    <w:rsid w:val="7872182C"/>
    <w:rsid w:val="794C1BB7"/>
    <w:rsid w:val="7AF7E201"/>
    <w:rsid w:val="7D135E61"/>
    <w:rsid w:val="7D482418"/>
    <w:rsid w:val="7D7442F8"/>
    <w:rsid w:val="7D8FB981"/>
    <w:rsid w:val="7DDD7941"/>
    <w:rsid w:val="7DFD77A7"/>
    <w:rsid w:val="7EBE3439"/>
    <w:rsid w:val="7EDC6CCF"/>
    <w:rsid w:val="7F4B5321"/>
    <w:rsid w:val="7FC741D9"/>
    <w:rsid w:val="7FD79993"/>
    <w:rsid w:val="7FF24CD7"/>
    <w:rsid w:val="7FF71998"/>
    <w:rsid w:val="AFC77815"/>
    <w:rsid w:val="B1B7EF8B"/>
    <w:rsid w:val="B56C7E6D"/>
    <w:rsid w:val="BF7750A3"/>
    <w:rsid w:val="D7FF003F"/>
    <w:rsid w:val="DF7E55BA"/>
    <w:rsid w:val="E6FEC9EB"/>
    <w:rsid w:val="E7BF69B7"/>
    <w:rsid w:val="ED6F2458"/>
    <w:rsid w:val="EE9754B5"/>
    <w:rsid w:val="EF7E985A"/>
    <w:rsid w:val="F7FECA3D"/>
    <w:rsid w:val="F7FFE366"/>
    <w:rsid w:val="F97E0C5A"/>
    <w:rsid w:val="FB7E8A33"/>
    <w:rsid w:val="FBFB4799"/>
    <w:rsid w:val="FDCF4155"/>
    <w:rsid w:val="FDF9F647"/>
    <w:rsid w:val="FE774E30"/>
    <w:rsid w:val="FEB725AB"/>
    <w:rsid w:val="FFD9DFD6"/>
    <w:rsid w:val="FFF2A3CC"/>
    <w:rsid w:val="FFFFC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ind w:firstLine="200" w:firstLineChars="200"/>
      <w:outlineLvl w:val="2"/>
    </w:pPr>
    <w:rPr>
      <w:rFonts w:ascii="仿宋" w:hAnsi="仿宋" w:cs="宋体"/>
      <w:color w:val="FF000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paragraph" w:styleId="3">
    <w:name w:val="Body Text Indent"/>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5">
    <w:name w:val="Normal Indent"/>
    <w:basedOn w:val="1"/>
    <w:qFormat/>
    <w:uiPriority w:val="99"/>
    <w:pPr>
      <w:ind w:firstLine="420" w:firstLineChars="200"/>
    </w:pPr>
  </w:style>
  <w:style w:type="paragraph" w:styleId="6">
    <w:name w:val="Body Text"/>
    <w:basedOn w:val="1"/>
    <w:next w:val="7"/>
    <w:qFormat/>
    <w:uiPriority w:val="0"/>
  </w:style>
  <w:style w:type="paragraph" w:styleId="7">
    <w:name w:val="Body Text First Indent"/>
    <w:basedOn w:val="6"/>
    <w:qFormat/>
    <w:uiPriority w:val="0"/>
    <w:pPr>
      <w:spacing w:after="120"/>
      <w:ind w:firstLine="420" w:firstLineChars="100"/>
    </w:pPr>
    <w:rPr>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10368</Words>
  <Characters>10564</Characters>
  <Lines>136</Lines>
  <Paragraphs>38</Paragraphs>
  <TotalTime>12</TotalTime>
  <ScaleCrop>false</ScaleCrop>
  <LinksUpToDate>false</LinksUpToDate>
  <CharactersWithSpaces>10721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2024-03-07T02:53:00Z</dcterms:created>
  <dc:creator>gkb</dc:creator>
  <cp:lastModifiedBy>doro</cp:lastModifiedBy>
  <cp:lastPrinted>2024-03-22T03:19:00Z</cp:lastPrinted>
  <dcterms:modified xsi:type="dcterms:W3CDTF">2025-12-01T08:20:20Z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63D2E856EB0F4C6293A51E816C4AB6F3</vt:lpwstr>
  </property>
  <property fmtid="{D5CDD505-2E9C-101B-9397-08002B2CF9AE}" pid="4" name="KSOTemplateDocerSaveRecord">
    <vt:lpwstr>eyJoZGlkIjoiNDk5ZDNjNzgwMzZhY2Q4YWNiMDI3NDQzNDY4NmFmMjkiLCJ1c2VySWQiOiIxMDQ4MTQxNDYxIn0=</vt:lpwstr>
  </property>
</Properties>
</file>