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32"/>
          <w:szCs w:val="32"/>
        </w:rPr>
      </w:pPr>
      <w:r>
        <w:rPr>
          <w:rFonts w:hint="eastAsia"/>
          <w:sz w:val="32"/>
          <w:szCs w:val="32"/>
        </w:rPr>
        <w:t>伊吾县污水处理厂2023年三季度环保信息公开表</w:t>
      </w:r>
    </w:p>
    <w:p>
      <w:pPr>
        <w:jc w:val="center"/>
        <w:rPr>
          <w:sz w:val="32"/>
          <w:szCs w:val="32"/>
        </w:rPr>
      </w:pPr>
      <w:r>
        <w:rPr>
          <w:rFonts w:hint="eastAsia"/>
          <w:sz w:val="32"/>
          <w:szCs w:val="32"/>
        </w:rPr>
        <w:t>公开时间：2023-10-9</w:t>
      </w:r>
    </w:p>
    <w:p>
      <w:pPr>
        <w:rPr>
          <w:sz w:val="32"/>
          <w:szCs w:val="32"/>
        </w:rPr>
      </w:pPr>
    </w:p>
    <w:p>
      <w:pPr>
        <w:rPr>
          <w:sz w:val="32"/>
          <w:szCs w:val="32"/>
        </w:rPr>
      </w:pPr>
      <w:r>
        <w:rPr>
          <w:rFonts w:hint="eastAsia"/>
          <w:sz w:val="32"/>
          <w:szCs w:val="32"/>
        </w:rPr>
        <w:t>一、基础信息</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3195"/>
        <w:gridCol w:w="150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rPr>
                <w:sz w:val="32"/>
                <w:szCs w:val="32"/>
              </w:rPr>
            </w:pPr>
            <w:r>
              <w:rPr>
                <w:rFonts w:hint="eastAsia"/>
                <w:sz w:val="32"/>
                <w:szCs w:val="32"/>
              </w:rPr>
              <w:t>单位名称</w:t>
            </w:r>
          </w:p>
        </w:tc>
        <w:tc>
          <w:tcPr>
            <w:tcW w:w="6826" w:type="dxa"/>
            <w:gridSpan w:val="3"/>
          </w:tcPr>
          <w:p>
            <w:pPr>
              <w:rPr>
                <w:sz w:val="32"/>
                <w:szCs w:val="32"/>
              </w:rPr>
            </w:pPr>
            <w:r>
              <w:rPr>
                <w:rFonts w:hint="eastAsia"/>
                <w:sz w:val="32"/>
                <w:szCs w:val="32"/>
              </w:rPr>
              <w:t>伊吾县污水处理厂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rPr>
                <w:sz w:val="24"/>
              </w:rPr>
            </w:pPr>
            <w:r>
              <w:rPr>
                <w:rFonts w:hint="eastAsia"/>
                <w:sz w:val="24"/>
              </w:rPr>
              <w:t>组织机构代码</w:t>
            </w:r>
          </w:p>
        </w:tc>
        <w:tc>
          <w:tcPr>
            <w:tcW w:w="3195" w:type="dxa"/>
          </w:tcPr>
          <w:p>
            <w:pPr>
              <w:rPr>
                <w:sz w:val="24"/>
              </w:rPr>
            </w:pPr>
            <w:r>
              <w:rPr>
                <w:rFonts w:hint="eastAsia"/>
                <w:sz w:val="24"/>
              </w:rPr>
              <w:t>91652223751682882M</w:t>
            </w:r>
          </w:p>
        </w:tc>
        <w:tc>
          <w:tcPr>
            <w:tcW w:w="1500" w:type="dxa"/>
          </w:tcPr>
          <w:p>
            <w:pPr>
              <w:rPr>
                <w:sz w:val="24"/>
              </w:rPr>
            </w:pPr>
            <w:r>
              <w:rPr>
                <w:rFonts w:hint="eastAsia"/>
                <w:sz w:val="24"/>
              </w:rPr>
              <w:t>法定代表人</w:t>
            </w:r>
          </w:p>
        </w:tc>
        <w:tc>
          <w:tcPr>
            <w:tcW w:w="2131" w:type="dxa"/>
          </w:tcPr>
          <w:p>
            <w:pPr>
              <w:rPr>
                <w:sz w:val="24"/>
              </w:rPr>
            </w:pPr>
            <w:r>
              <w:rPr>
                <w:rFonts w:hint="eastAsia"/>
                <w:sz w:val="24"/>
              </w:rPr>
              <w:t>赵云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rPr>
                <w:sz w:val="24"/>
              </w:rPr>
            </w:pPr>
            <w:r>
              <w:rPr>
                <w:rFonts w:hint="eastAsia"/>
                <w:sz w:val="24"/>
              </w:rPr>
              <w:t>生产地址</w:t>
            </w:r>
          </w:p>
        </w:tc>
        <w:tc>
          <w:tcPr>
            <w:tcW w:w="3195" w:type="dxa"/>
          </w:tcPr>
          <w:p>
            <w:pPr>
              <w:rPr>
                <w:sz w:val="24"/>
              </w:rPr>
            </w:pPr>
            <w:r>
              <w:rPr>
                <w:rFonts w:hint="eastAsia"/>
                <w:sz w:val="24"/>
              </w:rPr>
              <w:t>伊吾县8103电台以北100米</w:t>
            </w:r>
          </w:p>
        </w:tc>
        <w:tc>
          <w:tcPr>
            <w:tcW w:w="1500" w:type="dxa"/>
          </w:tcPr>
          <w:p>
            <w:pPr>
              <w:rPr>
                <w:sz w:val="24"/>
              </w:rPr>
            </w:pPr>
            <w:r>
              <w:rPr>
                <w:rFonts w:hint="eastAsia"/>
                <w:sz w:val="24"/>
              </w:rPr>
              <w:t>生产周期</w:t>
            </w:r>
          </w:p>
        </w:tc>
        <w:tc>
          <w:tcPr>
            <w:tcW w:w="2131" w:type="dxa"/>
          </w:tcPr>
          <w:p>
            <w:pPr>
              <w:rPr>
                <w:sz w:val="24"/>
              </w:rPr>
            </w:pPr>
            <w:r>
              <w:rPr>
                <w:rFonts w:hint="eastAsia"/>
                <w:sz w:val="24"/>
              </w:rPr>
              <w:t>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rPr>
                <w:sz w:val="24"/>
              </w:rPr>
            </w:pPr>
            <w:r>
              <w:rPr>
                <w:rFonts w:hint="eastAsia"/>
                <w:sz w:val="24"/>
              </w:rPr>
              <w:t>所属行业</w:t>
            </w:r>
          </w:p>
        </w:tc>
        <w:tc>
          <w:tcPr>
            <w:tcW w:w="3195" w:type="dxa"/>
          </w:tcPr>
          <w:p>
            <w:pPr>
              <w:rPr>
                <w:sz w:val="24"/>
              </w:rPr>
            </w:pPr>
            <w:r>
              <w:rPr>
                <w:rFonts w:hint="eastAsia"/>
                <w:sz w:val="24"/>
              </w:rPr>
              <w:t>生活污水处理</w:t>
            </w:r>
          </w:p>
        </w:tc>
        <w:tc>
          <w:tcPr>
            <w:tcW w:w="1500" w:type="dxa"/>
          </w:tcPr>
          <w:p>
            <w:pPr>
              <w:rPr>
                <w:sz w:val="24"/>
              </w:rPr>
            </w:pPr>
            <w:r>
              <w:rPr>
                <w:rFonts w:hint="eastAsia"/>
                <w:sz w:val="24"/>
              </w:rPr>
              <w:t>联系电话</w:t>
            </w:r>
          </w:p>
        </w:tc>
        <w:tc>
          <w:tcPr>
            <w:tcW w:w="2131"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1696" w:type="dxa"/>
          </w:tcPr>
          <w:p>
            <w:pPr>
              <w:rPr>
                <w:sz w:val="24"/>
              </w:rPr>
            </w:pPr>
            <w:r>
              <w:rPr>
                <w:rFonts w:hint="eastAsia"/>
                <w:sz w:val="24"/>
              </w:rPr>
              <w:t>生产经营和管理服务内容</w:t>
            </w:r>
          </w:p>
        </w:tc>
        <w:tc>
          <w:tcPr>
            <w:tcW w:w="6826" w:type="dxa"/>
            <w:gridSpan w:val="3"/>
          </w:tcPr>
          <w:p>
            <w:pPr>
              <w:rPr>
                <w:sz w:val="24"/>
              </w:rPr>
            </w:pPr>
            <w:r>
              <w:rPr>
                <w:rFonts w:hint="eastAsia"/>
                <w:sz w:val="24"/>
              </w:rPr>
              <w:t>伊吾县县城污水处理厂位于县城陵园路处，总占地面积2500平方米，污水管网建设在现有镇区，污水厂中心地理坐标：东经94°45′26″北纬43°15′15″，设计生产规模污水处理能力1000m³/d，先期工艺采用“初沉池+BAF+二级沉淀”工艺。</w:t>
            </w:r>
          </w:p>
          <w:p>
            <w:pPr>
              <w:rPr>
                <w:sz w:val="24"/>
              </w:rPr>
            </w:pPr>
            <w:r>
              <w:rPr>
                <w:rFonts w:hint="eastAsia"/>
                <w:sz w:val="24"/>
              </w:rPr>
              <w:t>随着国家对污水处理排放标准要求的提高，伊吾县塔峰供排水有限责任公司决定对现有污水处理厂实施改造，技改工艺为：水解酸化+接触氧化池工艺，提升为《城镇污水处理厂污染物排放标准》（GB18918-2002）中一级A标准；目前伊吾县污水处理厂污水处理排放达到一级A排放标准，并长期稳定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1" w:type="dxa"/>
            <w:gridSpan w:val="2"/>
          </w:tcPr>
          <w:p>
            <w:pPr>
              <w:rPr>
                <w:sz w:val="32"/>
                <w:szCs w:val="32"/>
              </w:rPr>
            </w:pPr>
            <w:r>
              <w:rPr>
                <w:rFonts w:hint="eastAsia"/>
                <w:sz w:val="32"/>
                <w:szCs w:val="32"/>
              </w:rPr>
              <w:t>主要产品</w:t>
            </w:r>
          </w:p>
        </w:tc>
        <w:tc>
          <w:tcPr>
            <w:tcW w:w="3631" w:type="dxa"/>
            <w:gridSpan w:val="2"/>
          </w:tcPr>
          <w:p>
            <w:pPr>
              <w:rPr>
                <w:sz w:val="32"/>
                <w:szCs w:val="32"/>
              </w:rPr>
            </w:pPr>
            <w:r>
              <w:rPr>
                <w:rFonts w:hint="eastAsia"/>
                <w:sz w:val="32"/>
                <w:szCs w:val="32"/>
              </w:rPr>
              <w:t>生产规模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1" w:type="dxa"/>
            <w:gridSpan w:val="2"/>
          </w:tcPr>
          <w:p>
            <w:r>
              <w:rPr>
                <w:rFonts w:hint="eastAsia"/>
              </w:rPr>
              <w:t>生活污水</w:t>
            </w:r>
          </w:p>
        </w:tc>
        <w:tc>
          <w:tcPr>
            <w:tcW w:w="3631" w:type="dxa"/>
            <w:gridSpan w:val="2"/>
          </w:tcPr>
          <w:p>
            <w:r>
              <w:rPr>
                <w:rFonts w:hint="eastAsia"/>
              </w:rPr>
              <w:t>1000立方米/天</w:t>
            </w:r>
          </w:p>
        </w:tc>
      </w:tr>
    </w:tbl>
    <w:p/>
    <w:p>
      <w:r>
        <w:rPr>
          <w:rFonts w:hint="eastAsia"/>
        </w:rPr>
        <w:t>三季度排污信息</w:t>
      </w:r>
    </w:p>
    <w:tbl>
      <w:tblPr>
        <w:tblStyle w:val="6"/>
        <w:tblW w:w="8520" w:type="dxa"/>
        <w:tblInd w:w="0" w:type="dxa"/>
        <w:tblLayout w:type="fixed"/>
        <w:tblCellMar>
          <w:top w:w="0" w:type="dxa"/>
          <w:left w:w="0" w:type="dxa"/>
          <w:bottom w:w="0" w:type="dxa"/>
          <w:right w:w="0" w:type="dxa"/>
        </w:tblCellMar>
      </w:tblPr>
      <w:tblGrid>
        <w:gridCol w:w="652"/>
        <w:gridCol w:w="1232"/>
        <w:gridCol w:w="437"/>
        <w:gridCol w:w="728"/>
        <w:gridCol w:w="852"/>
        <w:gridCol w:w="464"/>
        <w:gridCol w:w="451"/>
        <w:gridCol w:w="767"/>
        <w:gridCol w:w="680"/>
        <w:gridCol w:w="1632"/>
        <w:gridCol w:w="625"/>
      </w:tblGrid>
      <w:tr>
        <w:tblPrEx>
          <w:tblCellMar>
            <w:top w:w="0" w:type="dxa"/>
            <w:left w:w="0" w:type="dxa"/>
            <w:bottom w:w="0" w:type="dxa"/>
            <w:right w:w="0" w:type="dxa"/>
          </w:tblCellMar>
        </w:tblPrEx>
        <w:trPr>
          <w:trHeight w:val="285" w:hRule="atLeast"/>
        </w:trPr>
        <w:tc>
          <w:tcPr>
            <w:tcW w:w="8520" w:type="dxa"/>
            <w:gridSpan w:val="11"/>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4"/>
              </w:rPr>
            </w:pPr>
            <w:r>
              <w:rPr>
                <w:rFonts w:hint="eastAsia" w:ascii="宋体" w:hAnsi="宋体" w:eastAsia="宋体" w:cs="宋体"/>
                <w:kern w:val="0"/>
                <w:sz w:val="24"/>
              </w:rPr>
              <w:t>水污染物</w:t>
            </w:r>
          </w:p>
        </w:tc>
      </w:tr>
      <w:tr>
        <w:tblPrEx>
          <w:tblCellMar>
            <w:top w:w="0" w:type="dxa"/>
            <w:left w:w="0" w:type="dxa"/>
            <w:bottom w:w="0" w:type="dxa"/>
            <w:right w:w="0" w:type="dxa"/>
          </w:tblCellMar>
        </w:tblPrEx>
        <w:trPr>
          <w:trHeight w:val="285" w:hRule="atLeast"/>
        </w:trPr>
        <w:tc>
          <w:tcPr>
            <w:tcW w:w="4816" w:type="dxa"/>
            <w:gridSpan w:val="7"/>
            <w:tcBorders>
              <w:top w:val="single" w:color="auto"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4"/>
              </w:rPr>
            </w:pPr>
            <w:r>
              <w:rPr>
                <w:rFonts w:hint="eastAsia" w:ascii="宋体" w:hAnsi="宋体" w:eastAsia="宋体" w:cs="宋体"/>
                <w:kern w:val="0"/>
                <w:sz w:val="24"/>
              </w:rPr>
              <w:t>排放口数量</w:t>
            </w:r>
          </w:p>
        </w:tc>
        <w:tc>
          <w:tcPr>
            <w:tcW w:w="3704" w:type="dxa"/>
            <w:gridSpan w:val="4"/>
            <w:tcBorders>
              <w:top w:val="single" w:color="auto" w:sz="4" w:space="0"/>
              <w:left w:val="nil"/>
              <w:bottom w:val="single" w:color="auto"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4"/>
              </w:rPr>
            </w:pPr>
            <w:r>
              <w:rPr>
                <w:rFonts w:hint="eastAsia" w:ascii="宋体" w:hAnsi="宋体" w:eastAsia="宋体" w:cs="宋体"/>
                <w:kern w:val="0"/>
                <w:sz w:val="24"/>
              </w:rPr>
              <w:t>1</w:t>
            </w:r>
          </w:p>
        </w:tc>
      </w:tr>
      <w:tr>
        <w:tblPrEx>
          <w:tblCellMar>
            <w:top w:w="0" w:type="dxa"/>
            <w:left w:w="0" w:type="dxa"/>
            <w:bottom w:w="0" w:type="dxa"/>
            <w:right w:w="0" w:type="dxa"/>
          </w:tblCellMar>
        </w:tblPrEx>
        <w:trPr>
          <w:trHeight w:val="990" w:hRule="atLeast"/>
        </w:trPr>
        <w:tc>
          <w:tcPr>
            <w:tcW w:w="652"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排放口名称或编号</w:t>
            </w:r>
          </w:p>
        </w:tc>
        <w:tc>
          <w:tcPr>
            <w:tcW w:w="123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排放口位置</w:t>
            </w:r>
          </w:p>
        </w:tc>
        <w:tc>
          <w:tcPr>
            <w:tcW w:w="43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排放方式</w:t>
            </w:r>
          </w:p>
        </w:tc>
        <w:tc>
          <w:tcPr>
            <w:tcW w:w="728"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主要特征污染物</w:t>
            </w:r>
          </w:p>
        </w:tc>
        <w:tc>
          <w:tcPr>
            <w:tcW w:w="85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排放浓度（mg/L）</w:t>
            </w:r>
          </w:p>
        </w:tc>
        <w:tc>
          <w:tcPr>
            <w:tcW w:w="4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监测方式</w:t>
            </w:r>
          </w:p>
        </w:tc>
        <w:tc>
          <w:tcPr>
            <w:tcW w:w="451"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监测时间</w:t>
            </w:r>
          </w:p>
        </w:tc>
        <w:tc>
          <w:tcPr>
            <w:tcW w:w="76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排放总量（kg）</w:t>
            </w:r>
          </w:p>
        </w:tc>
        <w:tc>
          <w:tcPr>
            <w:tcW w:w="68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核定排放总量（kg）</w:t>
            </w:r>
          </w:p>
        </w:tc>
        <w:tc>
          <w:tcPr>
            <w:tcW w:w="163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污染物排放标准（mg/L）</w:t>
            </w:r>
          </w:p>
        </w:tc>
        <w:tc>
          <w:tcPr>
            <w:tcW w:w="62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是否超标</w:t>
            </w:r>
          </w:p>
        </w:tc>
      </w:tr>
      <w:tr>
        <w:tblPrEx>
          <w:tblCellMar>
            <w:top w:w="0" w:type="dxa"/>
            <w:left w:w="0" w:type="dxa"/>
            <w:bottom w:w="0" w:type="dxa"/>
            <w:right w:w="0" w:type="dxa"/>
          </w:tblCellMar>
        </w:tblPrEx>
        <w:trPr>
          <w:trHeight w:val="499" w:hRule="atLeast"/>
        </w:trPr>
        <w:tc>
          <w:tcPr>
            <w:tcW w:w="652" w:type="dxa"/>
            <w:vMerge w:val="restar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微软雅黑" w:hAnsi="微软雅黑" w:eastAsia="微软雅黑" w:cs="微软雅黑"/>
                <w:sz w:val="20"/>
                <w:szCs w:val="20"/>
              </w:rPr>
            </w:pPr>
            <w:r>
              <w:rPr>
                <w:rFonts w:hint="eastAsia" w:ascii="微软雅黑" w:hAnsi="微软雅黑" w:eastAsia="微软雅黑" w:cs="微软雅黑"/>
                <w:kern w:val="0"/>
                <w:sz w:val="20"/>
                <w:szCs w:val="20"/>
              </w:rPr>
              <w:t>总排口</w:t>
            </w:r>
          </w:p>
        </w:tc>
        <w:tc>
          <w:tcPr>
            <w:tcW w:w="1232" w:type="dxa"/>
            <w:vMerge w:val="restar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sz w:val="24"/>
              </w:rPr>
              <w:t>东经94°45′26″北纬43°15′15″</w:t>
            </w:r>
          </w:p>
        </w:tc>
        <w:tc>
          <w:tcPr>
            <w:tcW w:w="437" w:type="dxa"/>
            <w:vMerge w:val="restar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管道集中排放</w:t>
            </w:r>
          </w:p>
        </w:tc>
        <w:tc>
          <w:tcPr>
            <w:tcW w:w="728"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COD</w:t>
            </w:r>
          </w:p>
        </w:tc>
        <w:tc>
          <w:tcPr>
            <w:tcW w:w="85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sz w:val="20"/>
                <w:szCs w:val="20"/>
              </w:rPr>
              <w:t>19.25</w:t>
            </w:r>
          </w:p>
        </w:tc>
        <w:tc>
          <w:tcPr>
            <w:tcW w:w="4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rPr>
              <w:t>在线</w:t>
            </w:r>
          </w:p>
        </w:tc>
        <w:tc>
          <w:tcPr>
            <w:tcW w:w="451"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76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textAlignment w:val="center"/>
              <w:rPr>
                <w:rFonts w:ascii="宋体" w:hAnsi="宋体" w:eastAsia="宋体" w:cs="宋体"/>
                <w:sz w:val="20"/>
                <w:szCs w:val="20"/>
              </w:rPr>
            </w:pPr>
            <w:r>
              <w:rPr>
                <w:rFonts w:hint="eastAsia" w:ascii="宋体" w:hAnsi="宋体" w:eastAsia="宋体" w:cs="宋体"/>
                <w:kern w:val="0"/>
                <w:sz w:val="20"/>
                <w:szCs w:val="20"/>
              </w:rPr>
              <w:t>　1635</w:t>
            </w:r>
          </w:p>
        </w:tc>
        <w:tc>
          <w:tcPr>
            <w:tcW w:w="68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1632" w:type="dxa"/>
            <w:vMerge w:val="restart"/>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《城镇污水处理厂污染物排放标准》（GB18918-2002）一级A标准</w:t>
            </w:r>
          </w:p>
        </w:tc>
        <w:tc>
          <w:tcPr>
            <w:tcW w:w="62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否</w:t>
            </w:r>
          </w:p>
        </w:tc>
      </w:tr>
      <w:tr>
        <w:tblPrEx>
          <w:tblCellMar>
            <w:top w:w="0" w:type="dxa"/>
            <w:left w:w="0" w:type="dxa"/>
            <w:bottom w:w="0" w:type="dxa"/>
            <w:right w:w="0" w:type="dxa"/>
          </w:tblCellMar>
        </w:tblPrEx>
        <w:trPr>
          <w:trHeight w:val="499" w:hRule="atLeast"/>
        </w:trPr>
        <w:tc>
          <w:tcPr>
            <w:tcW w:w="65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微软雅黑" w:hAnsi="微软雅黑" w:eastAsia="微软雅黑" w:cs="微软雅黑"/>
                <w:sz w:val="20"/>
                <w:szCs w:val="20"/>
              </w:rPr>
            </w:pPr>
          </w:p>
        </w:tc>
        <w:tc>
          <w:tcPr>
            <w:tcW w:w="123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437"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728"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氨氮</w:t>
            </w:r>
          </w:p>
        </w:tc>
        <w:tc>
          <w:tcPr>
            <w:tcW w:w="85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sz w:val="20"/>
                <w:szCs w:val="20"/>
              </w:rPr>
              <w:t>0.22</w:t>
            </w:r>
          </w:p>
        </w:tc>
        <w:tc>
          <w:tcPr>
            <w:tcW w:w="4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rPr>
              <w:t>在线</w:t>
            </w:r>
          </w:p>
        </w:tc>
        <w:tc>
          <w:tcPr>
            <w:tcW w:w="451"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76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textAlignment w:val="center"/>
              <w:rPr>
                <w:rFonts w:ascii="宋体" w:hAnsi="宋体" w:eastAsia="宋体" w:cs="宋体"/>
                <w:sz w:val="20"/>
                <w:szCs w:val="20"/>
              </w:rPr>
            </w:pPr>
            <w:r>
              <w:rPr>
                <w:rFonts w:hint="eastAsia" w:ascii="宋体" w:hAnsi="宋体" w:eastAsia="宋体" w:cs="宋体"/>
                <w:kern w:val="0"/>
                <w:sz w:val="20"/>
                <w:szCs w:val="20"/>
              </w:rPr>
              <w:t>　19</w:t>
            </w:r>
          </w:p>
        </w:tc>
        <w:tc>
          <w:tcPr>
            <w:tcW w:w="68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1632"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62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否</w:t>
            </w:r>
          </w:p>
        </w:tc>
      </w:tr>
      <w:tr>
        <w:tblPrEx>
          <w:tblCellMar>
            <w:top w:w="0" w:type="dxa"/>
            <w:left w:w="0" w:type="dxa"/>
            <w:bottom w:w="0" w:type="dxa"/>
            <w:right w:w="0" w:type="dxa"/>
          </w:tblCellMar>
        </w:tblPrEx>
        <w:trPr>
          <w:trHeight w:val="499" w:hRule="atLeast"/>
        </w:trPr>
        <w:tc>
          <w:tcPr>
            <w:tcW w:w="65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微软雅黑" w:hAnsi="微软雅黑" w:eastAsia="微软雅黑" w:cs="微软雅黑"/>
                <w:sz w:val="20"/>
                <w:szCs w:val="20"/>
              </w:rPr>
            </w:pPr>
          </w:p>
        </w:tc>
        <w:tc>
          <w:tcPr>
            <w:tcW w:w="123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437"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728"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悬浮物</w:t>
            </w:r>
          </w:p>
        </w:tc>
        <w:tc>
          <w:tcPr>
            <w:tcW w:w="85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8</w:t>
            </w:r>
          </w:p>
        </w:tc>
        <w:tc>
          <w:tcPr>
            <w:tcW w:w="4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手工</w:t>
            </w:r>
          </w:p>
        </w:tc>
        <w:tc>
          <w:tcPr>
            <w:tcW w:w="451"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76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68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1632"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62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否</w:t>
            </w:r>
          </w:p>
        </w:tc>
      </w:tr>
      <w:tr>
        <w:tblPrEx>
          <w:tblCellMar>
            <w:top w:w="0" w:type="dxa"/>
            <w:left w:w="0" w:type="dxa"/>
            <w:bottom w:w="0" w:type="dxa"/>
            <w:right w:w="0" w:type="dxa"/>
          </w:tblCellMar>
        </w:tblPrEx>
        <w:trPr>
          <w:trHeight w:val="499" w:hRule="atLeast"/>
        </w:trPr>
        <w:tc>
          <w:tcPr>
            <w:tcW w:w="65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微软雅黑" w:hAnsi="微软雅黑" w:eastAsia="微软雅黑" w:cs="微软雅黑"/>
                <w:sz w:val="20"/>
                <w:szCs w:val="20"/>
              </w:rPr>
            </w:pPr>
          </w:p>
        </w:tc>
        <w:tc>
          <w:tcPr>
            <w:tcW w:w="123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437"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728"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总磷</w:t>
            </w:r>
          </w:p>
        </w:tc>
        <w:tc>
          <w:tcPr>
            <w:tcW w:w="85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sz w:val="20"/>
                <w:szCs w:val="20"/>
              </w:rPr>
              <w:t>0.15</w:t>
            </w:r>
          </w:p>
        </w:tc>
        <w:tc>
          <w:tcPr>
            <w:tcW w:w="4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rPr>
              <w:t>在线</w:t>
            </w:r>
          </w:p>
        </w:tc>
        <w:tc>
          <w:tcPr>
            <w:tcW w:w="451"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76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rPr>
              <w:t>12</w:t>
            </w:r>
          </w:p>
        </w:tc>
        <w:tc>
          <w:tcPr>
            <w:tcW w:w="68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1632"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62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否</w:t>
            </w:r>
          </w:p>
        </w:tc>
      </w:tr>
      <w:tr>
        <w:tblPrEx>
          <w:tblCellMar>
            <w:top w:w="0" w:type="dxa"/>
            <w:left w:w="0" w:type="dxa"/>
            <w:bottom w:w="0" w:type="dxa"/>
            <w:right w:w="0" w:type="dxa"/>
          </w:tblCellMar>
        </w:tblPrEx>
        <w:trPr>
          <w:trHeight w:val="499" w:hRule="atLeast"/>
        </w:trPr>
        <w:tc>
          <w:tcPr>
            <w:tcW w:w="65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微软雅黑" w:hAnsi="微软雅黑" w:eastAsia="微软雅黑" w:cs="微软雅黑"/>
                <w:sz w:val="20"/>
                <w:szCs w:val="20"/>
              </w:rPr>
            </w:pPr>
          </w:p>
        </w:tc>
        <w:tc>
          <w:tcPr>
            <w:tcW w:w="1232"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437" w:type="dxa"/>
            <w:vMerge w:val="continue"/>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728"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总氮</w:t>
            </w:r>
          </w:p>
        </w:tc>
        <w:tc>
          <w:tcPr>
            <w:tcW w:w="852"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sz w:val="20"/>
                <w:szCs w:val="20"/>
              </w:rPr>
              <w:t>10.4</w:t>
            </w:r>
          </w:p>
        </w:tc>
        <w:tc>
          <w:tcPr>
            <w:tcW w:w="46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rPr>
              <w:t>在线</w:t>
            </w:r>
          </w:p>
        </w:tc>
        <w:tc>
          <w:tcPr>
            <w:tcW w:w="451"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767"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sz w:val="20"/>
                <w:szCs w:val="20"/>
              </w:rPr>
              <w:t>907</w:t>
            </w:r>
          </w:p>
        </w:tc>
        <w:tc>
          <w:tcPr>
            <w:tcW w:w="680"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sz w:val="20"/>
                <w:szCs w:val="20"/>
              </w:rPr>
            </w:pPr>
            <w:r>
              <w:rPr>
                <w:rFonts w:hint="eastAsia" w:ascii="宋体" w:hAnsi="宋体" w:eastAsia="宋体" w:cs="宋体"/>
                <w:kern w:val="0"/>
                <w:sz w:val="20"/>
                <w:szCs w:val="20"/>
              </w:rPr>
              <w:t>　</w:t>
            </w:r>
          </w:p>
        </w:tc>
        <w:tc>
          <w:tcPr>
            <w:tcW w:w="1632" w:type="dxa"/>
            <w:vMerge w:val="continue"/>
            <w:tcBorders>
              <w:top w:val="nil"/>
              <w:left w:val="single" w:color="auto" w:sz="4" w:space="0"/>
              <w:bottom w:val="single" w:color="000000" w:sz="4" w:space="0"/>
              <w:right w:val="single" w:color="auto" w:sz="4" w:space="0"/>
            </w:tcBorders>
            <w:shd w:val="clear" w:color="auto" w:fill="auto"/>
            <w:tcMar>
              <w:top w:w="15" w:type="dxa"/>
              <w:left w:w="15" w:type="dxa"/>
              <w:right w:w="15" w:type="dxa"/>
            </w:tcMar>
            <w:vAlign w:val="center"/>
          </w:tcPr>
          <w:p>
            <w:pPr>
              <w:jc w:val="center"/>
              <w:rPr>
                <w:rFonts w:ascii="宋体" w:hAnsi="宋体" w:eastAsia="宋体" w:cs="宋体"/>
                <w:sz w:val="20"/>
                <w:szCs w:val="20"/>
              </w:rPr>
            </w:pPr>
          </w:p>
        </w:tc>
        <w:tc>
          <w:tcPr>
            <w:tcW w:w="625"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sz w:val="20"/>
                <w:szCs w:val="20"/>
              </w:rPr>
            </w:pPr>
            <w:r>
              <w:rPr>
                <w:rFonts w:hint="eastAsia" w:ascii="宋体" w:hAnsi="宋体" w:eastAsia="宋体" w:cs="宋体"/>
                <w:kern w:val="0"/>
                <w:sz w:val="20"/>
                <w:szCs w:val="20"/>
              </w:rPr>
              <w:t>否</w:t>
            </w:r>
          </w:p>
        </w:tc>
      </w:tr>
    </w:tbl>
    <w:p/>
    <w:p/>
    <w:p/>
    <w:p/>
    <w:p>
      <w:r>
        <w:rPr>
          <w:rFonts w:hint="eastAsia"/>
        </w:rPr>
        <w:t>固体废物</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r>
              <w:rPr>
                <w:rFonts w:hint="eastAsia"/>
              </w:rPr>
              <w:t>废物名称</w:t>
            </w:r>
          </w:p>
        </w:tc>
        <w:tc>
          <w:tcPr>
            <w:tcW w:w="1704" w:type="dxa"/>
          </w:tcPr>
          <w:p>
            <w:r>
              <w:rPr>
                <w:rFonts w:hint="eastAsia"/>
              </w:rPr>
              <w:t>是否危险废物</w:t>
            </w:r>
          </w:p>
        </w:tc>
        <w:tc>
          <w:tcPr>
            <w:tcW w:w="1704" w:type="dxa"/>
          </w:tcPr>
          <w:p>
            <w:r>
              <w:rPr>
                <w:rFonts w:hint="eastAsia"/>
              </w:rPr>
              <w:t>处理处置方式</w:t>
            </w:r>
          </w:p>
        </w:tc>
        <w:tc>
          <w:tcPr>
            <w:tcW w:w="1705" w:type="dxa"/>
          </w:tcPr>
          <w:p>
            <w:r>
              <w:rPr>
                <w:rFonts w:hint="eastAsia"/>
              </w:rPr>
              <w:t>处理处置数量（kg）</w:t>
            </w:r>
          </w:p>
        </w:tc>
        <w:tc>
          <w:tcPr>
            <w:tcW w:w="1705" w:type="dxa"/>
          </w:tcPr>
          <w:p>
            <w:r>
              <w:rPr>
                <w:rFonts w:hint="eastAsia"/>
              </w:rPr>
              <w:t>处置去向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r>
              <w:rPr>
                <w:rFonts w:hint="eastAsia"/>
              </w:rPr>
              <w:t>生活垃圾</w:t>
            </w:r>
          </w:p>
        </w:tc>
        <w:tc>
          <w:tcPr>
            <w:tcW w:w="1704" w:type="dxa"/>
          </w:tcPr>
          <w:p>
            <w:r>
              <w:rPr>
                <w:rFonts w:hint="eastAsia"/>
              </w:rPr>
              <w:t>否</w:t>
            </w:r>
          </w:p>
        </w:tc>
        <w:tc>
          <w:tcPr>
            <w:tcW w:w="1704" w:type="dxa"/>
          </w:tcPr>
          <w:p>
            <w:r>
              <w:rPr>
                <w:rFonts w:hint="eastAsia"/>
              </w:rPr>
              <w:t>生活垃圾场填埋处理</w:t>
            </w:r>
          </w:p>
        </w:tc>
        <w:tc>
          <w:tcPr>
            <w:tcW w:w="1705" w:type="dxa"/>
            <w:vMerge w:val="restart"/>
          </w:tcPr>
          <w:p>
            <w:r>
              <w:rPr>
                <w:rFonts w:hint="eastAsia"/>
              </w:rPr>
              <w:t>24吨（含水率60%）</w:t>
            </w:r>
          </w:p>
        </w:tc>
        <w:tc>
          <w:tcPr>
            <w:tcW w:w="1705" w:type="dxa"/>
          </w:tcPr>
          <w:p>
            <w:r>
              <w:rPr>
                <w:rFonts w:hint="eastAsia"/>
              </w:rPr>
              <w:t>垃圾填埋场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r>
              <w:rPr>
                <w:rFonts w:hint="eastAsia"/>
              </w:rPr>
              <w:t>生产污泥</w:t>
            </w:r>
          </w:p>
        </w:tc>
        <w:tc>
          <w:tcPr>
            <w:tcW w:w="1704" w:type="dxa"/>
          </w:tcPr>
          <w:p>
            <w:r>
              <w:rPr>
                <w:rFonts w:hint="eastAsia"/>
              </w:rPr>
              <w:t>否</w:t>
            </w:r>
          </w:p>
        </w:tc>
        <w:tc>
          <w:tcPr>
            <w:tcW w:w="1704" w:type="dxa"/>
          </w:tcPr>
          <w:p>
            <w:r>
              <w:rPr>
                <w:rFonts w:hint="eastAsia"/>
              </w:rPr>
              <w:t>生活垃圾场填埋处理</w:t>
            </w:r>
          </w:p>
        </w:tc>
        <w:tc>
          <w:tcPr>
            <w:tcW w:w="1705" w:type="dxa"/>
            <w:vMerge w:val="continue"/>
          </w:tcPr>
          <w:p/>
        </w:tc>
        <w:tc>
          <w:tcPr>
            <w:tcW w:w="1705" w:type="dxa"/>
          </w:tcPr>
          <w:p>
            <w:r>
              <w:rPr>
                <w:rFonts w:hint="eastAsia"/>
              </w:rPr>
              <w:t>定位防扬尘存放</w:t>
            </w:r>
          </w:p>
        </w:tc>
      </w:tr>
    </w:tbl>
    <w:p/>
    <w:p>
      <w:r>
        <w:rPr>
          <w:rFonts w:hint="eastAsia"/>
        </w:rPr>
        <w:t>三、防治污染设施的建设和运行情况</w:t>
      </w:r>
    </w:p>
    <w:tbl>
      <w:tblPr>
        <w:tblStyle w:val="7"/>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217"/>
        <w:gridCol w:w="1217"/>
        <w:gridCol w:w="1218"/>
        <w:gridCol w:w="1218"/>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r>
              <w:rPr>
                <w:rFonts w:hint="eastAsia"/>
              </w:rPr>
              <w:t>设施类别</w:t>
            </w:r>
          </w:p>
        </w:tc>
        <w:tc>
          <w:tcPr>
            <w:tcW w:w="1217" w:type="dxa"/>
          </w:tcPr>
          <w:p>
            <w:r>
              <w:rPr>
                <w:rFonts w:hint="eastAsia"/>
              </w:rPr>
              <w:t>防治污染设施名称</w:t>
            </w:r>
          </w:p>
        </w:tc>
        <w:tc>
          <w:tcPr>
            <w:tcW w:w="1217" w:type="dxa"/>
          </w:tcPr>
          <w:p>
            <w:r>
              <w:rPr>
                <w:rFonts w:hint="eastAsia"/>
              </w:rPr>
              <w:t>投运时间</w:t>
            </w:r>
          </w:p>
        </w:tc>
        <w:tc>
          <w:tcPr>
            <w:tcW w:w="1217" w:type="dxa"/>
          </w:tcPr>
          <w:p>
            <w:r>
              <w:rPr>
                <w:rFonts w:hint="eastAsia"/>
              </w:rPr>
              <w:t>处理能力</w:t>
            </w:r>
          </w:p>
        </w:tc>
        <w:tc>
          <w:tcPr>
            <w:tcW w:w="1218" w:type="dxa"/>
          </w:tcPr>
          <w:p>
            <w:r>
              <w:rPr>
                <w:rFonts w:hint="eastAsia"/>
              </w:rPr>
              <w:t>运行情况</w:t>
            </w:r>
          </w:p>
        </w:tc>
        <w:tc>
          <w:tcPr>
            <w:tcW w:w="1218" w:type="dxa"/>
          </w:tcPr>
          <w:p>
            <w:r>
              <w:rPr>
                <w:rFonts w:hint="eastAsia"/>
              </w:rPr>
              <w:t>运维单位</w:t>
            </w:r>
          </w:p>
        </w:tc>
        <w:tc>
          <w:tcPr>
            <w:tcW w:w="1217" w:type="dxa"/>
          </w:tcPr>
          <w:p>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r>
              <w:rPr>
                <w:rFonts w:hint="eastAsia"/>
              </w:rPr>
              <w:t>水污染物</w:t>
            </w:r>
          </w:p>
        </w:tc>
        <w:tc>
          <w:tcPr>
            <w:tcW w:w="1217" w:type="dxa"/>
          </w:tcPr>
          <w:p>
            <w:r>
              <w:rPr>
                <w:rFonts w:hint="eastAsia"/>
              </w:rPr>
              <w:t>水解酸化+接触氧化活性污泥法</w:t>
            </w:r>
          </w:p>
        </w:tc>
        <w:tc>
          <w:tcPr>
            <w:tcW w:w="1217" w:type="dxa"/>
          </w:tcPr>
          <w:p>
            <w:r>
              <w:rPr>
                <w:rFonts w:hint="eastAsia"/>
              </w:rPr>
              <w:t>2020年6月</w:t>
            </w:r>
          </w:p>
        </w:tc>
        <w:tc>
          <w:tcPr>
            <w:tcW w:w="1217" w:type="dxa"/>
          </w:tcPr>
          <w:p>
            <w:r>
              <w:rPr>
                <w:rFonts w:hint="eastAsia"/>
              </w:rPr>
              <w:t>1200m³/天</w:t>
            </w:r>
          </w:p>
        </w:tc>
        <w:tc>
          <w:tcPr>
            <w:tcW w:w="1218" w:type="dxa"/>
          </w:tcPr>
          <w:p>
            <w:r>
              <w:rPr>
                <w:rFonts w:hint="eastAsia"/>
              </w:rPr>
              <w:t>正常</w:t>
            </w:r>
          </w:p>
        </w:tc>
        <w:tc>
          <w:tcPr>
            <w:tcW w:w="1218" w:type="dxa"/>
          </w:tcPr>
          <w:p>
            <w:r>
              <w:rPr>
                <w:rFonts w:hint="eastAsia"/>
              </w:rPr>
              <w:t>湖南湘达环保工程有限公司</w:t>
            </w:r>
          </w:p>
        </w:tc>
        <w:tc>
          <w:tcPr>
            <w:tcW w:w="1217" w:type="dxa"/>
          </w:tcPr>
          <w:p>
            <w:r>
              <w:rPr>
                <w:rFonts w:hint="eastAsia"/>
              </w:rPr>
              <w:t>2020年4月开始改造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r>
              <w:rPr>
                <w:rFonts w:hint="eastAsia"/>
              </w:rPr>
              <w:t>固体废物</w:t>
            </w:r>
          </w:p>
        </w:tc>
        <w:tc>
          <w:tcPr>
            <w:tcW w:w="1217" w:type="dxa"/>
          </w:tcPr>
          <w:p>
            <w:r>
              <w:rPr>
                <w:rFonts w:hint="eastAsia"/>
              </w:rPr>
              <w:t>定位防扬尘存放</w:t>
            </w:r>
          </w:p>
        </w:tc>
        <w:tc>
          <w:tcPr>
            <w:tcW w:w="1217" w:type="dxa"/>
          </w:tcPr>
          <w:p>
            <w:r>
              <w:rPr>
                <w:rFonts w:hint="eastAsia"/>
              </w:rPr>
              <w:t>2014年9月</w:t>
            </w:r>
          </w:p>
        </w:tc>
        <w:tc>
          <w:tcPr>
            <w:tcW w:w="1217" w:type="dxa"/>
          </w:tcPr>
          <w:p>
            <w:r>
              <w:rPr>
                <w:rFonts w:hint="eastAsia"/>
              </w:rPr>
              <w:t>30m³/h</w:t>
            </w:r>
          </w:p>
        </w:tc>
        <w:tc>
          <w:tcPr>
            <w:tcW w:w="1218" w:type="dxa"/>
          </w:tcPr>
          <w:p>
            <w:r>
              <w:rPr>
                <w:rFonts w:hint="eastAsia"/>
              </w:rPr>
              <w:t>正常</w:t>
            </w:r>
          </w:p>
        </w:tc>
        <w:tc>
          <w:tcPr>
            <w:tcW w:w="1218" w:type="dxa"/>
          </w:tcPr>
          <w:p>
            <w:r>
              <w:rPr>
                <w:rFonts w:hint="eastAsia"/>
              </w:rPr>
              <w:t>湖南湘达环保工程有限公司</w:t>
            </w:r>
          </w:p>
        </w:tc>
        <w:tc>
          <w:tcPr>
            <w:tcW w:w="1217" w:type="dxa"/>
          </w:tcPr>
          <w:p>
            <w:r>
              <w:rPr>
                <w:rFonts w:hint="eastAsia"/>
              </w:rPr>
              <w:t>固废外运至伊吾县垃圾填埋场进行合理填埋。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r>
              <w:rPr>
                <w:rFonts w:hint="eastAsia"/>
              </w:rPr>
              <w:t>噪声</w:t>
            </w:r>
          </w:p>
        </w:tc>
        <w:tc>
          <w:tcPr>
            <w:tcW w:w="1217" w:type="dxa"/>
          </w:tcPr>
          <w:p>
            <w:r>
              <w:rPr>
                <w:rFonts w:hint="eastAsia"/>
              </w:rPr>
              <w:t>消音器、隔音罩</w:t>
            </w:r>
          </w:p>
        </w:tc>
        <w:tc>
          <w:tcPr>
            <w:tcW w:w="1217" w:type="dxa"/>
          </w:tcPr>
          <w:p>
            <w:r>
              <w:rPr>
                <w:rFonts w:hint="eastAsia"/>
              </w:rPr>
              <w:t>2018年9月</w:t>
            </w:r>
          </w:p>
        </w:tc>
        <w:tc>
          <w:tcPr>
            <w:tcW w:w="1217" w:type="dxa"/>
          </w:tcPr>
          <w:p/>
        </w:tc>
        <w:tc>
          <w:tcPr>
            <w:tcW w:w="1218" w:type="dxa"/>
          </w:tcPr>
          <w:p>
            <w:r>
              <w:rPr>
                <w:rFonts w:hint="eastAsia"/>
              </w:rPr>
              <w:t>正常</w:t>
            </w:r>
          </w:p>
        </w:tc>
        <w:tc>
          <w:tcPr>
            <w:tcW w:w="1218" w:type="dxa"/>
          </w:tcPr>
          <w:p/>
        </w:tc>
        <w:tc>
          <w:tcPr>
            <w:tcW w:w="1217" w:type="dxa"/>
          </w:tcPr>
          <w:p/>
        </w:tc>
      </w:tr>
    </w:tbl>
    <w:p/>
    <w:p/>
    <w:p/>
    <w:p/>
    <w:p/>
    <w:p/>
    <w:p/>
    <w:p/>
    <w:p/>
    <w:p/>
    <w:p/>
    <w:p/>
    <w:p/>
    <w:p/>
    <w:p>
      <w:r>
        <w:rPr>
          <w:rFonts w:hint="eastAsia"/>
        </w:rPr>
        <w:t>四、建设项目环境影响评价及其他环境保护行政许可情况</w:t>
      </w:r>
    </w:p>
    <w:p>
      <w:pPr>
        <w:tabs>
          <w:tab w:val="left" w:pos="1298"/>
        </w:tabs>
        <w:jc w:val="left"/>
      </w:pPr>
    </w:p>
    <w:tbl>
      <w:tblPr>
        <w:tblStyle w:val="7"/>
        <w:tblpPr w:leftFromText="180" w:rightFromText="180" w:vertAnchor="text" w:horzAnchor="page" w:tblpX="1015" w:tblpY="1182"/>
        <w:tblOverlap w:val="never"/>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1428"/>
        <w:gridCol w:w="1068"/>
        <w:gridCol w:w="1284"/>
        <w:gridCol w:w="960"/>
        <w:gridCol w:w="960"/>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trPr>
        <w:tc>
          <w:tcPr>
            <w:tcW w:w="1651" w:type="dxa"/>
          </w:tcPr>
          <w:p>
            <w:pPr>
              <w:rPr>
                <w:sz w:val="20"/>
                <w:szCs w:val="20"/>
              </w:rPr>
            </w:pPr>
            <w:r>
              <w:rPr>
                <w:rFonts w:hint="eastAsia"/>
                <w:sz w:val="20"/>
                <w:szCs w:val="20"/>
              </w:rPr>
              <w:t>建设项目名称</w:t>
            </w:r>
          </w:p>
        </w:tc>
        <w:tc>
          <w:tcPr>
            <w:tcW w:w="1428" w:type="dxa"/>
          </w:tcPr>
          <w:p>
            <w:pPr>
              <w:rPr>
                <w:sz w:val="20"/>
                <w:szCs w:val="20"/>
              </w:rPr>
            </w:pPr>
            <w:r>
              <w:rPr>
                <w:rFonts w:hint="eastAsia"/>
                <w:sz w:val="20"/>
                <w:szCs w:val="20"/>
              </w:rPr>
              <w:t>环评批复单位</w:t>
            </w:r>
          </w:p>
        </w:tc>
        <w:tc>
          <w:tcPr>
            <w:tcW w:w="1068" w:type="dxa"/>
          </w:tcPr>
          <w:p>
            <w:pPr>
              <w:rPr>
                <w:sz w:val="20"/>
                <w:szCs w:val="20"/>
              </w:rPr>
            </w:pPr>
            <w:r>
              <w:rPr>
                <w:rFonts w:hint="eastAsia"/>
                <w:sz w:val="20"/>
                <w:szCs w:val="20"/>
              </w:rPr>
              <w:t>环评批复时间</w:t>
            </w:r>
          </w:p>
        </w:tc>
        <w:tc>
          <w:tcPr>
            <w:tcW w:w="1284" w:type="dxa"/>
          </w:tcPr>
          <w:p>
            <w:pPr>
              <w:rPr>
                <w:sz w:val="20"/>
                <w:szCs w:val="20"/>
              </w:rPr>
            </w:pPr>
            <w:r>
              <w:rPr>
                <w:rFonts w:hint="eastAsia"/>
                <w:sz w:val="20"/>
                <w:szCs w:val="20"/>
              </w:rPr>
              <w:t>环评批复文号</w:t>
            </w:r>
          </w:p>
        </w:tc>
        <w:tc>
          <w:tcPr>
            <w:tcW w:w="960" w:type="dxa"/>
          </w:tcPr>
          <w:p>
            <w:pPr>
              <w:rPr>
                <w:sz w:val="20"/>
                <w:szCs w:val="20"/>
              </w:rPr>
            </w:pPr>
            <w:r>
              <w:rPr>
                <w:rFonts w:hint="eastAsia"/>
                <w:sz w:val="20"/>
                <w:szCs w:val="20"/>
              </w:rPr>
              <w:t>竣工验收单位</w:t>
            </w:r>
          </w:p>
        </w:tc>
        <w:tc>
          <w:tcPr>
            <w:tcW w:w="960" w:type="dxa"/>
          </w:tcPr>
          <w:p>
            <w:pPr>
              <w:rPr>
                <w:sz w:val="20"/>
                <w:szCs w:val="20"/>
              </w:rPr>
            </w:pPr>
            <w:r>
              <w:rPr>
                <w:rFonts w:hint="eastAsia"/>
                <w:sz w:val="20"/>
                <w:szCs w:val="20"/>
              </w:rPr>
              <w:t>竣工验收时间</w:t>
            </w:r>
          </w:p>
        </w:tc>
        <w:tc>
          <w:tcPr>
            <w:tcW w:w="1212" w:type="dxa"/>
          </w:tcPr>
          <w:p>
            <w:pPr>
              <w:rPr>
                <w:sz w:val="20"/>
                <w:szCs w:val="20"/>
              </w:rPr>
            </w:pPr>
            <w:r>
              <w:rPr>
                <w:rFonts w:hint="eastAsia"/>
                <w:sz w:val="20"/>
                <w:szCs w:val="20"/>
              </w:rPr>
              <w:t>竣工验收文号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9" w:hRule="atLeast"/>
        </w:trPr>
        <w:tc>
          <w:tcPr>
            <w:tcW w:w="1651" w:type="dxa"/>
          </w:tcPr>
          <w:p>
            <w:r>
              <w:rPr>
                <w:rFonts w:hint="eastAsia"/>
              </w:rPr>
              <w:t>关于伊吾县塔峰供排水有限责任公司污水在利用工程环境影响报告表的批复</w:t>
            </w:r>
          </w:p>
        </w:tc>
        <w:tc>
          <w:tcPr>
            <w:tcW w:w="1428" w:type="dxa"/>
          </w:tcPr>
          <w:p>
            <w:r>
              <w:rPr>
                <w:rFonts w:hint="eastAsia"/>
              </w:rPr>
              <w:t>原新疆维吾尔自治区哈密环境保护局</w:t>
            </w:r>
          </w:p>
        </w:tc>
        <w:tc>
          <w:tcPr>
            <w:tcW w:w="1068" w:type="dxa"/>
          </w:tcPr>
          <w:p>
            <w:r>
              <w:rPr>
                <w:rFonts w:hint="eastAsia"/>
              </w:rPr>
              <w:t>2008年12月2日</w:t>
            </w:r>
          </w:p>
        </w:tc>
        <w:tc>
          <w:tcPr>
            <w:tcW w:w="1284" w:type="dxa"/>
          </w:tcPr>
          <w:p>
            <w:r>
              <w:rPr>
                <w:rFonts w:hint="eastAsia"/>
              </w:rPr>
              <w:t>新环监建表【148号】</w:t>
            </w:r>
          </w:p>
        </w:tc>
        <w:tc>
          <w:tcPr>
            <w:tcW w:w="960" w:type="dxa"/>
          </w:tcPr>
          <w:p/>
        </w:tc>
        <w:tc>
          <w:tcPr>
            <w:tcW w:w="960" w:type="dxa"/>
          </w:tcPr>
          <w:p/>
        </w:tc>
        <w:tc>
          <w:tcPr>
            <w:tcW w:w="12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7" w:hRule="atLeast"/>
        </w:trPr>
        <w:tc>
          <w:tcPr>
            <w:tcW w:w="1651" w:type="dxa"/>
          </w:tcPr>
          <w:p>
            <w:r>
              <w:rPr>
                <w:rFonts w:hint="eastAsia"/>
              </w:rPr>
              <w:t>伊吾县污水处理厂及排水管网建设项目竣工环境保护验收监测报告</w:t>
            </w:r>
          </w:p>
        </w:tc>
        <w:tc>
          <w:tcPr>
            <w:tcW w:w="1428" w:type="dxa"/>
          </w:tcPr>
          <w:p>
            <w:r>
              <w:rPr>
                <w:rFonts w:hint="eastAsia"/>
              </w:rPr>
              <w:t>哈密地区环保局</w:t>
            </w:r>
          </w:p>
        </w:tc>
        <w:tc>
          <w:tcPr>
            <w:tcW w:w="1068" w:type="dxa"/>
          </w:tcPr>
          <w:p>
            <w:r>
              <w:rPr>
                <w:rFonts w:hint="eastAsia"/>
              </w:rPr>
              <w:t>2008年12月</w:t>
            </w:r>
          </w:p>
        </w:tc>
        <w:tc>
          <w:tcPr>
            <w:tcW w:w="1284" w:type="dxa"/>
          </w:tcPr>
          <w:p>
            <w:r>
              <w:rPr>
                <w:rFonts w:hint="eastAsia"/>
              </w:rPr>
              <w:t>验字【2008】第148号</w:t>
            </w:r>
          </w:p>
        </w:tc>
        <w:tc>
          <w:tcPr>
            <w:tcW w:w="960" w:type="dxa"/>
          </w:tcPr>
          <w:p/>
        </w:tc>
        <w:tc>
          <w:tcPr>
            <w:tcW w:w="960" w:type="dxa"/>
          </w:tcPr>
          <w:p/>
        </w:tc>
        <w:tc>
          <w:tcPr>
            <w:tcW w:w="12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2" w:hRule="atLeast"/>
        </w:trPr>
        <w:tc>
          <w:tcPr>
            <w:tcW w:w="1651" w:type="dxa"/>
          </w:tcPr>
          <w:p>
            <w:r>
              <w:rPr>
                <w:rFonts w:hint="eastAsia"/>
              </w:rPr>
              <w:t>关于伊吾县塔峰供排水有限责任公司污水在利用环境保护验收意见的函</w:t>
            </w:r>
          </w:p>
        </w:tc>
        <w:tc>
          <w:tcPr>
            <w:tcW w:w="1428" w:type="dxa"/>
          </w:tcPr>
          <w:p>
            <w:r>
              <w:rPr>
                <w:rFonts w:hint="eastAsia"/>
              </w:rPr>
              <w:t>哈密地区环境保护局</w:t>
            </w:r>
          </w:p>
        </w:tc>
        <w:tc>
          <w:tcPr>
            <w:tcW w:w="1068" w:type="dxa"/>
          </w:tcPr>
          <w:p>
            <w:r>
              <w:rPr>
                <w:rFonts w:hint="eastAsia"/>
              </w:rPr>
              <w:t>2015年9月29日</w:t>
            </w:r>
          </w:p>
        </w:tc>
        <w:tc>
          <w:tcPr>
            <w:tcW w:w="1284" w:type="dxa"/>
          </w:tcPr>
          <w:p>
            <w:r>
              <w:rPr>
                <w:rFonts w:hint="eastAsia"/>
              </w:rPr>
              <w:t>哈地环监验函【2015】25号</w:t>
            </w:r>
          </w:p>
        </w:tc>
        <w:tc>
          <w:tcPr>
            <w:tcW w:w="960" w:type="dxa"/>
          </w:tcPr>
          <w:p/>
        </w:tc>
        <w:tc>
          <w:tcPr>
            <w:tcW w:w="960" w:type="dxa"/>
          </w:tcPr>
          <w:p/>
        </w:tc>
        <w:tc>
          <w:tcPr>
            <w:tcW w:w="121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1" w:hRule="atLeast"/>
        </w:trPr>
        <w:tc>
          <w:tcPr>
            <w:tcW w:w="1651" w:type="dxa"/>
          </w:tcPr>
          <w:p>
            <w:r>
              <w:rPr>
                <w:rFonts w:hint="eastAsia"/>
              </w:rPr>
              <w:t>关于伊吾县污水处理厂污染源自动监控设施验收意见的函</w:t>
            </w:r>
          </w:p>
        </w:tc>
        <w:tc>
          <w:tcPr>
            <w:tcW w:w="1428" w:type="dxa"/>
          </w:tcPr>
          <w:p>
            <w:r>
              <w:rPr>
                <w:rFonts w:hint="eastAsia"/>
              </w:rPr>
              <w:t>企业自行验收</w:t>
            </w:r>
          </w:p>
        </w:tc>
        <w:tc>
          <w:tcPr>
            <w:tcW w:w="1068" w:type="dxa"/>
          </w:tcPr>
          <w:p>
            <w:r>
              <w:rPr>
                <w:rFonts w:hint="eastAsia"/>
              </w:rPr>
              <w:t>2018年9月13日</w:t>
            </w:r>
          </w:p>
        </w:tc>
        <w:tc>
          <w:tcPr>
            <w:tcW w:w="1284" w:type="dxa"/>
          </w:tcPr>
          <w:p>
            <w:r>
              <w:rPr>
                <w:rFonts w:hint="eastAsia"/>
              </w:rPr>
              <w:t>关于伊吾县镇污水处理厂污染源自动监控设施验收意见的函</w:t>
            </w:r>
          </w:p>
        </w:tc>
        <w:tc>
          <w:tcPr>
            <w:tcW w:w="960" w:type="dxa"/>
          </w:tcPr>
          <w:p/>
        </w:tc>
        <w:tc>
          <w:tcPr>
            <w:tcW w:w="960" w:type="dxa"/>
          </w:tcPr>
          <w:p/>
        </w:tc>
        <w:tc>
          <w:tcPr>
            <w:tcW w:w="1212" w:type="dxa"/>
          </w:tcPr>
          <w:p/>
        </w:tc>
      </w:tr>
    </w:tbl>
    <w:p>
      <w:pPr>
        <w:jc w:val="left"/>
      </w:pPr>
    </w:p>
    <w:p>
      <w:pPr>
        <w:jc w:val="left"/>
        <w:rPr>
          <w:rFonts w:ascii="仿宋" w:hAnsi="仿宋" w:eastAsia="仿宋" w:cs="仿宋"/>
          <w:sz w:val="32"/>
          <w:szCs w:val="32"/>
        </w:rPr>
      </w:pPr>
    </w:p>
    <w:p>
      <w:pPr>
        <w:jc w:val="left"/>
        <w:rPr>
          <w:rFonts w:ascii="仿宋" w:hAnsi="仿宋" w:eastAsia="仿宋" w:cs="仿宋"/>
          <w:sz w:val="32"/>
          <w:szCs w:val="32"/>
        </w:rPr>
      </w:pPr>
    </w:p>
    <w:p>
      <w:pPr>
        <w:jc w:val="left"/>
        <w:rPr>
          <w:rFonts w:ascii="仿宋" w:hAnsi="仿宋" w:eastAsia="仿宋" w:cs="仿宋"/>
          <w:sz w:val="32"/>
          <w:szCs w:val="32"/>
        </w:rPr>
      </w:pPr>
    </w:p>
    <w:p>
      <w:pPr>
        <w:spacing w:before="163" w:afterLines="50" w:line="360" w:lineRule="auto"/>
        <w:rPr>
          <w:rFonts w:eastAsia="方正小标宋简体"/>
          <w:sz w:val="36"/>
          <w:szCs w:val="36"/>
        </w:rPr>
      </w:pPr>
    </w:p>
    <w:p>
      <w:pPr>
        <w:spacing w:before="163" w:afterLines="50" w:line="360" w:lineRule="auto"/>
        <w:rPr>
          <w:rFonts w:eastAsia="方正小标宋简体"/>
          <w:sz w:val="36"/>
          <w:szCs w:val="36"/>
        </w:rPr>
      </w:pPr>
    </w:p>
    <w:p>
      <w:pPr>
        <w:spacing w:before="163" w:afterLines="50" w:line="360" w:lineRule="auto"/>
        <w:rPr>
          <w:rFonts w:eastAsia="方正小标宋简体"/>
          <w:sz w:val="36"/>
          <w:szCs w:val="36"/>
        </w:rPr>
      </w:pPr>
    </w:p>
    <w:p/>
    <w:p/>
    <w:p/>
    <w:p/>
    <w:p/>
    <w:p/>
    <w:p/>
    <w:p/>
    <w:p/>
    <w:p/>
    <w:p>
      <w:r>
        <w:rPr>
          <w:rFonts w:hint="eastAsia"/>
        </w:rPr>
        <w:t>五、环境自行监测方案</w:t>
      </w:r>
    </w:p>
    <w:tbl>
      <w:tblPr>
        <w:tblStyle w:val="7"/>
        <w:tblpPr w:leftFromText="180" w:rightFromText="180" w:vertAnchor="text" w:horzAnchor="margin" w:tblpY="264"/>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6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1" w:type="dxa"/>
          </w:tcPr>
          <w:p>
            <w:r>
              <w:rPr>
                <w:rFonts w:hint="eastAsia"/>
              </w:rPr>
              <w:t>主要内容</w:t>
            </w:r>
          </w:p>
        </w:tc>
        <w:tc>
          <w:tcPr>
            <w:tcW w:w="6841" w:type="dxa"/>
          </w:tcPr>
          <w:p>
            <w:pPr>
              <w:numPr>
                <w:ilvl w:val="0"/>
                <w:numId w:val="1"/>
              </w:numPr>
            </w:pPr>
            <w:r>
              <w:rPr>
                <w:rFonts w:hint="eastAsia"/>
              </w:rPr>
              <w:t>污水处理厂基本情况</w:t>
            </w:r>
          </w:p>
          <w:p>
            <w:pPr>
              <w:numPr>
                <w:ilvl w:val="0"/>
                <w:numId w:val="1"/>
              </w:numPr>
            </w:pPr>
            <w:r>
              <w:rPr>
                <w:rFonts w:hint="eastAsia"/>
              </w:rPr>
              <w:t>自行监测内容</w:t>
            </w:r>
          </w:p>
          <w:p>
            <w:pPr>
              <w:numPr>
                <w:ilvl w:val="0"/>
                <w:numId w:val="1"/>
              </w:numPr>
            </w:pPr>
            <w:r>
              <w:rPr>
                <w:rFonts w:hint="eastAsia"/>
              </w:rPr>
              <w:t>监测方法及质量控制</w:t>
            </w:r>
          </w:p>
          <w:p>
            <w:pPr>
              <w:numPr>
                <w:ilvl w:val="0"/>
                <w:numId w:val="1"/>
              </w:numPr>
            </w:pPr>
            <w:r>
              <w:rPr>
                <w:rFonts w:hint="eastAsia"/>
              </w:rPr>
              <w:t>监测内容公开时限</w:t>
            </w:r>
          </w:p>
        </w:tc>
      </w:tr>
    </w:tbl>
    <w:p>
      <w:pPr>
        <w:spacing w:before="163" w:afterLines="50" w:line="360" w:lineRule="auto"/>
        <w:rPr>
          <w:rFonts w:eastAsia="方正小标宋简体"/>
          <w:sz w:val="36"/>
          <w:szCs w:val="36"/>
        </w:rPr>
      </w:pPr>
    </w:p>
    <w:p>
      <w:pPr>
        <w:spacing w:before="163" w:afterLines="50" w:line="360" w:lineRule="auto"/>
        <w:jc w:val="center"/>
        <w:rPr>
          <w:rFonts w:eastAsia="方正小标宋简体"/>
          <w:sz w:val="36"/>
          <w:szCs w:val="36"/>
        </w:rPr>
      </w:pPr>
    </w:p>
    <w:p>
      <w:pPr>
        <w:spacing w:before="163" w:afterLines="50" w:line="360" w:lineRule="auto"/>
        <w:jc w:val="center"/>
        <w:rPr>
          <w:rFonts w:eastAsia="方正小标宋简体"/>
          <w:sz w:val="36"/>
          <w:szCs w:val="36"/>
        </w:rPr>
      </w:pPr>
      <w:r>
        <w:rPr>
          <w:rFonts w:hint="eastAsia" w:eastAsia="方正小标宋简体"/>
          <w:sz w:val="36"/>
          <w:szCs w:val="36"/>
        </w:rPr>
        <w:t>2023年度伊吾县城生活污水处理厂</w:t>
      </w:r>
    </w:p>
    <w:p>
      <w:pPr>
        <w:spacing w:before="163" w:afterLines="50" w:line="360" w:lineRule="auto"/>
        <w:jc w:val="center"/>
        <w:rPr>
          <w:rFonts w:eastAsia="方正小标宋简体"/>
          <w:sz w:val="36"/>
          <w:szCs w:val="36"/>
        </w:rPr>
      </w:pPr>
      <w:r>
        <w:rPr>
          <w:rFonts w:eastAsia="方正小标宋简体"/>
          <w:sz w:val="36"/>
          <w:szCs w:val="36"/>
        </w:rPr>
        <w:t>自行监测方案</w:t>
      </w:r>
    </w:p>
    <w:p>
      <w:pPr>
        <w:spacing w:before="163" w:afterLines="50" w:line="360" w:lineRule="auto"/>
        <w:jc w:val="center"/>
        <w:rPr>
          <w:rFonts w:eastAsia="方正小标宋简体"/>
          <w:sz w:val="36"/>
          <w:szCs w:val="36"/>
        </w:rPr>
      </w:pPr>
    </w:p>
    <w:p>
      <w:pPr>
        <w:snapToGrid w:val="0"/>
        <w:spacing w:line="360" w:lineRule="auto"/>
        <w:ind w:firstLine="462" w:firstLineChars="165"/>
        <w:rPr>
          <w:rFonts w:ascii="仿宋" w:hAnsi="仿宋" w:eastAsia="仿宋" w:cs="仿宋"/>
          <w:color w:val="000000"/>
          <w:sz w:val="28"/>
          <w:szCs w:val="28"/>
        </w:rPr>
      </w:pPr>
      <w:r>
        <w:rPr>
          <w:rFonts w:hint="eastAsia" w:ascii="仿宋" w:hAnsi="仿宋" w:eastAsia="仿宋" w:cs="仿宋"/>
          <w:color w:val="000000"/>
          <w:sz w:val="28"/>
          <w:szCs w:val="28"/>
        </w:rPr>
        <w:t>按照生态环境部《国家重点监控企业自行监测及信息公开办法（试行）》（环发〔2013〕81号）要求，伊吾县城生活污水处理厂对所排放的污染物组织开展自行监测及信息公开，并制定自行监测方案。</w:t>
      </w:r>
    </w:p>
    <w:p>
      <w:pPr>
        <w:numPr>
          <w:ilvl w:val="0"/>
          <w:numId w:val="2"/>
        </w:numPr>
        <w:tabs>
          <w:tab w:val="left" w:pos="0"/>
          <w:tab w:val="clear" w:pos="1360"/>
        </w:tabs>
        <w:snapToGrid w:val="0"/>
        <w:spacing w:line="360" w:lineRule="auto"/>
        <w:ind w:left="0" w:firstLine="537" w:firstLineChars="168"/>
        <w:jc w:val="left"/>
        <w:rPr>
          <w:rFonts w:eastAsia="黑体"/>
          <w:sz w:val="32"/>
          <w:szCs w:val="32"/>
        </w:rPr>
      </w:pPr>
      <w:r>
        <w:rPr>
          <w:rFonts w:eastAsia="黑体"/>
          <w:sz w:val="32"/>
          <w:szCs w:val="32"/>
        </w:rPr>
        <w:t>企业基本情况</w:t>
      </w:r>
    </w:p>
    <w:p>
      <w:pPr>
        <w:tabs>
          <w:tab w:val="left" w:pos="0"/>
        </w:tabs>
        <w:snapToGrid w:val="0"/>
        <w:spacing w:before="163" w:line="360" w:lineRule="auto"/>
        <w:ind w:firstLine="540" w:firstLineChars="168"/>
        <w:jc w:val="left"/>
        <w:rPr>
          <w:rFonts w:ascii="仿宋" w:hAnsi="仿宋" w:eastAsia="仿宋" w:cs="仿宋"/>
          <w:b/>
          <w:sz w:val="32"/>
          <w:szCs w:val="32"/>
        </w:rPr>
      </w:pPr>
      <w:r>
        <w:rPr>
          <w:rFonts w:hint="eastAsia" w:ascii="仿宋" w:hAnsi="仿宋" w:eastAsia="仿宋" w:cs="仿宋"/>
          <w:b/>
          <w:sz w:val="32"/>
          <w:szCs w:val="32"/>
        </w:rPr>
        <w:t>1．企业基础信息</w:t>
      </w:r>
    </w:p>
    <w:p>
      <w:pPr>
        <w:snapToGrid w:val="0"/>
        <w:spacing w:line="360" w:lineRule="auto"/>
        <w:ind w:firstLine="462" w:firstLineChars="165"/>
        <w:rPr>
          <w:rFonts w:ascii="仿宋" w:hAnsi="仿宋" w:eastAsia="仿宋" w:cs="仿宋"/>
          <w:color w:val="000000"/>
          <w:sz w:val="28"/>
          <w:szCs w:val="28"/>
        </w:rPr>
      </w:pPr>
      <w:r>
        <w:rPr>
          <w:rFonts w:hint="eastAsia" w:ascii="仿宋" w:hAnsi="仿宋" w:eastAsia="仿宋" w:cs="仿宋"/>
          <w:color w:val="000000"/>
          <w:sz w:val="28"/>
          <w:szCs w:val="28"/>
        </w:rPr>
        <w:t>伊吾县城污水处理厂位于伊吾县城东南方1千米处，一期工程于2014年11月开工建设，处理能力为600 立方</w:t>
      </w:r>
      <w:r>
        <w:rPr>
          <w:rFonts w:hint="eastAsia" w:ascii="仿宋" w:hAnsi="仿宋" w:eastAsia="仿宋" w:cs="仿宋"/>
          <w:color w:val="000000"/>
          <w:sz w:val="28"/>
          <w:szCs w:val="28"/>
          <w:lang w:eastAsia="zh-CN"/>
        </w:rPr>
        <w:t>米</w:t>
      </w:r>
      <w:r>
        <w:rPr>
          <w:rFonts w:hint="eastAsia" w:ascii="仿宋" w:hAnsi="仿宋" w:eastAsia="仿宋" w:cs="仿宋"/>
          <w:color w:val="000000"/>
          <w:sz w:val="28"/>
          <w:szCs w:val="28"/>
        </w:rPr>
        <w:t>/日，2015年1月建成并投入运行，处理后的水质达到二级标准，截</w:t>
      </w:r>
      <w:r>
        <w:rPr>
          <w:rFonts w:hint="eastAsia" w:ascii="仿宋" w:hAnsi="仿宋" w:eastAsia="仿宋" w:cs="仿宋"/>
          <w:color w:val="000000"/>
          <w:sz w:val="28"/>
          <w:szCs w:val="28"/>
          <w:lang w:val="en-US" w:eastAsia="zh-CN"/>
        </w:rPr>
        <w:t>至</w:t>
      </w:r>
      <w:bookmarkStart w:id="0" w:name="_GoBack"/>
      <w:bookmarkEnd w:id="0"/>
      <w:r>
        <w:rPr>
          <w:rFonts w:hint="eastAsia" w:ascii="仿宋" w:hAnsi="仿宋" w:eastAsia="仿宋" w:cs="仿宋"/>
          <w:color w:val="000000"/>
          <w:sz w:val="28"/>
          <w:szCs w:val="28"/>
        </w:rPr>
        <w:t>2016年底，实际污水处理量已经超出设计能力，无法满足需求。为保证污水达标排放，</w:t>
      </w:r>
      <w:r>
        <w:rPr>
          <w:rFonts w:hint="eastAsia" w:ascii="仿宋" w:hAnsi="仿宋" w:eastAsia="仿宋" w:cs="仿宋"/>
          <w:color w:val="000000"/>
          <w:sz w:val="28"/>
          <w:szCs w:val="28"/>
          <w:lang w:eastAsia="zh-CN"/>
        </w:rPr>
        <w:t>县委、县政府</w:t>
      </w:r>
      <w:r>
        <w:rPr>
          <w:rFonts w:hint="eastAsia" w:ascii="仿宋" w:hAnsi="仿宋" w:eastAsia="仿宋" w:cs="仿宋"/>
          <w:color w:val="000000"/>
          <w:sz w:val="28"/>
          <w:szCs w:val="28"/>
        </w:rPr>
        <w:t>决定对伊吾县城污水处理厂实施二期工程建设，工程采用固定化微生物曝气生物滤池工艺，新增1座固定化微生物曝气生物滤池、二沉池、清水池、深度处理间、PLC自控系统等及其相关配套设施，新增污水处理能力400 立方/日，出水水质达到二级排放标准(后提升为一级A标准)。工程于2017年5月开工建设，2018年8月工程完工并投入试运行。2018年9月和12月完成了环保验收、在线设备验收和改扩建工程初验工作。2020年5月底完成工程改造，7月完成工程验收，水质达标排放。</w:t>
      </w:r>
    </w:p>
    <w:p>
      <w:pPr>
        <w:snapToGrid w:val="0"/>
        <w:spacing w:line="360" w:lineRule="auto"/>
        <w:ind w:firstLine="462" w:firstLineChars="165"/>
        <w:rPr>
          <w:rFonts w:ascii="仿宋" w:hAnsi="仿宋" w:eastAsia="仿宋" w:cs="仿宋"/>
          <w:color w:val="000000"/>
          <w:sz w:val="28"/>
          <w:szCs w:val="28"/>
        </w:rPr>
      </w:pPr>
      <w:r>
        <w:rPr>
          <w:rFonts w:hint="eastAsia" w:ascii="仿宋" w:hAnsi="仿宋" w:eastAsia="仿宋" w:cs="仿宋"/>
          <w:color w:val="000000"/>
          <w:sz w:val="28"/>
          <w:szCs w:val="28"/>
        </w:rPr>
        <w:t>本企业自行监测方式为手工监测方式。手工监测为自承担，对所有的监测项目，本企业委托有资质的社会化监测机构开展监测。</w:t>
      </w:r>
    </w:p>
    <w:p>
      <w:pPr>
        <w:spacing w:line="560" w:lineRule="exact"/>
        <w:ind w:firstLine="528" w:firstLineChars="165"/>
        <w:jc w:val="left"/>
        <w:rPr>
          <w:rFonts w:eastAsia="仿宋_GB2312"/>
          <w:color w:val="000000"/>
          <w:sz w:val="32"/>
          <w:szCs w:val="32"/>
        </w:rPr>
      </w:pPr>
    </w:p>
    <w:p>
      <w:pPr>
        <w:spacing w:line="560" w:lineRule="exact"/>
        <w:ind w:firstLine="528" w:firstLineChars="165"/>
        <w:jc w:val="left"/>
        <w:rPr>
          <w:rFonts w:eastAsia="仿宋_GB2312"/>
          <w:color w:val="000000"/>
          <w:sz w:val="32"/>
          <w:szCs w:val="32"/>
        </w:rPr>
      </w:pPr>
    </w:p>
    <w:p>
      <w:pPr>
        <w:spacing w:line="560" w:lineRule="exact"/>
        <w:ind w:firstLine="528" w:firstLineChars="165"/>
        <w:jc w:val="left"/>
        <w:rPr>
          <w:rFonts w:eastAsia="仿宋_GB2312"/>
          <w:color w:val="000000"/>
          <w:sz w:val="32"/>
          <w:szCs w:val="32"/>
        </w:rPr>
      </w:pPr>
    </w:p>
    <w:p>
      <w:pPr>
        <w:spacing w:line="360" w:lineRule="auto"/>
        <w:ind w:firstLine="173" w:firstLineChars="62"/>
        <w:jc w:val="center"/>
        <w:rPr>
          <w:rFonts w:eastAsia="仿宋_GB2312"/>
          <w:color w:val="0000FF"/>
          <w:sz w:val="28"/>
          <w:szCs w:val="28"/>
        </w:rPr>
      </w:pPr>
      <w:r>
        <w:rPr>
          <w:rFonts w:eastAsia="仿宋_GB2312"/>
          <w:sz w:val="28"/>
          <w:szCs w:val="28"/>
        </w:rPr>
        <w:t>表1  企业基础信息</w:t>
      </w:r>
    </w:p>
    <w:tbl>
      <w:tblPr>
        <w:tblStyle w:val="6"/>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2967"/>
        <w:gridCol w:w="1099"/>
        <w:gridCol w:w="2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企业名称</w:t>
            </w:r>
          </w:p>
        </w:tc>
        <w:tc>
          <w:tcPr>
            <w:tcW w:w="6949" w:type="dxa"/>
            <w:gridSpan w:val="3"/>
            <w:vAlign w:val="center"/>
          </w:tcPr>
          <w:p>
            <w:pPr>
              <w:widowControl/>
              <w:jc w:val="center"/>
              <w:rPr>
                <w:rFonts w:eastAsia="仿宋_GB2312"/>
                <w:color w:val="000000"/>
                <w:kern w:val="0"/>
                <w:sz w:val="22"/>
              </w:rPr>
            </w:pPr>
            <w:r>
              <w:rPr>
                <w:rFonts w:hint="eastAsia" w:ascii="仿宋_GB2312" w:hAnsi="宋体" w:eastAsia="仿宋_GB2312"/>
              </w:rPr>
              <w:t>伊吾县城生活污水处理厂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污染源类型</w:t>
            </w:r>
          </w:p>
        </w:tc>
        <w:tc>
          <w:tcPr>
            <w:tcW w:w="6949" w:type="dxa"/>
            <w:gridSpan w:val="3"/>
            <w:vAlign w:val="center"/>
          </w:tcPr>
          <w:p>
            <w:pPr>
              <w:widowControl/>
              <w:ind w:firstLine="770" w:firstLineChars="350"/>
              <w:rPr>
                <w:rFonts w:eastAsia="仿宋_GB2312"/>
                <w:color w:val="000000"/>
                <w:kern w:val="0"/>
                <w:sz w:val="22"/>
              </w:rPr>
            </w:pPr>
            <w:r>
              <w:rPr>
                <w:rFonts w:eastAsia="仿宋_GB2312"/>
                <w:color w:val="000000"/>
                <w:kern w:val="0"/>
                <w:sz w:val="22"/>
              </w:rPr>
              <w:t>□废气企业             □废水企业</w:t>
            </w:r>
          </w:p>
          <w:p>
            <w:pPr>
              <w:widowControl/>
              <w:ind w:firstLine="770" w:firstLineChars="350"/>
              <w:rPr>
                <w:rFonts w:eastAsia="仿宋_GB2312"/>
                <w:color w:val="000000"/>
                <w:kern w:val="0"/>
                <w:sz w:val="22"/>
              </w:rPr>
            </w:pPr>
            <w:r>
              <w:rPr>
                <w:rFonts w:hint="eastAsia" w:ascii="Arial Unicode MS" w:hAnsi="Arial Unicode MS" w:eastAsia="Arial Unicode MS" w:cs="Arial Unicode MS"/>
                <w:color w:val="000000"/>
                <w:kern w:val="0"/>
                <w:sz w:val="22"/>
              </w:rPr>
              <w:t>√</w:t>
            </w:r>
            <w:r>
              <w:rPr>
                <w:rFonts w:eastAsia="仿宋_GB2312"/>
                <w:color w:val="000000"/>
                <w:kern w:val="0"/>
                <w:sz w:val="22"/>
              </w:rPr>
              <w:t>污水处理厂           □重金属企业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地址</w:t>
            </w:r>
          </w:p>
        </w:tc>
        <w:tc>
          <w:tcPr>
            <w:tcW w:w="6949" w:type="dxa"/>
            <w:gridSpan w:val="3"/>
            <w:vAlign w:val="center"/>
          </w:tcPr>
          <w:p>
            <w:pPr>
              <w:widowControl/>
              <w:jc w:val="center"/>
              <w:rPr>
                <w:rFonts w:eastAsia="仿宋_GB2312"/>
                <w:color w:val="000000"/>
                <w:kern w:val="0"/>
                <w:sz w:val="22"/>
              </w:rPr>
            </w:pPr>
            <w:r>
              <w:rPr>
                <w:rFonts w:hint="eastAsia" w:eastAsia="仿宋_GB2312"/>
                <w:color w:val="000000"/>
                <w:kern w:val="0"/>
                <w:sz w:val="22"/>
              </w:rPr>
              <w:t xml:space="preserve"> 伊吾县城东南方1千米处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spacing w:beforeLines="20" w:afterLines="20"/>
              <w:ind w:firstLine="480"/>
              <w:jc w:val="center"/>
              <w:rPr>
                <w:rFonts w:ascii="仿宋_GB2312" w:hAnsi="宋体" w:eastAsia="仿宋_GB2312"/>
              </w:rPr>
            </w:pPr>
            <w:r>
              <w:rPr>
                <w:rFonts w:ascii="仿宋_GB2312" w:hAnsi="宋体" w:eastAsia="仿宋_GB2312"/>
              </w:rPr>
              <w:t>所在地经度</w:t>
            </w:r>
          </w:p>
        </w:tc>
        <w:tc>
          <w:tcPr>
            <w:tcW w:w="2967" w:type="dxa"/>
            <w:vAlign w:val="center"/>
          </w:tcPr>
          <w:p>
            <w:pPr>
              <w:spacing w:beforeLines="20" w:afterLines="20"/>
              <w:ind w:firstLine="480"/>
              <w:jc w:val="left"/>
              <w:rPr>
                <w:rFonts w:ascii="仿宋_GB2312" w:hAnsi="宋体" w:eastAsia="仿宋_GB2312"/>
              </w:rPr>
            </w:pPr>
            <w:r>
              <w:rPr>
                <w:rFonts w:eastAsia="仿宋"/>
              </w:rPr>
              <w:t>东经94°</w:t>
            </w:r>
            <w:r>
              <w:rPr>
                <w:rFonts w:hint="eastAsia" w:eastAsia="仿宋"/>
              </w:rPr>
              <w:t>41</w:t>
            </w:r>
            <w:r>
              <w:rPr>
                <w:rFonts w:eastAsia="仿宋"/>
              </w:rPr>
              <w:t>’</w:t>
            </w:r>
            <w:r>
              <w:rPr>
                <w:rFonts w:hint="eastAsia" w:eastAsia="仿宋"/>
              </w:rPr>
              <w:t>58.06</w:t>
            </w:r>
            <w:r>
              <w:rPr>
                <w:rFonts w:eastAsia="仿宋"/>
              </w:rPr>
              <w:t>”</w:t>
            </w:r>
          </w:p>
        </w:tc>
        <w:tc>
          <w:tcPr>
            <w:tcW w:w="1099" w:type="dxa"/>
            <w:vAlign w:val="center"/>
          </w:tcPr>
          <w:p>
            <w:pPr>
              <w:spacing w:beforeLines="20" w:afterLines="20"/>
              <w:rPr>
                <w:rFonts w:ascii="仿宋_GB2312" w:hAnsi="宋体" w:eastAsia="仿宋_GB2312"/>
              </w:rPr>
            </w:pPr>
            <w:r>
              <w:rPr>
                <w:rFonts w:ascii="仿宋_GB2312" w:hAnsi="宋体" w:eastAsia="仿宋_GB2312"/>
              </w:rPr>
              <w:t>纬度</w:t>
            </w:r>
          </w:p>
        </w:tc>
        <w:tc>
          <w:tcPr>
            <w:tcW w:w="2883" w:type="dxa"/>
            <w:vAlign w:val="center"/>
          </w:tcPr>
          <w:p>
            <w:pPr>
              <w:spacing w:beforeLines="20" w:afterLines="20"/>
              <w:ind w:firstLine="480"/>
              <w:rPr>
                <w:rFonts w:ascii="仿宋_GB2312" w:hAnsi="宋体" w:eastAsia="仿宋_GB2312"/>
              </w:rPr>
            </w:pPr>
            <w:r>
              <w:rPr>
                <w:rFonts w:eastAsia="仿宋_GB2312"/>
              </w:rPr>
              <w:t>北纬43°</w:t>
            </w:r>
            <w:r>
              <w:rPr>
                <w:rFonts w:hint="eastAsia" w:eastAsia="仿宋_GB2312"/>
              </w:rPr>
              <w:t>14</w:t>
            </w:r>
            <w:r>
              <w:rPr>
                <w:rFonts w:eastAsia="仿宋_GB2312"/>
              </w:rPr>
              <w:t>’</w:t>
            </w:r>
            <w:r>
              <w:rPr>
                <w:rFonts w:hint="eastAsia" w:eastAsia="仿宋_GB2312"/>
              </w:rPr>
              <w:t>50.64</w:t>
            </w:r>
            <w:r>
              <w:rPr>
                <w:rFonts w:eastAsia="仿宋_GB23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法人代表</w:t>
            </w:r>
          </w:p>
        </w:tc>
        <w:tc>
          <w:tcPr>
            <w:tcW w:w="2967" w:type="dxa"/>
            <w:vAlign w:val="center"/>
          </w:tcPr>
          <w:p>
            <w:pPr>
              <w:widowControl/>
              <w:jc w:val="center"/>
              <w:rPr>
                <w:rFonts w:eastAsia="仿宋_GB2312"/>
                <w:color w:val="000000"/>
                <w:kern w:val="0"/>
                <w:sz w:val="22"/>
              </w:rPr>
            </w:pPr>
            <w:r>
              <w:rPr>
                <w:rFonts w:hint="eastAsia" w:ascii="仿宋_GB2312" w:hAnsi="宋体" w:eastAsia="仿宋_GB2312"/>
              </w:rPr>
              <w:t>赵云</w:t>
            </w:r>
          </w:p>
        </w:tc>
        <w:tc>
          <w:tcPr>
            <w:tcW w:w="1099" w:type="dxa"/>
            <w:vAlign w:val="center"/>
          </w:tcPr>
          <w:p>
            <w:pPr>
              <w:widowControl/>
              <w:jc w:val="center"/>
              <w:rPr>
                <w:rFonts w:eastAsia="仿宋_GB2312"/>
                <w:color w:val="000000"/>
                <w:kern w:val="0"/>
                <w:sz w:val="22"/>
              </w:rPr>
            </w:pPr>
            <w:r>
              <w:rPr>
                <w:rFonts w:eastAsia="仿宋_GB2312"/>
                <w:color w:val="000000"/>
                <w:kern w:val="0"/>
                <w:sz w:val="22"/>
              </w:rPr>
              <w:t>法人代码</w:t>
            </w:r>
          </w:p>
        </w:tc>
        <w:tc>
          <w:tcPr>
            <w:tcW w:w="2883" w:type="dxa"/>
            <w:vAlign w:val="center"/>
          </w:tcPr>
          <w:p>
            <w:pPr>
              <w:widowControl/>
              <w:jc w:val="center"/>
              <w:rPr>
                <w:rFonts w:eastAsia="仿宋_GB2312"/>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联系人</w:t>
            </w:r>
          </w:p>
        </w:tc>
        <w:tc>
          <w:tcPr>
            <w:tcW w:w="2967" w:type="dxa"/>
            <w:vAlign w:val="center"/>
          </w:tcPr>
          <w:p>
            <w:pPr>
              <w:widowControl/>
              <w:jc w:val="center"/>
              <w:rPr>
                <w:rFonts w:eastAsia="仿宋_GB2312"/>
                <w:kern w:val="0"/>
                <w:sz w:val="22"/>
              </w:rPr>
            </w:pPr>
            <w:r>
              <w:rPr>
                <w:rFonts w:hint="eastAsia" w:ascii="仿宋_GB2312" w:hAnsi="宋体" w:eastAsia="仿宋_GB2312"/>
              </w:rPr>
              <w:t>胡伟民</w:t>
            </w:r>
          </w:p>
        </w:tc>
        <w:tc>
          <w:tcPr>
            <w:tcW w:w="1099" w:type="dxa"/>
            <w:vAlign w:val="center"/>
          </w:tcPr>
          <w:p>
            <w:pPr>
              <w:widowControl/>
              <w:jc w:val="center"/>
              <w:rPr>
                <w:rFonts w:eastAsia="仿宋_GB2312"/>
                <w:color w:val="000000"/>
                <w:kern w:val="0"/>
                <w:sz w:val="22"/>
              </w:rPr>
            </w:pPr>
            <w:r>
              <w:rPr>
                <w:rFonts w:eastAsia="仿宋_GB2312"/>
                <w:color w:val="000000"/>
                <w:kern w:val="0"/>
                <w:sz w:val="22"/>
              </w:rPr>
              <w:t>联系电话</w:t>
            </w:r>
          </w:p>
        </w:tc>
        <w:tc>
          <w:tcPr>
            <w:tcW w:w="2883" w:type="dxa"/>
            <w:vAlign w:val="center"/>
          </w:tcPr>
          <w:p>
            <w:pPr>
              <w:widowControl/>
              <w:jc w:val="center"/>
              <w:rPr>
                <w:rFonts w:eastAsia="仿宋_GB2312"/>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所属行业</w:t>
            </w:r>
          </w:p>
        </w:tc>
        <w:tc>
          <w:tcPr>
            <w:tcW w:w="2967" w:type="dxa"/>
            <w:vAlign w:val="center"/>
          </w:tcPr>
          <w:p>
            <w:pPr>
              <w:widowControl/>
              <w:jc w:val="center"/>
              <w:rPr>
                <w:rFonts w:eastAsia="仿宋_GB2312"/>
                <w:color w:val="000000"/>
                <w:kern w:val="0"/>
                <w:sz w:val="22"/>
              </w:rPr>
            </w:pPr>
            <w:r>
              <w:rPr>
                <w:rFonts w:hint="eastAsia" w:ascii="仿宋_GB2312" w:hAnsi="宋体" w:eastAsia="仿宋_GB2312"/>
              </w:rPr>
              <w:t>污水处理厂</w:t>
            </w:r>
          </w:p>
        </w:tc>
        <w:tc>
          <w:tcPr>
            <w:tcW w:w="1099" w:type="dxa"/>
            <w:vAlign w:val="center"/>
          </w:tcPr>
          <w:p>
            <w:pPr>
              <w:widowControl/>
              <w:jc w:val="center"/>
              <w:rPr>
                <w:rFonts w:eastAsia="仿宋_GB2312"/>
                <w:color w:val="000000"/>
                <w:kern w:val="0"/>
                <w:sz w:val="22"/>
              </w:rPr>
            </w:pPr>
            <w:r>
              <w:rPr>
                <w:rFonts w:eastAsia="仿宋_GB2312"/>
                <w:color w:val="000000"/>
                <w:kern w:val="0"/>
                <w:sz w:val="22"/>
              </w:rPr>
              <w:t>投运时间</w:t>
            </w:r>
          </w:p>
        </w:tc>
        <w:tc>
          <w:tcPr>
            <w:tcW w:w="2883" w:type="dxa"/>
            <w:vAlign w:val="center"/>
          </w:tcPr>
          <w:p>
            <w:pPr>
              <w:widowControl/>
              <w:jc w:val="center"/>
              <w:rPr>
                <w:rFonts w:eastAsia="仿宋_GB2312"/>
                <w:color w:val="000000"/>
                <w:kern w:val="0"/>
                <w:sz w:val="22"/>
              </w:rPr>
            </w:pPr>
            <w:r>
              <w:rPr>
                <w:rFonts w:hint="eastAsia" w:eastAsia="仿宋_GB2312"/>
                <w:color w:val="000000"/>
                <w:kern w:val="0"/>
                <w:sz w:val="22"/>
              </w:rPr>
              <w:t>2015.1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自行监测方式</w:t>
            </w:r>
          </w:p>
        </w:tc>
        <w:tc>
          <w:tcPr>
            <w:tcW w:w="6949" w:type="dxa"/>
            <w:gridSpan w:val="3"/>
            <w:vAlign w:val="center"/>
          </w:tcPr>
          <w:p>
            <w:pPr>
              <w:widowControl/>
              <w:rPr>
                <w:rFonts w:eastAsia="仿宋_GB2312"/>
                <w:color w:val="000000"/>
                <w:kern w:val="0"/>
                <w:sz w:val="22"/>
              </w:rPr>
            </w:pPr>
            <w:r>
              <w:rPr>
                <w:rFonts w:eastAsia="仿宋_GB2312"/>
                <w:color w:val="000000"/>
                <w:kern w:val="0"/>
                <w:sz w:val="22"/>
              </w:rPr>
              <w:sym w:font="Wingdings 2" w:char="0052"/>
            </w:r>
            <w:r>
              <w:rPr>
                <w:rFonts w:eastAsia="仿宋_GB2312"/>
                <w:color w:val="000000"/>
                <w:kern w:val="0"/>
                <w:sz w:val="22"/>
              </w:rPr>
              <w:t>自动监测与手工监测相结合</w:t>
            </w:r>
            <w:r>
              <w:rPr>
                <w:rFonts w:eastAsia="仿宋_GB2312"/>
                <w:color w:val="000000"/>
                <w:kern w:val="0"/>
                <w:sz w:val="22"/>
              </w:rPr>
              <w:sym w:font="Wingdings 2" w:char="00A3"/>
            </w:r>
            <w:r>
              <w:rPr>
                <w:rFonts w:eastAsia="仿宋_GB2312"/>
                <w:color w:val="000000"/>
                <w:kern w:val="0"/>
                <w:sz w:val="22"/>
              </w:rPr>
              <w:t>仅自动监测</w:t>
            </w:r>
            <w:r>
              <w:rPr>
                <w:rFonts w:eastAsia="仿宋_GB2312"/>
                <w:color w:val="000000"/>
                <w:kern w:val="0"/>
                <w:sz w:val="22"/>
              </w:rPr>
              <w:sym w:font="Wingdings 2" w:char="00A3"/>
            </w:r>
            <w:r>
              <w:rPr>
                <w:rFonts w:eastAsia="仿宋_GB2312"/>
                <w:color w:val="000000"/>
                <w:kern w:val="0"/>
                <w:sz w:val="22"/>
              </w:rPr>
              <w:t>仅手工监测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自动监测运维方式</w:t>
            </w:r>
          </w:p>
        </w:tc>
        <w:tc>
          <w:tcPr>
            <w:tcW w:w="6949" w:type="dxa"/>
            <w:gridSpan w:val="3"/>
            <w:vAlign w:val="center"/>
          </w:tcPr>
          <w:p>
            <w:pPr>
              <w:spacing w:before="163"/>
              <w:jc w:val="left"/>
              <w:rPr>
                <w:rFonts w:eastAsia="仿宋_GB2312"/>
                <w:color w:val="000000"/>
                <w:kern w:val="0"/>
                <w:sz w:val="22"/>
              </w:rPr>
            </w:pPr>
            <w:r>
              <w:rPr>
                <w:rFonts w:eastAsia="仿宋_GB2312"/>
                <w:color w:val="000000"/>
                <w:kern w:val="0"/>
                <w:sz w:val="22"/>
              </w:rPr>
              <w:t>委托第三方运营</w:t>
            </w:r>
            <w:r>
              <w:rPr>
                <w:rFonts w:hint="eastAsia" w:eastAsia="仿宋_GB2312"/>
                <w:color w:val="000000"/>
                <w:kern w:val="0"/>
                <w:sz w:val="22"/>
              </w:rPr>
              <w:t>单位名称：</w:t>
            </w:r>
            <w:r>
              <w:rPr>
                <w:rFonts w:hint="eastAsia" w:ascii="仿宋" w:hAnsi="仿宋" w:eastAsia="仿宋" w:cs="仿宋"/>
              </w:rPr>
              <w:t>山东中节能天融科技有限公司新疆分公司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Merge w:val="restart"/>
            <w:vAlign w:val="center"/>
          </w:tcPr>
          <w:p>
            <w:pPr>
              <w:widowControl/>
              <w:jc w:val="center"/>
              <w:rPr>
                <w:rFonts w:eastAsia="仿宋_GB2312"/>
                <w:color w:val="000000"/>
                <w:kern w:val="0"/>
                <w:sz w:val="22"/>
              </w:rPr>
            </w:pPr>
            <w:r>
              <w:rPr>
                <w:rFonts w:eastAsia="仿宋_GB2312"/>
                <w:color w:val="000000"/>
                <w:kern w:val="0"/>
                <w:sz w:val="22"/>
              </w:rPr>
              <w:t>手工监测方式</w:t>
            </w:r>
          </w:p>
        </w:tc>
        <w:tc>
          <w:tcPr>
            <w:tcW w:w="2967" w:type="dxa"/>
            <w:vAlign w:val="center"/>
          </w:tcPr>
          <w:p>
            <w:pPr>
              <w:widowControl/>
              <w:jc w:val="center"/>
              <w:rPr>
                <w:rFonts w:eastAsia="仿宋_GB2312"/>
                <w:color w:val="000000"/>
                <w:kern w:val="0"/>
                <w:sz w:val="22"/>
              </w:rPr>
            </w:pPr>
            <w:r>
              <w:rPr>
                <w:rFonts w:eastAsia="仿宋_GB2312"/>
                <w:color w:val="000000"/>
                <w:kern w:val="0"/>
                <w:sz w:val="22"/>
              </w:rPr>
              <w:t>自承担</w:t>
            </w:r>
          </w:p>
        </w:tc>
        <w:tc>
          <w:tcPr>
            <w:tcW w:w="3982" w:type="dxa"/>
            <w:gridSpan w:val="2"/>
            <w:vAlign w:val="center"/>
          </w:tcPr>
          <w:p>
            <w:pPr>
              <w:widowControl/>
              <w:ind w:firstLine="110" w:firstLineChars="50"/>
              <w:jc w:val="center"/>
              <w:rPr>
                <w:rFonts w:eastAsia="仿宋_GB2312"/>
                <w:color w:val="000000"/>
                <w:kern w:val="0"/>
                <w:sz w:val="22"/>
              </w:rPr>
            </w:pPr>
            <w:r>
              <w:rPr>
                <w:rFonts w:hint="eastAsia" w:ascii="Arial Unicode MS" w:hAnsi="Arial Unicode MS" w:eastAsia="Arial Unicode MS" w:cs="Arial Unicode MS"/>
                <w:color w:val="000000"/>
                <w:kern w:val="0"/>
                <w:sz w:val="22"/>
              </w:rPr>
              <w:t>√</w:t>
            </w:r>
            <w:r>
              <w:rPr>
                <w:rFonts w:eastAsia="仿宋_GB2312"/>
                <w:color w:val="000000"/>
                <w:kern w:val="0"/>
                <w:sz w:val="22"/>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Merge w:val="continue"/>
            <w:vAlign w:val="center"/>
          </w:tcPr>
          <w:p>
            <w:pPr>
              <w:widowControl/>
              <w:jc w:val="center"/>
              <w:rPr>
                <w:rFonts w:eastAsia="仿宋_GB2312"/>
                <w:color w:val="000000"/>
                <w:kern w:val="0"/>
                <w:sz w:val="22"/>
              </w:rPr>
            </w:pPr>
          </w:p>
        </w:tc>
        <w:tc>
          <w:tcPr>
            <w:tcW w:w="2967" w:type="dxa"/>
            <w:vAlign w:val="center"/>
          </w:tcPr>
          <w:p>
            <w:pPr>
              <w:widowControl/>
              <w:jc w:val="center"/>
              <w:rPr>
                <w:rFonts w:eastAsia="仿宋_GB2312"/>
                <w:color w:val="000000"/>
                <w:kern w:val="0"/>
                <w:sz w:val="22"/>
              </w:rPr>
            </w:pPr>
            <w:r>
              <w:rPr>
                <w:rFonts w:eastAsia="仿宋_GB2312"/>
                <w:color w:val="000000"/>
                <w:kern w:val="0"/>
                <w:sz w:val="22"/>
              </w:rPr>
              <w:t>委托监测机构名称</w:t>
            </w:r>
          </w:p>
        </w:tc>
        <w:tc>
          <w:tcPr>
            <w:tcW w:w="3982" w:type="dxa"/>
            <w:gridSpan w:val="2"/>
            <w:vAlign w:val="center"/>
          </w:tcPr>
          <w:p>
            <w:pPr>
              <w:widowControl/>
              <w:jc w:val="center"/>
              <w:rPr>
                <w:rFonts w:eastAsia="仿宋_GB2312"/>
                <w:color w:val="000000"/>
                <w:kern w:val="0"/>
                <w:sz w:val="22"/>
              </w:rPr>
            </w:pPr>
            <w:r>
              <w:rPr>
                <w:rFonts w:hint="eastAsia" w:eastAsia="仿宋_GB2312"/>
                <w:color w:val="000000"/>
                <w:kern w:val="0"/>
                <w:sz w:val="22"/>
              </w:rPr>
              <w:t>新疆维吾尔自治区地质矿产勘查开发局第六地质大队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排放污染物名称</w:t>
            </w:r>
          </w:p>
        </w:tc>
        <w:tc>
          <w:tcPr>
            <w:tcW w:w="6949" w:type="dxa"/>
            <w:gridSpan w:val="3"/>
            <w:vAlign w:val="center"/>
          </w:tcPr>
          <w:p>
            <w:pPr>
              <w:widowControl/>
              <w:jc w:val="center"/>
              <w:rPr>
                <w:rFonts w:eastAsia="仿宋_GB2312"/>
                <w:color w:val="000000"/>
                <w:kern w:val="0"/>
                <w:sz w:val="22"/>
              </w:rPr>
            </w:pPr>
            <w:r>
              <w:rPr>
                <w:rFonts w:hint="eastAsia" w:eastAsia="仿宋_GB2312"/>
                <w:color w:val="000000"/>
                <w:kern w:val="0"/>
                <w:sz w:val="22"/>
              </w:rPr>
              <w:t>COD，BOD5,SS，动植物油，石油类，阴离子表面活性剂，总氮，氨氮，总磷等18项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主要产品</w:t>
            </w:r>
          </w:p>
        </w:tc>
        <w:tc>
          <w:tcPr>
            <w:tcW w:w="6949" w:type="dxa"/>
            <w:gridSpan w:val="3"/>
            <w:vAlign w:val="center"/>
          </w:tcPr>
          <w:p>
            <w:pPr>
              <w:widowControl/>
              <w:jc w:val="center"/>
              <w:rPr>
                <w:rFonts w:eastAsia="仿宋_GB2312"/>
                <w:color w:val="000000"/>
                <w:kern w:val="0"/>
                <w:sz w:val="22"/>
              </w:rPr>
            </w:pPr>
            <w:r>
              <w:rPr>
                <w:rFonts w:hint="eastAsia" w:eastAsia="仿宋_GB2312"/>
                <w:color w:val="000000"/>
                <w:kern w:val="0"/>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生产周期</w:t>
            </w:r>
          </w:p>
        </w:tc>
        <w:tc>
          <w:tcPr>
            <w:tcW w:w="6949" w:type="dxa"/>
            <w:gridSpan w:val="3"/>
            <w:vAlign w:val="center"/>
          </w:tcPr>
          <w:p>
            <w:pPr>
              <w:widowControl/>
              <w:jc w:val="center"/>
              <w:rPr>
                <w:rFonts w:eastAsia="仿宋_GB2312"/>
                <w:color w:val="000000"/>
                <w:kern w:val="0"/>
                <w:sz w:val="22"/>
              </w:rPr>
            </w:pPr>
            <w:r>
              <w:rPr>
                <w:rFonts w:hint="eastAsia" w:ascii="仿宋_GB2312" w:hAnsi="宋体" w:eastAsia="仿宋_GB2312"/>
              </w:rPr>
              <w:t>全年24小时生产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主要生产工艺</w:t>
            </w:r>
          </w:p>
        </w:tc>
        <w:tc>
          <w:tcPr>
            <w:tcW w:w="6949" w:type="dxa"/>
            <w:gridSpan w:val="3"/>
            <w:vAlign w:val="center"/>
          </w:tcPr>
          <w:p>
            <w:pPr>
              <w:widowControl/>
              <w:jc w:val="center"/>
              <w:rPr>
                <w:rFonts w:eastAsia="仿宋_GB2312"/>
                <w:color w:val="000000"/>
                <w:kern w:val="0"/>
                <w:sz w:val="22"/>
              </w:rPr>
            </w:pPr>
            <w:r>
              <w:rPr>
                <w:rFonts w:hint="eastAsia" w:ascii="仿宋_GB2312" w:hAnsi="宋体" w:eastAsia="仿宋_GB2312"/>
              </w:rPr>
              <w:t>预处理+水解酸化+接触氧化池+深度处理+消毒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9" w:type="dxa"/>
            <w:vAlign w:val="center"/>
          </w:tcPr>
          <w:p>
            <w:pPr>
              <w:widowControl/>
              <w:jc w:val="center"/>
              <w:rPr>
                <w:rFonts w:eastAsia="仿宋_GB2312"/>
                <w:color w:val="000000"/>
                <w:kern w:val="0"/>
                <w:sz w:val="22"/>
              </w:rPr>
            </w:pPr>
            <w:r>
              <w:rPr>
                <w:rFonts w:eastAsia="仿宋_GB2312"/>
                <w:color w:val="000000"/>
                <w:kern w:val="0"/>
                <w:sz w:val="22"/>
              </w:rPr>
              <w:t>治理设施</w:t>
            </w:r>
          </w:p>
        </w:tc>
        <w:tc>
          <w:tcPr>
            <w:tcW w:w="6949" w:type="dxa"/>
            <w:gridSpan w:val="3"/>
            <w:vAlign w:val="center"/>
          </w:tcPr>
          <w:p>
            <w:pPr>
              <w:widowControl/>
              <w:jc w:val="center"/>
              <w:rPr>
                <w:rFonts w:eastAsia="仿宋_GB2312"/>
                <w:color w:val="000000"/>
                <w:kern w:val="0"/>
                <w:sz w:val="22"/>
              </w:rPr>
            </w:pPr>
            <w:r>
              <w:rPr>
                <w:rFonts w:hint="eastAsia" w:ascii="仿宋_GB2312" w:hAnsi="宋体" w:eastAsia="仿宋_GB2312"/>
              </w:rPr>
              <w:t>水解酸化+接触氧化池</w:t>
            </w:r>
          </w:p>
        </w:tc>
      </w:tr>
    </w:tbl>
    <w:p>
      <w:pPr>
        <w:tabs>
          <w:tab w:val="left" w:pos="0"/>
        </w:tabs>
        <w:spacing w:before="163"/>
        <w:ind w:firstLine="630" w:firstLineChars="196"/>
        <w:jc w:val="left"/>
        <w:rPr>
          <w:rFonts w:eastAsia="楷体_GB2312"/>
          <w:b/>
          <w:sz w:val="32"/>
          <w:szCs w:val="32"/>
        </w:rPr>
      </w:pPr>
    </w:p>
    <w:p>
      <w:pPr>
        <w:tabs>
          <w:tab w:val="left" w:pos="0"/>
        </w:tabs>
        <w:spacing w:before="163"/>
        <w:ind w:firstLine="630" w:firstLineChars="196"/>
        <w:jc w:val="left"/>
        <w:rPr>
          <w:rFonts w:eastAsia="楷体_GB2312"/>
          <w:b/>
          <w:sz w:val="32"/>
          <w:szCs w:val="32"/>
        </w:rPr>
      </w:pPr>
    </w:p>
    <w:p>
      <w:pPr>
        <w:tabs>
          <w:tab w:val="left" w:pos="0"/>
        </w:tabs>
        <w:spacing w:before="163"/>
        <w:ind w:firstLine="630" w:firstLineChars="196"/>
        <w:jc w:val="left"/>
        <w:rPr>
          <w:rFonts w:eastAsia="楷体_GB2312"/>
          <w:b/>
          <w:sz w:val="32"/>
          <w:szCs w:val="32"/>
        </w:rPr>
      </w:pPr>
    </w:p>
    <w:p>
      <w:pPr>
        <w:tabs>
          <w:tab w:val="left" w:pos="0"/>
        </w:tabs>
        <w:spacing w:before="163"/>
        <w:ind w:firstLine="630" w:firstLineChars="196"/>
        <w:jc w:val="left"/>
        <w:rPr>
          <w:rFonts w:eastAsia="楷体_GB2312"/>
          <w:b/>
          <w:sz w:val="32"/>
          <w:szCs w:val="32"/>
        </w:rPr>
      </w:pPr>
    </w:p>
    <w:p>
      <w:pPr>
        <w:tabs>
          <w:tab w:val="left" w:pos="0"/>
        </w:tabs>
        <w:spacing w:before="163"/>
        <w:ind w:firstLine="643"/>
        <w:jc w:val="left"/>
        <w:rPr>
          <w:rFonts w:eastAsia="楷体_GB2312"/>
          <w:b/>
          <w:sz w:val="32"/>
          <w:szCs w:val="32"/>
        </w:rPr>
      </w:pPr>
    </w:p>
    <w:p>
      <w:pPr>
        <w:tabs>
          <w:tab w:val="left" w:pos="0"/>
        </w:tabs>
        <w:spacing w:before="163"/>
        <w:ind w:firstLine="643"/>
        <w:jc w:val="left"/>
        <w:rPr>
          <w:rFonts w:eastAsia="楷体_GB2312"/>
          <w:b/>
          <w:sz w:val="32"/>
          <w:szCs w:val="32"/>
        </w:rPr>
      </w:pPr>
      <w:r>
        <w:rPr>
          <w:rFonts w:eastAsia="楷体_GB2312"/>
          <w:b/>
          <w:sz w:val="32"/>
          <w:szCs w:val="32"/>
        </w:rPr>
        <w:t>2．监测点位示意图</w:t>
      </w:r>
    </w:p>
    <w:p>
      <w:pPr>
        <w:ind w:firstLine="470" w:firstLineChars="168"/>
        <w:rPr>
          <w:rFonts w:ascii="仿宋" w:hAnsi="仿宋" w:eastAsia="仿宋" w:cs="仿宋"/>
          <w:color w:val="000000"/>
          <w:sz w:val="28"/>
          <w:szCs w:val="28"/>
        </w:rPr>
      </w:pPr>
      <w:r>
        <w:rPr>
          <w:rFonts w:hint="eastAsia" w:ascii="仿宋" w:hAnsi="仿宋" w:eastAsia="仿宋" w:cs="仿宋"/>
          <w:color w:val="000000"/>
          <w:sz w:val="28"/>
          <w:szCs w:val="28"/>
        </w:rPr>
        <w:t>企业自行监测点位示意图见图1。</w:t>
      </w:r>
    </w:p>
    <w:p>
      <w:pPr>
        <w:jc w:val="center"/>
        <w:rPr>
          <w:rFonts w:ascii="仿宋" w:hAnsi="仿宋" w:eastAsia="仿宋" w:cs="仿宋"/>
          <w:color w:val="000000"/>
          <w:sz w:val="28"/>
          <w:szCs w:val="28"/>
          <w:highlight w:val="yellow"/>
        </w:rPr>
      </w:pPr>
      <w:r>
        <w:rPr>
          <w:rFonts w:ascii="仿宋" w:hAnsi="仿宋" w:eastAsia="仿宋" w:cs="仿宋"/>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2357755</wp:posOffset>
                </wp:positionH>
                <wp:positionV relativeFrom="paragraph">
                  <wp:posOffset>2049780</wp:posOffset>
                </wp:positionV>
                <wp:extent cx="2043430" cy="436880"/>
                <wp:effectExtent l="4445" t="5080" r="9525" b="15240"/>
                <wp:wrapNone/>
                <wp:docPr id="2" name="文本框 5"/>
                <wp:cNvGraphicFramePr/>
                <a:graphic xmlns:a="http://schemas.openxmlformats.org/drawingml/2006/main">
                  <a:graphicData uri="http://schemas.microsoft.com/office/word/2010/wordprocessingShape">
                    <wps:wsp>
                      <wps:cNvSpPr txBox="1"/>
                      <wps:spPr>
                        <a:xfrm>
                          <a:off x="0" y="0"/>
                          <a:ext cx="2043430" cy="4368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163"/>
                              <w:jc w:val="center"/>
                              <w:rPr>
                                <w:position w:val="6"/>
                                <w:sz w:val="15"/>
                                <w:szCs w:val="15"/>
                              </w:rPr>
                            </w:pPr>
                            <w:r>
                              <w:rPr>
                                <w:position w:val="6"/>
                                <w:sz w:val="15"/>
                                <w:szCs w:val="15"/>
                              </w:rPr>
                              <w:t>水解酸化</w:t>
                            </w:r>
                            <w:r>
                              <w:rPr>
                                <w:rFonts w:hint="eastAsia"/>
                                <w:position w:val="6"/>
                                <w:sz w:val="15"/>
                                <w:szCs w:val="15"/>
                              </w:rPr>
                              <w:t>+接触氧化池</w:t>
                            </w:r>
                          </w:p>
                          <w:p>
                            <w:pPr>
                              <w:spacing w:before="163"/>
                            </w:pPr>
                          </w:p>
                        </w:txbxContent>
                      </wps:txbx>
                      <wps:bodyPr upright="1"/>
                    </wps:wsp>
                  </a:graphicData>
                </a:graphic>
              </wp:anchor>
            </w:drawing>
          </mc:Choice>
          <mc:Fallback>
            <w:pict>
              <v:shape id="文本框 5" o:spid="_x0000_s1026" o:spt="202" type="#_x0000_t202" style="position:absolute;left:0pt;margin-left:185.65pt;margin-top:161.4pt;height:34.4pt;width:160.9pt;z-index:251659264;mso-width-relative:page;mso-height-relative:page;" fillcolor="#FFFFFF" filled="t" stroked="t" coordsize="21600,21600" o:gfxdata="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DfJE2gAAAAsBAAAPAAAA&#10;AAAAAAEAIAAAACIAAABkcnMvZG93bnJldi54bWxQSwECFAAUAAAACACHTuJAI6huJBMCAABEBAAA&#10;DgAAAAAAAAABACAAAAApAQAAZHJzL2Uyb0RvYy54bWxQSwUGAAAAAAYABgBZAQAArgUAAAAA&#10;">
                <v:fill on="t" focussize="0,0"/>
                <v:stroke color="#000000" joinstyle="miter"/>
                <v:imagedata o:title=""/>
                <o:lock v:ext="edit" aspectratio="f"/>
                <v:textbox>
                  <w:txbxContent>
                    <w:p>
                      <w:pPr>
                        <w:spacing w:before="163"/>
                        <w:jc w:val="center"/>
                        <w:rPr>
                          <w:position w:val="6"/>
                          <w:sz w:val="15"/>
                          <w:szCs w:val="15"/>
                        </w:rPr>
                      </w:pPr>
                      <w:r>
                        <w:rPr>
                          <w:position w:val="6"/>
                          <w:sz w:val="15"/>
                          <w:szCs w:val="15"/>
                        </w:rPr>
                        <w:t>水解酸化</w:t>
                      </w:r>
                      <w:r>
                        <w:rPr>
                          <w:rFonts w:hint="eastAsia"/>
                          <w:position w:val="6"/>
                          <w:sz w:val="15"/>
                          <w:szCs w:val="15"/>
                        </w:rPr>
                        <w:t>+接触氧化池</w:t>
                      </w:r>
                    </w:p>
                    <w:p>
                      <w:pPr>
                        <w:spacing w:before="163"/>
                      </w:pPr>
                    </w:p>
                  </w:txbxContent>
                </v:textbox>
              </v:shape>
            </w:pict>
          </mc:Fallback>
        </mc:AlternateContent>
      </w:r>
      <w:r>
        <w:rPr>
          <w:rFonts w:ascii="仿宋" w:hAnsi="仿宋" w:eastAsia="仿宋" w:cs="仿宋"/>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2357755</wp:posOffset>
                </wp:positionH>
                <wp:positionV relativeFrom="paragraph">
                  <wp:posOffset>2486660</wp:posOffset>
                </wp:positionV>
                <wp:extent cx="2043430" cy="461645"/>
                <wp:effectExtent l="4445" t="5080" r="9525" b="9525"/>
                <wp:wrapNone/>
                <wp:docPr id="3" name="文本框 6"/>
                <wp:cNvGraphicFramePr/>
                <a:graphic xmlns:a="http://schemas.openxmlformats.org/drawingml/2006/main">
                  <a:graphicData uri="http://schemas.microsoft.com/office/word/2010/wordprocessingShape">
                    <wps:wsp>
                      <wps:cNvSpPr txBox="1"/>
                      <wps:spPr>
                        <a:xfrm>
                          <a:off x="0" y="0"/>
                          <a:ext cx="2043430" cy="4616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163"/>
                              <w:jc w:val="center"/>
                              <w:rPr>
                                <w:position w:val="6"/>
                                <w:sz w:val="15"/>
                                <w:szCs w:val="15"/>
                              </w:rPr>
                            </w:pPr>
                            <w:r>
                              <w:rPr>
                                <w:position w:val="6"/>
                                <w:sz w:val="15"/>
                                <w:szCs w:val="15"/>
                              </w:rPr>
                              <w:t>水解酸化</w:t>
                            </w:r>
                            <w:r>
                              <w:rPr>
                                <w:rFonts w:hint="eastAsia"/>
                                <w:position w:val="6"/>
                                <w:sz w:val="15"/>
                                <w:szCs w:val="15"/>
                              </w:rPr>
                              <w:t>+接触氧化池</w:t>
                            </w:r>
                          </w:p>
                        </w:txbxContent>
                      </wps:txbx>
                      <wps:bodyPr upright="1"/>
                    </wps:wsp>
                  </a:graphicData>
                </a:graphic>
              </wp:anchor>
            </w:drawing>
          </mc:Choice>
          <mc:Fallback>
            <w:pict>
              <v:shape id="文本框 6" o:spid="_x0000_s1026" o:spt="202" type="#_x0000_t202" style="position:absolute;left:0pt;margin-left:185.65pt;margin-top:195.8pt;height:36.35pt;width:160.9pt;z-index:251660288;mso-width-relative:page;mso-height-relative:page;" fillcolor="#FFFFFF" filled="t" stroked="t" coordsize="21600,21600" o:gfxdata="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J58pfaAAAACwEAAA8AAAAAAAAA&#10;AQAgAAAAIgAAAGRycy9kb3ducmV2LnhtbFBLAQIUABQAAAAIAIdO4kCrFyENDwIAAEQEAAAOAAAA&#10;AAAAAAEAIAAAACkBAABkcnMvZTJvRG9jLnhtbFBLBQYAAAAABgAGAFkBAACqBQAAAAA=&#10;">
                <v:fill on="t" focussize="0,0"/>
                <v:stroke color="#000000" joinstyle="miter"/>
                <v:imagedata o:title=""/>
                <o:lock v:ext="edit" aspectratio="f"/>
                <v:textbox>
                  <w:txbxContent>
                    <w:p>
                      <w:pPr>
                        <w:spacing w:before="163"/>
                        <w:jc w:val="center"/>
                        <w:rPr>
                          <w:position w:val="6"/>
                          <w:sz w:val="15"/>
                          <w:szCs w:val="15"/>
                        </w:rPr>
                      </w:pPr>
                      <w:r>
                        <w:rPr>
                          <w:position w:val="6"/>
                          <w:sz w:val="15"/>
                          <w:szCs w:val="15"/>
                        </w:rPr>
                        <w:t>水解酸化</w:t>
                      </w:r>
                      <w:r>
                        <w:rPr>
                          <w:rFonts w:hint="eastAsia"/>
                          <w:position w:val="6"/>
                          <w:sz w:val="15"/>
                          <w:szCs w:val="15"/>
                        </w:rPr>
                        <w:t>+接触氧化池</w:t>
                      </w:r>
                    </w:p>
                  </w:txbxContent>
                </v:textbox>
              </v:shape>
            </w:pict>
          </mc:Fallback>
        </mc:AlternateContent>
      </w:r>
      <w:r>
        <w:rPr>
          <w:rFonts w:hint="eastAsia" w:ascii="仿宋" w:hAnsi="仿宋" w:eastAsia="仿宋" w:cs="仿宋"/>
          <w:color w:val="000000"/>
          <w:sz w:val="28"/>
          <w:szCs w:val="28"/>
        </w:rPr>
        <w:drawing>
          <wp:inline distT="0" distB="0" distL="0" distR="0">
            <wp:extent cx="4037330" cy="3194685"/>
            <wp:effectExtent l="19050" t="0" r="1270" b="0"/>
            <wp:docPr id="41" name="图片 28" descr="伊吾县污水处理厂监测点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8" descr="伊吾县污水处理厂监测点位示意图"/>
                    <pic:cNvPicPr>
                      <a:picLocks noChangeAspect="1" noChangeArrowheads="1"/>
                    </pic:cNvPicPr>
                  </pic:nvPicPr>
                  <pic:blipFill>
                    <a:blip r:embed="rId4" cstate="print"/>
                    <a:srcRect/>
                    <a:stretch>
                      <a:fillRect/>
                    </a:stretch>
                  </pic:blipFill>
                  <pic:spPr>
                    <a:xfrm>
                      <a:off x="0" y="0"/>
                      <a:ext cx="4037330" cy="3194685"/>
                    </a:xfrm>
                    <a:prstGeom prst="rect">
                      <a:avLst/>
                    </a:prstGeom>
                    <a:noFill/>
                    <a:ln w="9525">
                      <a:noFill/>
                      <a:miter lim="800000"/>
                      <a:headEnd/>
                      <a:tailEnd/>
                    </a:ln>
                    <a:effectLst/>
                  </pic:spPr>
                </pic:pic>
              </a:graphicData>
            </a:graphic>
          </wp:inline>
        </w:drawing>
      </w:r>
    </w:p>
    <w:p>
      <w:pPr>
        <w:snapToGrid w:val="0"/>
        <w:spacing w:before="163" w:line="460" w:lineRule="exact"/>
        <w:ind w:left="640" w:firstLine="1680" w:firstLineChars="600"/>
      </w:pPr>
      <w:r>
        <w:rPr>
          <w:rFonts w:eastAsia="仿宋_GB2312"/>
          <w:sz w:val="28"/>
          <w:szCs w:val="28"/>
        </w:rPr>
        <w:t>图1  企业自行监测点位示意图（略）</w:t>
      </w:r>
    </w:p>
    <w:p>
      <w:pPr>
        <w:jc w:val="left"/>
        <w:rPr>
          <w:rFonts w:ascii="仿宋" w:hAnsi="仿宋" w:eastAsia="仿宋" w:cs="仿宋"/>
          <w:sz w:val="28"/>
          <w:szCs w:val="28"/>
        </w:rPr>
      </w:pPr>
      <w:r>
        <w:rPr>
          <w:rFonts w:hint="eastAsia" w:ascii="仿宋" w:hAnsi="仿宋" w:eastAsia="仿宋" w:cs="仿宋"/>
          <w:sz w:val="28"/>
          <w:szCs w:val="28"/>
        </w:rPr>
        <w:t>在线监测设备</w:t>
      </w:r>
    </w:p>
    <w:p>
      <w:pPr>
        <w:jc w:val="center"/>
        <w:rPr>
          <w:rFonts w:eastAsia="黑体"/>
          <w:sz w:val="32"/>
          <w:szCs w:val="32"/>
        </w:rPr>
      </w:pPr>
      <w:r>
        <w:drawing>
          <wp:inline distT="0" distB="0" distL="0" distR="0">
            <wp:extent cx="4322445" cy="3823970"/>
            <wp:effectExtent l="19050" t="0" r="1905" b="0"/>
            <wp:docPr id="4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0"/>
                    <pic:cNvPicPr>
                      <a:picLocks noChangeAspect="1" noChangeArrowheads="1"/>
                    </pic:cNvPicPr>
                  </pic:nvPicPr>
                  <pic:blipFill>
                    <a:blip r:embed="rId5"/>
                    <a:srcRect l="1662" t="1532" r="1048" b="1532"/>
                    <a:stretch>
                      <a:fillRect/>
                    </a:stretch>
                  </pic:blipFill>
                  <pic:spPr>
                    <a:xfrm>
                      <a:off x="0" y="0"/>
                      <a:ext cx="4322445" cy="3823970"/>
                    </a:xfrm>
                    <a:prstGeom prst="rect">
                      <a:avLst/>
                    </a:prstGeom>
                    <a:noFill/>
                    <a:ln w="9525">
                      <a:noFill/>
                      <a:miter lim="800000"/>
                      <a:headEnd/>
                      <a:tailEnd/>
                    </a:ln>
                    <a:effectLst/>
                  </pic:spPr>
                </pic:pic>
              </a:graphicData>
            </a:graphic>
          </wp:inline>
        </w:drawing>
      </w:r>
    </w:p>
    <w:p>
      <w:pPr>
        <w:widowControl/>
        <w:spacing w:before="120"/>
        <w:jc w:val="left"/>
        <w:rPr>
          <w:rFonts w:ascii="仿宋" w:hAnsi="仿宋" w:eastAsia="仿宋" w:cs="仿宋"/>
          <w:kern w:val="0"/>
          <w:sz w:val="28"/>
          <w:szCs w:val="28"/>
        </w:rPr>
      </w:pPr>
      <w:r>
        <w:rPr>
          <w:rFonts w:hint="eastAsia" w:ascii="仿宋" w:hAnsi="仿宋" w:eastAsia="仿宋" w:cs="仿宋"/>
          <w:kern w:val="0"/>
          <w:sz w:val="28"/>
          <w:szCs w:val="28"/>
        </w:rPr>
        <w:t>排放口现场</w:t>
      </w:r>
    </w:p>
    <w:p>
      <w:pPr>
        <w:tabs>
          <w:tab w:val="left" w:pos="0"/>
        </w:tabs>
        <w:spacing w:before="163"/>
        <w:jc w:val="center"/>
        <w:rPr>
          <w:rFonts w:ascii="仿宋" w:hAnsi="仿宋" w:eastAsia="仿宋" w:cs="仿宋"/>
          <w:b/>
          <w:bCs/>
          <w:sz w:val="28"/>
          <w:szCs w:val="28"/>
        </w:rPr>
      </w:pPr>
      <w:r>
        <w:rPr>
          <w:rFonts w:hint="eastAsia" w:ascii="仿宋" w:hAnsi="仿宋" w:eastAsia="仿宋" w:cs="仿宋"/>
          <w:b/>
          <w:bCs/>
          <w:sz w:val="28"/>
          <w:szCs w:val="28"/>
        </w:rPr>
        <w:drawing>
          <wp:inline distT="0" distB="0" distL="0" distR="0">
            <wp:extent cx="3087370" cy="4109085"/>
            <wp:effectExtent l="19050" t="0" r="0" b="0"/>
            <wp:docPr id="39" name="图片 29" descr="a2cbd02a23c90d8657bdedc54c44b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9" descr="a2cbd02a23c90d8657bdedc54c44b5c"/>
                    <pic:cNvPicPr>
                      <a:picLocks noChangeAspect="1" noChangeArrowheads="1"/>
                    </pic:cNvPicPr>
                  </pic:nvPicPr>
                  <pic:blipFill>
                    <a:blip r:embed="rId6"/>
                    <a:srcRect/>
                    <a:stretch>
                      <a:fillRect/>
                    </a:stretch>
                  </pic:blipFill>
                  <pic:spPr>
                    <a:xfrm>
                      <a:off x="0" y="0"/>
                      <a:ext cx="3087370" cy="4109085"/>
                    </a:xfrm>
                    <a:prstGeom prst="rect">
                      <a:avLst/>
                    </a:prstGeom>
                    <a:noFill/>
                    <a:ln w="9525">
                      <a:noFill/>
                      <a:miter lim="800000"/>
                      <a:headEnd/>
                      <a:tailEnd/>
                    </a:ln>
                  </pic:spPr>
                </pic:pic>
              </a:graphicData>
            </a:graphic>
          </wp:inline>
        </w:drawing>
      </w:r>
    </w:p>
    <w:p>
      <w:pPr>
        <w:tabs>
          <w:tab w:val="left" w:pos="0"/>
        </w:tabs>
        <w:spacing w:before="163"/>
        <w:ind w:firstLine="540" w:firstLineChars="168"/>
        <w:jc w:val="left"/>
        <w:rPr>
          <w:rFonts w:eastAsia="楷体_GB2312"/>
          <w:b/>
          <w:sz w:val="32"/>
          <w:szCs w:val="32"/>
        </w:rPr>
      </w:pPr>
      <w:r>
        <w:rPr>
          <w:rFonts w:hint="eastAsia" w:eastAsia="楷体_GB2312"/>
          <w:b/>
          <w:sz w:val="32"/>
          <w:szCs w:val="32"/>
        </w:rPr>
        <w:t>二、监测内容及公开时限</w:t>
      </w:r>
    </w:p>
    <w:p>
      <w:pPr>
        <w:tabs>
          <w:tab w:val="left" w:pos="0"/>
        </w:tabs>
        <w:spacing w:before="163"/>
        <w:ind w:firstLine="540" w:firstLineChars="168"/>
        <w:jc w:val="left"/>
        <w:rPr>
          <w:rFonts w:ascii="仿宋" w:hAnsi="仿宋" w:eastAsia="仿宋" w:cs="仿宋"/>
          <w:b/>
          <w:sz w:val="32"/>
          <w:szCs w:val="32"/>
        </w:rPr>
      </w:pPr>
      <w:r>
        <w:rPr>
          <w:rFonts w:hint="eastAsia" w:ascii="仿宋" w:hAnsi="仿宋" w:eastAsia="仿宋" w:cs="仿宋"/>
          <w:b/>
          <w:sz w:val="32"/>
          <w:szCs w:val="32"/>
        </w:rPr>
        <w:t>1．废水和水环境监测</w:t>
      </w:r>
    </w:p>
    <w:p>
      <w:pPr>
        <w:pStyle w:val="2"/>
        <w:ind w:firstLine="470" w:firstLineChars="168"/>
        <w:rPr>
          <w:rFonts w:ascii="仿宋" w:hAnsi="仿宋" w:eastAsia="仿宋" w:cs="仿宋"/>
          <w:sz w:val="28"/>
          <w:szCs w:val="28"/>
        </w:rPr>
      </w:pPr>
      <w:r>
        <w:rPr>
          <w:rFonts w:hint="eastAsia" w:ascii="仿宋" w:hAnsi="仿宋" w:eastAsia="仿宋" w:cs="仿宋"/>
          <w:sz w:val="28"/>
          <w:szCs w:val="28"/>
        </w:rPr>
        <w:t>废水和水环境监测内容见表2。</w:t>
      </w:r>
    </w:p>
    <w:p>
      <w:pPr>
        <w:spacing w:line="360" w:lineRule="auto"/>
        <w:ind w:firstLine="173" w:firstLineChars="62"/>
        <w:jc w:val="center"/>
        <w:rPr>
          <w:rFonts w:eastAsia="仿宋_GB2312"/>
          <w:sz w:val="28"/>
          <w:szCs w:val="28"/>
        </w:rPr>
      </w:pPr>
      <w:r>
        <w:rPr>
          <w:rFonts w:eastAsia="仿宋_GB2312"/>
          <w:sz w:val="28"/>
          <w:szCs w:val="28"/>
        </w:rPr>
        <w:t>表</w:t>
      </w:r>
      <w:r>
        <w:rPr>
          <w:rFonts w:hint="eastAsia" w:eastAsia="仿宋_GB2312"/>
          <w:sz w:val="28"/>
          <w:szCs w:val="28"/>
        </w:rPr>
        <w:t>2</w:t>
      </w:r>
      <w:r>
        <w:rPr>
          <w:rFonts w:eastAsia="仿宋_GB2312"/>
          <w:sz w:val="28"/>
          <w:szCs w:val="28"/>
        </w:rPr>
        <w:t xml:space="preserve">  废水和水环境监测情况一览表</w:t>
      </w:r>
    </w:p>
    <w:tbl>
      <w:tblPr>
        <w:tblStyle w:val="6"/>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809"/>
        <w:gridCol w:w="1242"/>
        <w:gridCol w:w="1819"/>
        <w:gridCol w:w="1510"/>
        <w:gridCol w:w="1263"/>
        <w:gridCol w:w="1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91" w:type="dxa"/>
            <w:vAlign w:val="center"/>
          </w:tcPr>
          <w:p>
            <w:pPr>
              <w:pStyle w:val="2"/>
              <w:jc w:val="center"/>
              <w:rPr>
                <w:rFonts w:eastAsia="仿宋_GB2312"/>
              </w:rPr>
            </w:pPr>
            <w:r>
              <w:rPr>
                <w:rFonts w:eastAsia="仿宋_GB2312"/>
              </w:rPr>
              <w:t>类别</w:t>
            </w:r>
          </w:p>
        </w:tc>
        <w:tc>
          <w:tcPr>
            <w:tcW w:w="809" w:type="dxa"/>
            <w:vAlign w:val="center"/>
          </w:tcPr>
          <w:p>
            <w:pPr>
              <w:pStyle w:val="2"/>
              <w:jc w:val="center"/>
              <w:rPr>
                <w:rFonts w:eastAsia="仿宋_GB2312"/>
              </w:rPr>
            </w:pPr>
            <w:r>
              <w:rPr>
                <w:rFonts w:eastAsia="仿宋_GB2312"/>
              </w:rPr>
              <w:t>监测方式</w:t>
            </w:r>
          </w:p>
        </w:tc>
        <w:tc>
          <w:tcPr>
            <w:tcW w:w="1242" w:type="dxa"/>
            <w:vAlign w:val="center"/>
          </w:tcPr>
          <w:p>
            <w:pPr>
              <w:pStyle w:val="2"/>
              <w:jc w:val="center"/>
              <w:rPr>
                <w:rFonts w:eastAsia="仿宋_GB2312"/>
              </w:rPr>
            </w:pPr>
            <w:r>
              <w:rPr>
                <w:rFonts w:eastAsia="仿宋_GB2312"/>
              </w:rPr>
              <w:t>监测点位</w:t>
            </w:r>
          </w:p>
        </w:tc>
        <w:tc>
          <w:tcPr>
            <w:tcW w:w="1819" w:type="dxa"/>
            <w:vAlign w:val="center"/>
          </w:tcPr>
          <w:p>
            <w:pPr>
              <w:pStyle w:val="2"/>
              <w:jc w:val="center"/>
              <w:rPr>
                <w:rFonts w:eastAsia="仿宋_GB2312"/>
              </w:rPr>
            </w:pPr>
            <w:r>
              <w:rPr>
                <w:rFonts w:eastAsia="仿宋_GB2312"/>
              </w:rPr>
              <w:t>监测项目</w:t>
            </w:r>
          </w:p>
        </w:tc>
        <w:tc>
          <w:tcPr>
            <w:tcW w:w="1510" w:type="dxa"/>
            <w:vAlign w:val="center"/>
          </w:tcPr>
          <w:p>
            <w:pPr>
              <w:pStyle w:val="2"/>
              <w:jc w:val="center"/>
              <w:rPr>
                <w:rFonts w:eastAsia="仿宋_GB2312"/>
              </w:rPr>
            </w:pPr>
            <w:r>
              <w:rPr>
                <w:rFonts w:eastAsia="仿宋_GB2312"/>
              </w:rPr>
              <w:t>监测承担方</w:t>
            </w:r>
          </w:p>
        </w:tc>
        <w:tc>
          <w:tcPr>
            <w:tcW w:w="1263" w:type="dxa"/>
            <w:vAlign w:val="center"/>
          </w:tcPr>
          <w:p>
            <w:pPr>
              <w:pStyle w:val="2"/>
              <w:jc w:val="center"/>
              <w:rPr>
                <w:rFonts w:eastAsia="仿宋_GB2312"/>
              </w:rPr>
            </w:pPr>
            <w:r>
              <w:rPr>
                <w:rFonts w:eastAsia="仿宋_GB2312"/>
              </w:rPr>
              <w:t>监测频次</w:t>
            </w:r>
          </w:p>
        </w:tc>
        <w:tc>
          <w:tcPr>
            <w:tcW w:w="1202" w:type="dxa"/>
            <w:vAlign w:val="center"/>
          </w:tcPr>
          <w:p>
            <w:pPr>
              <w:pStyle w:val="2"/>
              <w:jc w:val="center"/>
              <w:rPr>
                <w:rFonts w:eastAsia="仿宋_GB2312"/>
              </w:rPr>
            </w:pPr>
            <w:r>
              <w:rPr>
                <w:rFonts w:eastAsia="仿宋_GB2312"/>
              </w:rPr>
              <w:t>公开时限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891" w:type="dxa"/>
            <w:vMerge w:val="restart"/>
            <w:vAlign w:val="center"/>
          </w:tcPr>
          <w:p>
            <w:pPr>
              <w:pStyle w:val="2"/>
              <w:jc w:val="both"/>
              <w:rPr>
                <w:rFonts w:eastAsia="仿宋_GB2312"/>
              </w:rPr>
            </w:pPr>
            <w:r>
              <w:rPr>
                <w:rFonts w:eastAsia="仿宋_GB2312"/>
              </w:rPr>
              <w:t>废水</w:t>
            </w:r>
          </w:p>
        </w:tc>
        <w:tc>
          <w:tcPr>
            <w:tcW w:w="809" w:type="dxa"/>
            <w:vAlign w:val="center"/>
          </w:tcPr>
          <w:p>
            <w:pPr>
              <w:pStyle w:val="2"/>
              <w:jc w:val="both"/>
              <w:rPr>
                <w:rFonts w:eastAsia="仿宋_GB2312"/>
              </w:rPr>
            </w:pPr>
            <w:r>
              <w:rPr>
                <w:rFonts w:eastAsia="仿宋_GB2312"/>
              </w:rPr>
              <w:t>自动监测</w:t>
            </w:r>
          </w:p>
        </w:tc>
        <w:tc>
          <w:tcPr>
            <w:tcW w:w="1242" w:type="dxa"/>
            <w:vAlign w:val="center"/>
          </w:tcPr>
          <w:p>
            <w:pPr>
              <w:pStyle w:val="2"/>
              <w:jc w:val="both"/>
              <w:rPr>
                <w:rFonts w:eastAsia="仿宋_GB2312"/>
              </w:rPr>
            </w:pPr>
            <w:r>
              <w:rPr>
                <w:rFonts w:hint="eastAsia" w:eastAsia="仿宋_GB2312"/>
              </w:rPr>
              <w:t>排口（污水处理厂总排口）</w:t>
            </w:r>
          </w:p>
        </w:tc>
        <w:tc>
          <w:tcPr>
            <w:tcW w:w="1819" w:type="dxa"/>
            <w:vAlign w:val="center"/>
          </w:tcPr>
          <w:p>
            <w:pPr>
              <w:rPr>
                <w:rFonts w:eastAsia="仿宋_GB2312"/>
              </w:rPr>
            </w:pPr>
            <w:r>
              <w:rPr>
                <w:rFonts w:hint="eastAsia" w:eastAsia="仿宋_GB2312"/>
              </w:rPr>
              <w:t>COD、氨氮、总磷、总氮</w:t>
            </w:r>
          </w:p>
        </w:tc>
        <w:tc>
          <w:tcPr>
            <w:tcW w:w="1510" w:type="dxa"/>
            <w:vAlign w:val="center"/>
          </w:tcPr>
          <w:p>
            <w:r>
              <w:rPr>
                <w:rFonts w:hint="eastAsia" w:ascii="仿宋" w:hAnsi="仿宋" w:eastAsia="仿宋" w:cs="仿宋"/>
              </w:rPr>
              <w:t>山东中节能天融科技有限公司新疆分公司</w:t>
            </w:r>
          </w:p>
        </w:tc>
        <w:tc>
          <w:tcPr>
            <w:tcW w:w="1263" w:type="dxa"/>
            <w:vAlign w:val="center"/>
          </w:tcPr>
          <w:p>
            <w:pPr>
              <w:pStyle w:val="2"/>
              <w:jc w:val="both"/>
              <w:rPr>
                <w:rFonts w:eastAsia="仿宋_GB2312"/>
              </w:rPr>
            </w:pPr>
            <w:r>
              <w:rPr>
                <w:rFonts w:eastAsia="仿宋_GB2312"/>
              </w:rPr>
              <w:t>每2小时监测1次</w:t>
            </w:r>
          </w:p>
        </w:tc>
        <w:tc>
          <w:tcPr>
            <w:tcW w:w="1202" w:type="dxa"/>
            <w:vAlign w:val="center"/>
          </w:tcPr>
          <w:p>
            <w:pPr>
              <w:pStyle w:val="2"/>
              <w:jc w:val="both"/>
              <w:rPr>
                <w:rFonts w:eastAsia="仿宋_GB2312"/>
              </w:rPr>
            </w:pPr>
            <w:r>
              <w:rPr>
                <w:rFonts w:eastAsia="仿宋_GB2312"/>
              </w:rPr>
              <w:t>实时公布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891" w:type="dxa"/>
            <w:vMerge w:val="continue"/>
            <w:vAlign w:val="center"/>
          </w:tcPr>
          <w:p>
            <w:pPr>
              <w:pStyle w:val="2"/>
              <w:jc w:val="both"/>
              <w:rPr>
                <w:rFonts w:eastAsia="仿宋_GB2312"/>
              </w:rPr>
            </w:pPr>
          </w:p>
        </w:tc>
        <w:tc>
          <w:tcPr>
            <w:tcW w:w="809" w:type="dxa"/>
            <w:vAlign w:val="center"/>
          </w:tcPr>
          <w:p>
            <w:pPr>
              <w:pStyle w:val="2"/>
              <w:jc w:val="both"/>
              <w:rPr>
                <w:rFonts w:eastAsia="仿宋_GB2312"/>
              </w:rPr>
            </w:pPr>
            <w:r>
              <w:rPr>
                <w:rFonts w:eastAsia="仿宋_GB2312"/>
              </w:rPr>
              <w:t>自动监测</w:t>
            </w:r>
          </w:p>
        </w:tc>
        <w:tc>
          <w:tcPr>
            <w:tcW w:w="1242" w:type="dxa"/>
            <w:vAlign w:val="center"/>
          </w:tcPr>
          <w:p>
            <w:pPr>
              <w:pStyle w:val="2"/>
              <w:jc w:val="both"/>
              <w:rPr>
                <w:rFonts w:eastAsia="仿宋_GB2312"/>
              </w:rPr>
            </w:pPr>
            <w:r>
              <w:rPr>
                <w:rFonts w:hint="eastAsia" w:eastAsia="仿宋_GB2312"/>
              </w:rPr>
              <w:t>进口（污水处理厂总进口）</w:t>
            </w:r>
          </w:p>
        </w:tc>
        <w:tc>
          <w:tcPr>
            <w:tcW w:w="1819" w:type="dxa"/>
            <w:vAlign w:val="center"/>
          </w:tcPr>
          <w:p>
            <w:pPr>
              <w:rPr>
                <w:rFonts w:eastAsia="仿宋_GB2312"/>
                <w:b/>
              </w:rPr>
            </w:pPr>
            <w:r>
              <w:rPr>
                <w:rFonts w:hint="eastAsia" w:eastAsia="仿宋_GB2312"/>
              </w:rPr>
              <w:t>COD、氨氮、总磷、总氮</w:t>
            </w:r>
          </w:p>
        </w:tc>
        <w:tc>
          <w:tcPr>
            <w:tcW w:w="1510" w:type="dxa"/>
            <w:vAlign w:val="center"/>
          </w:tcPr>
          <w:p>
            <w:pPr>
              <w:rPr>
                <w:rFonts w:eastAsia="仿宋_GB2312"/>
                <w:color w:val="000000"/>
                <w:kern w:val="0"/>
              </w:rPr>
            </w:pPr>
            <w:r>
              <w:rPr>
                <w:rFonts w:hint="eastAsia" w:ascii="仿宋" w:hAnsi="仿宋" w:eastAsia="仿宋" w:cs="仿宋"/>
              </w:rPr>
              <w:t>山东中节能天融科技有限公司新疆分公司</w:t>
            </w:r>
          </w:p>
        </w:tc>
        <w:tc>
          <w:tcPr>
            <w:tcW w:w="1263" w:type="dxa"/>
            <w:vAlign w:val="center"/>
          </w:tcPr>
          <w:p>
            <w:pPr>
              <w:pStyle w:val="2"/>
              <w:jc w:val="both"/>
              <w:rPr>
                <w:rFonts w:eastAsia="仿宋_GB2312"/>
              </w:rPr>
            </w:pPr>
            <w:r>
              <w:rPr>
                <w:rFonts w:eastAsia="仿宋_GB2312"/>
              </w:rPr>
              <w:t>每2小时监测1次</w:t>
            </w:r>
          </w:p>
        </w:tc>
        <w:tc>
          <w:tcPr>
            <w:tcW w:w="1202" w:type="dxa"/>
            <w:vAlign w:val="center"/>
          </w:tcPr>
          <w:p>
            <w:pPr>
              <w:pStyle w:val="2"/>
              <w:jc w:val="both"/>
              <w:rPr>
                <w:rFonts w:eastAsia="仿宋_GB2312"/>
              </w:rPr>
            </w:pPr>
            <w:r>
              <w:rPr>
                <w:rFonts w:eastAsia="仿宋_GB2312"/>
              </w:rPr>
              <w:t>实时公布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891" w:type="dxa"/>
            <w:vMerge w:val="continue"/>
            <w:vAlign w:val="center"/>
          </w:tcPr>
          <w:p>
            <w:pPr>
              <w:pStyle w:val="2"/>
              <w:jc w:val="both"/>
              <w:rPr>
                <w:rFonts w:eastAsia="仿宋_GB2312"/>
              </w:rPr>
            </w:pPr>
          </w:p>
        </w:tc>
        <w:tc>
          <w:tcPr>
            <w:tcW w:w="809" w:type="dxa"/>
            <w:vAlign w:val="center"/>
          </w:tcPr>
          <w:p>
            <w:pPr>
              <w:pStyle w:val="2"/>
              <w:jc w:val="both"/>
              <w:rPr>
                <w:rFonts w:eastAsia="仿宋_GB2312"/>
              </w:rPr>
            </w:pPr>
            <w:r>
              <w:rPr>
                <w:rFonts w:hint="eastAsia" w:eastAsia="仿宋_GB2312"/>
              </w:rPr>
              <w:t>手工监测</w:t>
            </w:r>
          </w:p>
        </w:tc>
        <w:tc>
          <w:tcPr>
            <w:tcW w:w="1242" w:type="dxa"/>
            <w:vAlign w:val="center"/>
          </w:tcPr>
          <w:p>
            <w:pPr>
              <w:pStyle w:val="2"/>
              <w:jc w:val="both"/>
              <w:rPr>
                <w:rFonts w:eastAsia="仿宋_GB2312"/>
              </w:rPr>
            </w:pPr>
            <w:r>
              <w:rPr>
                <w:rFonts w:hint="eastAsia" w:eastAsia="仿宋_GB2312"/>
              </w:rPr>
              <w:t>排口（污水处理厂总排口）和进口（污水处理厂总进口）</w:t>
            </w:r>
          </w:p>
        </w:tc>
        <w:tc>
          <w:tcPr>
            <w:tcW w:w="1819" w:type="dxa"/>
            <w:vAlign w:val="center"/>
          </w:tcPr>
          <w:p>
            <w:pPr>
              <w:rPr>
                <w:rFonts w:eastAsia="仿宋_GB2312"/>
              </w:rPr>
            </w:pPr>
            <w:r>
              <w:rPr>
                <w:rFonts w:hint="eastAsia" w:eastAsia="仿宋_GB2312"/>
              </w:rPr>
              <w:t>悬浮物、COD、氨氮、BOD5、</w:t>
            </w:r>
            <w:r>
              <w:rPr>
                <w:rFonts w:eastAsia="仿宋_GB2312"/>
              </w:rPr>
              <w:t>动植物油</w:t>
            </w:r>
            <w:r>
              <w:rPr>
                <w:rFonts w:hint="eastAsia" w:eastAsia="仿宋_GB2312"/>
              </w:rPr>
              <w:t>、</w:t>
            </w:r>
            <w:r>
              <w:rPr>
                <w:rFonts w:eastAsia="仿宋_GB2312"/>
              </w:rPr>
              <w:t>石油类</w:t>
            </w:r>
            <w:r>
              <w:rPr>
                <w:rFonts w:hint="eastAsia" w:eastAsia="仿宋_GB2312"/>
              </w:rPr>
              <w:t>、PH、阴离子表面活性剂、</w:t>
            </w:r>
            <w:r>
              <w:rPr>
                <w:rFonts w:eastAsia="仿宋_GB2312"/>
              </w:rPr>
              <w:t>总氮</w:t>
            </w:r>
            <w:r>
              <w:rPr>
                <w:rFonts w:hint="eastAsia" w:eastAsia="仿宋_GB2312"/>
              </w:rPr>
              <w:t>、总</w:t>
            </w:r>
            <w:r>
              <w:rPr>
                <w:rFonts w:eastAsia="仿宋_GB2312"/>
              </w:rPr>
              <w:t>磷</w:t>
            </w:r>
            <w:r>
              <w:rPr>
                <w:rFonts w:hint="eastAsia" w:eastAsia="仿宋_GB2312"/>
              </w:rPr>
              <w:t>、色度、</w:t>
            </w:r>
            <w:r>
              <w:rPr>
                <w:rFonts w:eastAsia="仿宋_GB2312"/>
              </w:rPr>
              <w:t>粪大肠菌群</w:t>
            </w:r>
            <w:r>
              <w:rPr>
                <w:rFonts w:hint="eastAsia" w:eastAsia="仿宋_GB2312"/>
              </w:rPr>
              <w:t>、</w:t>
            </w:r>
            <w:r>
              <w:rPr>
                <w:rFonts w:eastAsia="仿宋_GB2312"/>
              </w:rPr>
              <w:t>总汞</w:t>
            </w:r>
            <w:r>
              <w:rPr>
                <w:rFonts w:hint="eastAsia" w:eastAsia="仿宋_GB2312"/>
              </w:rPr>
              <w:t>、</w:t>
            </w:r>
            <w:r>
              <w:rPr>
                <w:rFonts w:eastAsia="仿宋_GB2312"/>
              </w:rPr>
              <w:t>总镉</w:t>
            </w:r>
            <w:r>
              <w:rPr>
                <w:rFonts w:hint="eastAsia" w:eastAsia="仿宋_GB2312"/>
              </w:rPr>
              <w:t>、</w:t>
            </w:r>
            <w:r>
              <w:rPr>
                <w:rFonts w:eastAsia="仿宋_GB2312"/>
              </w:rPr>
              <w:t>总铬</w:t>
            </w:r>
            <w:r>
              <w:rPr>
                <w:rFonts w:hint="eastAsia" w:eastAsia="仿宋_GB2312"/>
              </w:rPr>
              <w:t>、</w:t>
            </w:r>
            <w:r>
              <w:rPr>
                <w:rFonts w:eastAsia="仿宋_GB2312"/>
              </w:rPr>
              <w:t>六价铬</w:t>
            </w:r>
            <w:r>
              <w:rPr>
                <w:rFonts w:hint="eastAsia" w:eastAsia="仿宋_GB2312"/>
              </w:rPr>
              <w:t>、</w:t>
            </w:r>
            <w:r>
              <w:rPr>
                <w:rFonts w:eastAsia="仿宋_GB2312"/>
              </w:rPr>
              <w:t>总砷</w:t>
            </w:r>
            <w:r>
              <w:rPr>
                <w:rFonts w:hint="eastAsia" w:eastAsia="仿宋_GB2312"/>
              </w:rPr>
              <w:t>、</w:t>
            </w:r>
            <w:r>
              <w:rPr>
                <w:rFonts w:eastAsia="仿宋_GB2312"/>
              </w:rPr>
              <w:t>总铅</w:t>
            </w:r>
            <w:r>
              <w:rPr>
                <w:rFonts w:hint="eastAsia" w:eastAsia="仿宋_GB2312"/>
              </w:rPr>
              <w:t>等、烷基汞</w:t>
            </w:r>
          </w:p>
        </w:tc>
        <w:tc>
          <w:tcPr>
            <w:tcW w:w="1510" w:type="dxa"/>
            <w:vAlign w:val="center"/>
          </w:tcPr>
          <w:p>
            <w:pPr>
              <w:rPr>
                <w:rFonts w:eastAsia="仿宋_GB2312"/>
                <w:color w:val="000000"/>
                <w:kern w:val="0"/>
              </w:rPr>
            </w:pPr>
            <w:r>
              <w:rPr>
                <w:rFonts w:hint="eastAsia" w:eastAsia="仿宋_GB2312"/>
                <w:color w:val="000000"/>
                <w:kern w:val="0"/>
              </w:rPr>
              <w:t>新疆维吾尔自治区地质矿产勘查开发局第六地质大队</w:t>
            </w:r>
          </w:p>
        </w:tc>
        <w:tc>
          <w:tcPr>
            <w:tcW w:w="1263" w:type="dxa"/>
            <w:vAlign w:val="center"/>
          </w:tcPr>
          <w:p>
            <w:pPr>
              <w:pStyle w:val="2"/>
              <w:jc w:val="center"/>
              <w:rPr>
                <w:rFonts w:eastAsia="仿宋_GB2312"/>
              </w:rPr>
            </w:pPr>
            <w:r>
              <w:rPr>
                <w:rFonts w:hint="eastAsia" w:eastAsia="仿宋_GB2312"/>
              </w:rPr>
              <w:t>每季度1次</w:t>
            </w:r>
          </w:p>
        </w:tc>
        <w:tc>
          <w:tcPr>
            <w:tcW w:w="1202" w:type="dxa"/>
            <w:vAlign w:val="center"/>
          </w:tcPr>
          <w:p>
            <w:pPr>
              <w:pStyle w:val="2"/>
              <w:jc w:val="center"/>
              <w:rPr>
                <w:rFonts w:eastAsia="仿宋_GB2312"/>
              </w:rPr>
            </w:pPr>
            <w:r>
              <w:rPr>
                <w:rFonts w:eastAsia="仿宋_GB2312"/>
              </w:rPr>
              <w:t>完成监测后次日公布</w:t>
            </w:r>
          </w:p>
        </w:tc>
      </w:tr>
    </w:tbl>
    <w:p>
      <w:pPr>
        <w:spacing w:line="360" w:lineRule="auto"/>
        <w:ind w:firstLine="173" w:firstLineChars="62"/>
        <w:jc w:val="center"/>
        <w:rPr>
          <w:rFonts w:eastAsia="仿宋_GB2312"/>
          <w:sz w:val="28"/>
          <w:szCs w:val="28"/>
        </w:rPr>
      </w:pPr>
    </w:p>
    <w:p>
      <w:pPr>
        <w:spacing w:line="360" w:lineRule="auto"/>
        <w:ind w:firstLine="173" w:firstLineChars="62"/>
        <w:rPr>
          <w:rFonts w:eastAsia="仿宋_GB2312"/>
          <w:sz w:val="28"/>
          <w:szCs w:val="28"/>
        </w:rPr>
      </w:pPr>
    </w:p>
    <w:p>
      <w:pPr>
        <w:numPr>
          <w:ilvl w:val="0"/>
          <w:numId w:val="3"/>
        </w:numPr>
        <w:spacing w:line="360" w:lineRule="auto"/>
        <w:ind w:firstLine="199" w:firstLineChars="62"/>
        <w:rPr>
          <w:rFonts w:eastAsia="仿宋_GB2312"/>
          <w:b/>
          <w:bCs/>
          <w:sz w:val="32"/>
          <w:szCs w:val="32"/>
        </w:rPr>
      </w:pPr>
      <w:r>
        <w:rPr>
          <w:rFonts w:hint="eastAsia" w:eastAsia="仿宋_GB2312"/>
          <w:b/>
          <w:bCs/>
          <w:sz w:val="32"/>
          <w:szCs w:val="32"/>
        </w:rPr>
        <w:t>环境空气监测</w:t>
      </w:r>
    </w:p>
    <w:p>
      <w:pPr>
        <w:spacing w:line="360" w:lineRule="auto"/>
        <w:ind w:firstLine="280" w:firstLineChars="100"/>
        <w:rPr>
          <w:rFonts w:eastAsia="仿宋_GB2312"/>
          <w:sz w:val="28"/>
          <w:szCs w:val="28"/>
        </w:rPr>
      </w:pPr>
      <w:r>
        <w:rPr>
          <w:rFonts w:hint="eastAsia" w:eastAsia="仿宋_GB2312"/>
          <w:sz w:val="28"/>
          <w:szCs w:val="28"/>
        </w:rPr>
        <w:t>环境空气监测见表3</w:t>
      </w:r>
    </w:p>
    <w:p>
      <w:pPr>
        <w:spacing w:line="360" w:lineRule="auto"/>
        <w:ind w:firstLine="173" w:firstLineChars="62"/>
        <w:jc w:val="center"/>
        <w:rPr>
          <w:rFonts w:eastAsia="仿宋_GB2312"/>
          <w:sz w:val="28"/>
          <w:szCs w:val="28"/>
        </w:rPr>
      </w:pPr>
      <w:r>
        <w:rPr>
          <w:rFonts w:eastAsia="仿宋_GB2312"/>
          <w:sz w:val="28"/>
          <w:szCs w:val="28"/>
        </w:rPr>
        <w:t>表</w:t>
      </w:r>
      <w:r>
        <w:rPr>
          <w:rFonts w:hint="eastAsia" w:eastAsia="仿宋_GB2312"/>
          <w:sz w:val="28"/>
          <w:szCs w:val="28"/>
        </w:rPr>
        <w:t>3 环境空气</w:t>
      </w:r>
      <w:r>
        <w:rPr>
          <w:rFonts w:eastAsia="仿宋_GB2312"/>
          <w:sz w:val="28"/>
          <w:szCs w:val="28"/>
        </w:rPr>
        <w:t>监测情况一览表</w:t>
      </w:r>
    </w:p>
    <w:tbl>
      <w:tblPr>
        <w:tblStyle w:val="6"/>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1274"/>
        <w:gridCol w:w="1212"/>
        <w:gridCol w:w="1271"/>
        <w:gridCol w:w="1437"/>
        <w:gridCol w:w="1324"/>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23" w:type="dxa"/>
            <w:vAlign w:val="center"/>
          </w:tcPr>
          <w:p>
            <w:pPr>
              <w:pStyle w:val="2"/>
              <w:jc w:val="center"/>
              <w:rPr>
                <w:rFonts w:eastAsia="仿宋_GB2312"/>
              </w:rPr>
            </w:pPr>
            <w:r>
              <w:rPr>
                <w:rFonts w:eastAsia="仿宋_GB2312"/>
              </w:rPr>
              <w:t>类别</w:t>
            </w:r>
          </w:p>
        </w:tc>
        <w:tc>
          <w:tcPr>
            <w:tcW w:w="1274" w:type="dxa"/>
            <w:vAlign w:val="center"/>
          </w:tcPr>
          <w:p>
            <w:pPr>
              <w:pStyle w:val="2"/>
              <w:jc w:val="center"/>
              <w:rPr>
                <w:rFonts w:eastAsia="仿宋_GB2312"/>
              </w:rPr>
            </w:pPr>
            <w:r>
              <w:rPr>
                <w:rFonts w:eastAsia="仿宋_GB2312"/>
              </w:rPr>
              <w:t>监测方式</w:t>
            </w:r>
          </w:p>
        </w:tc>
        <w:tc>
          <w:tcPr>
            <w:tcW w:w="1212" w:type="dxa"/>
            <w:vAlign w:val="center"/>
          </w:tcPr>
          <w:p>
            <w:pPr>
              <w:pStyle w:val="2"/>
              <w:jc w:val="center"/>
              <w:rPr>
                <w:rFonts w:eastAsia="仿宋_GB2312"/>
              </w:rPr>
            </w:pPr>
            <w:r>
              <w:rPr>
                <w:rFonts w:eastAsia="仿宋_GB2312"/>
              </w:rPr>
              <w:t>监测点位</w:t>
            </w:r>
          </w:p>
        </w:tc>
        <w:tc>
          <w:tcPr>
            <w:tcW w:w="1271" w:type="dxa"/>
            <w:vAlign w:val="center"/>
          </w:tcPr>
          <w:p>
            <w:pPr>
              <w:pStyle w:val="2"/>
              <w:jc w:val="center"/>
              <w:rPr>
                <w:rFonts w:eastAsia="仿宋_GB2312"/>
              </w:rPr>
            </w:pPr>
            <w:r>
              <w:rPr>
                <w:rFonts w:eastAsia="仿宋_GB2312"/>
              </w:rPr>
              <w:t>监测项目</w:t>
            </w:r>
          </w:p>
        </w:tc>
        <w:tc>
          <w:tcPr>
            <w:tcW w:w="1437" w:type="dxa"/>
            <w:vAlign w:val="center"/>
          </w:tcPr>
          <w:p>
            <w:pPr>
              <w:pStyle w:val="2"/>
              <w:jc w:val="center"/>
              <w:rPr>
                <w:rFonts w:eastAsia="仿宋_GB2312"/>
              </w:rPr>
            </w:pPr>
            <w:r>
              <w:rPr>
                <w:rFonts w:eastAsia="仿宋_GB2312"/>
              </w:rPr>
              <w:t>监测承担方</w:t>
            </w:r>
          </w:p>
        </w:tc>
        <w:tc>
          <w:tcPr>
            <w:tcW w:w="1324" w:type="dxa"/>
            <w:vAlign w:val="center"/>
          </w:tcPr>
          <w:p>
            <w:pPr>
              <w:pStyle w:val="2"/>
              <w:jc w:val="center"/>
              <w:rPr>
                <w:rFonts w:eastAsia="仿宋_GB2312"/>
              </w:rPr>
            </w:pPr>
            <w:r>
              <w:rPr>
                <w:rFonts w:eastAsia="仿宋_GB2312"/>
              </w:rPr>
              <w:t>监测频次</w:t>
            </w:r>
          </w:p>
        </w:tc>
        <w:tc>
          <w:tcPr>
            <w:tcW w:w="1208" w:type="dxa"/>
            <w:vAlign w:val="center"/>
          </w:tcPr>
          <w:p>
            <w:pPr>
              <w:pStyle w:val="2"/>
              <w:jc w:val="center"/>
              <w:rPr>
                <w:rFonts w:eastAsia="仿宋_GB2312"/>
              </w:rPr>
            </w:pPr>
            <w:r>
              <w:rPr>
                <w:rFonts w:eastAsia="仿宋_GB2312"/>
              </w:rPr>
              <w:t>公开时限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223" w:type="dxa"/>
            <w:vAlign w:val="center"/>
          </w:tcPr>
          <w:p>
            <w:pPr>
              <w:pStyle w:val="2"/>
              <w:jc w:val="center"/>
              <w:rPr>
                <w:rFonts w:eastAsia="仿宋_GB2312"/>
              </w:rPr>
            </w:pPr>
            <w:r>
              <w:rPr>
                <w:rFonts w:hint="eastAsia" w:eastAsia="仿宋_GB2312"/>
              </w:rPr>
              <w:t>环境空气</w:t>
            </w:r>
          </w:p>
        </w:tc>
        <w:tc>
          <w:tcPr>
            <w:tcW w:w="1274" w:type="dxa"/>
            <w:vAlign w:val="center"/>
          </w:tcPr>
          <w:p>
            <w:pPr>
              <w:pStyle w:val="2"/>
              <w:jc w:val="center"/>
              <w:rPr>
                <w:rFonts w:eastAsia="仿宋_GB2312"/>
              </w:rPr>
            </w:pPr>
            <w:r>
              <w:rPr>
                <w:rFonts w:eastAsia="仿宋_GB2312"/>
              </w:rPr>
              <w:t>手工监测</w:t>
            </w:r>
          </w:p>
        </w:tc>
        <w:tc>
          <w:tcPr>
            <w:tcW w:w="1212" w:type="dxa"/>
            <w:vAlign w:val="center"/>
          </w:tcPr>
          <w:p>
            <w:pPr>
              <w:pStyle w:val="2"/>
              <w:jc w:val="center"/>
              <w:rPr>
                <w:rFonts w:eastAsia="仿宋_GB2312"/>
              </w:rPr>
            </w:pPr>
            <w:r>
              <w:rPr>
                <w:rFonts w:hint="eastAsia" w:eastAsia="仿宋_GB2312"/>
              </w:rPr>
              <w:t>厂区定点监测</w:t>
            </w:r>
          </w:p>
        </w:tc>
        <w:tc>
          <w:tcPr>
            <w:tcW w:w="1271" w:type="dxa"/>
            <w:vAlign w:val="center"/>
          </w:tcPr>
          <w:p>
            <w:pPr>
              <w:pStyle w:val="2"/>
              <w:jc w:val="center"/>
              <w:rPr>
                <w:rFonts w:eastAsia="仿宋_GB2312"/>
              </w:rPr>
            </w:pPr>
            <w:r>
              <w:rPr>
                <w:rFonts w:hint="eastAsia" w:eastAsia="仿宋_GB2312"/>
              </w:rPr>
              <w:t>氨</w:t>
            </w:r>
          </w:p>
          <w:p>
            <w:pPr>
              <w:pStyle w:val="2"/>
              <w:jc w:val="center"/>
              <w:rPr>
                <w:rFonts w:eastAsia="仿宋_GB2312"/>
              </w:rPr>
            </w:pPr>
            <w:r>
              <w:rPr>
                <w:rFonts w:hint="eastAsia" w:eastAsia="仿宋_GB2312"/>
              </w:rPr>
              <w:t>硫化氢</w:t>
            </w:r>
          </w:p>
        </w:tc>
        <w:tc>
          <w:tcPr>
            <w:tcW w:w="1437" w:type="dxa"/>
          </w:tcPr>
          <w:p>
            <w:pPr>
              <w:spacing w:before="163"/>
            </w:pPr>
            <w:r>
              <w:rPr>
                <w:rFonts w:hint="eastAsia" w:eastAsia="仿宋_GB2312"/>
              </w:rPr>
              <w:t>新疆维吾尔自治区地质矿产勘查开发局第六地质大队</w:t>
            </w:r>
          </w:p>
        </w:tc>
        <w:tc>
          <w:tcPr>
            <w:tcW w:w="1324" w:type="dxa"/>
            <w:vAlign w:val="center"/>
          </w:tcPr>
          <w:p>
            <w:pPr>
              <w:pStyle w:val="2"/>
              <w:jc w:val="both"/>
              <w:rPr>
                <w:rFonts w:eastAsia="仿宋_GB2312"/>
              </w:rPr>
            </w:pPr>
            <w:r>
              <w:rPr>
                <w:rFonts w:eastAsia="仿宋_GB2312"/>
              </w:rPr>
              <w:t>每</w:t>
            </w:r>
            <w:r>
              <w:rPr>
                <w:rFonts w:hint="eastAsia" w:eastAsia="仿宋_GB2312"/>
              </w:rPr>
              <w:t>季度</w:t>
            </w:r>
            <w:r>
              <w:rPr>
                <w:rFonts w:eastAsia="仿宋_GB2312"/>
              </w:rPr>
              <w:t>监测</w:t>
            </w:r>
            <w:r>
              <w:rPr>
                <w:rFonts w:hint="eastAsia" w:eastAsia="仿宋_GB2312"/>
              </w:rPr>
              <w:t>1</w:t>
            </w:r>
            <w:r>
              <w:rPr>
                <w:rFonts w:eastAsia="仿宋_GB2312"/>
              </w:rPr>
              <w:t>次</w:t>
            </w:r>
          </w:p>
        </w:tc>
        <w:tc>
          <w:tcPr>
            <w:tcW w:w="1208" w:type="dxa"/>
            <w:vAlign w:val="center"/>
          </w:tcPr>
          <w:p>
            <w:pPr>
              <w:pStyle w:val="2"/>
              <w:jc w:val="both"/>
              <w:rPr>
                <w:rFonts w:eastAsia="仿宋_GB2312"/>
              </w:rPr>
            </w:pPr>
            <w:r>
              <w:rPr>
                <w:rFonts w:eastAsia="仿宋_GB2312"/>
              </w:rPr>
              <w:t>完成监测后次日公布</w:t>
            </w:r>
          </w:p>
        </w:tc>
      </w:tr>
    </w:tbl>
    <w:p>
      <w:pPr>
        <w:pStyle w:val="2"/>
        <w:rPr>
          <w:rFonts w:eastAsia="仿宋_GB2312"/>
          <w:sz w:val="32"/>
          <w:szCs w:val="32"/>
        </w:rPr>
      </w:pPr>
    </w:p>
    <w:p>
      <w:pPr>
        <w:pStyle w:val="2"/>
        <w:rPr>
          <w:rFonts w:ascii="仿宋" w:hAnsi="仿宋" w:eastAsia="仿宋" w:cs="仿宋"/>
          <w:b/>
          <w:bCs/>
          <w:sz w:val="32"/>
          <w:szCs w:val="32"/>
        </w:rPr>
      </w:pPr>
      <w:r>
        <w:rPr>
          <w:rFonts w:hint="eastAsia" w:ascii="仿宋" w:hAnsi="仿宋" w:eastAsia="仿宋" w:cs="仿宋"/>
          <w:b/>
          <w:bCs/>
          <w:sz w:val="32"/>
          <w:szCs w:val="32"/>
        </w:rPr>
        <w:t>3、噪声监测</w:t>
      </w:r>
    </w:p>
    <w:p>
      <w:pPr>
        <w:pStyle w:val="2"/>
        <w:ind w:firstLine="537" w:firstLineChars="168"/>
        <w:rPr>
          <w:rFonts w:eastAsia="仿宋_GB2312"/>
          <w:sz w:val="32"/>
          <w:szCs w:val="32"/>
        </w:rPr>
      </w:pPr>
      <w:r>
        <w:rPr>
          <w:rFonts w:eastAsia="仿宋_GB2312"/>
          <w:sz w:val="32"/>
          <w:szCs w:val="32"/>
        </w:rPr>
        <w:t>噪声监测内容见表</w:t>
      </w:r>
      <w:r>
        <w:rPr>
          <w:rFonts w:hint="eastAsia" w:eastAsia="仿宋_GB2312"/>
          <w:sz w:val="32"/>
          <w:szCs w:val="32"/>
        </w:rPr>
        <w:t>3</w:t>
      </w:r>
      <w:r>
        <w:rPr>
          <w:rFonts w:eastAsia="仿宋_GB2312"/>
          <w:sz w:val="32"/>
          <w:szCs w:val="32"/>
        </w:rPr>
        <w:t>。</w:t>
      </w:r>
    </w:p>
    <w:p>
      <w:pPr>
        <w:spacing w:line="360" w:lineRule="auto"/>
        <w:ind w:firstLine="173" w:firstLineChars="62"/>
        <w:jc w:val="center"/>
        <w:rPr>
          <w:rFonts w:eastAsia="仿宋_GB2312"/>
          <w:sz w:val="28"/>
          <w:szCs w:val="28"/>
        </w:rPr>
      </w:pPr>
      <w:r>
        <w:rPr>
          <w:rFonts w:eastAsia="仿宋_GB2312"/>
          <w:sz w:val="28"/>
          <w:szCs w:val="28"/>
        </w:rPr>
        <w:t>表</w:t>
      </w:r>
      <w:r>
        <w:rPr>
          <w:rFonts w:hint="eastAsia" w:eastAsia="仿宋_GB2312"/>
          <w:sz w:val="28"/>
          <w:szCs w:val="28"/>
        </w:rPr>
        <w:t>4</w:t>
      </w:r>
      <w:r>
        <w:rPr>
          <w:rFonts w:eastAsia="仿宋_GB2312"/>
          <w:sz w:val="28"/>
          <w:szCs w:val="28"/>
        </w:rPr>
        <w:t xml:space="preserve"> 噪声监测情况一览表</w:t>
      </w:r>
    </w:p>
    <w:tbl>
      <w:tblPr>
        <w:tblStyle w:val="6"/>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1274"/>
        <w:gridCol w:w="1212"/>
        <w:gridCol w:w="1271"/>
        <w:gridCol w:w="1437"/>
        <w:gridCol w:w="1324"/>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23" w:type="dxa"/>
            <w:vAlign w:val="center"/>
          </w:tcPr>
          <w:p>
            <w:pPr>
              <w:pStyle w:val="2"/>
              <w:jc w:val="center"/>
              <w:rPr>
                <w:rFonts w:eastAsia="仿宋_GB2312"/>
              </w:rPr>
            </w:pPr>
            <w:r>
              <w:rPr>
                <w:rFonts w:eastAsia="仿宋_GB2312"/>
              </w:rPr>
              <w:t>类别</w:t>
            </w:r>
          </w:p>
        </w:tc>
        <w:tc>
          <w:tcPr>
            <w:tcW w:w="1274" w:type="dxa"/>
            <w:vAlign w:val="center"/>
          </w:tcPr>
          <w:p>
            <w:pPr>
              <w:pStyle w:val="2"/>
              <w:jc w:val="center"/>
              <w:rPr>
                <w:rFonts w:eastAsia="仿宋_GB2312"/>
              </w:rPr>
            </w:pPr>
            <w:r>
              <w:rPr>
                <w:rFonts w:eastAsia="仿宋_GB2312"/>
              </w:rPr>
              <w:t>监测方式</w:t>
            </w:r>
          </w:p>
        </w:tc>
        <w:tc>
          <w:tcPr>
            <w:tcW w:w="1212" w:type="dxa"/>
            <w:vAlign w:val="center"/>
          </w:tcPr>
          <w:p>
            <w:pPr>
              <w:pStyle w:val="2"/>
              <w:jc w:val="center"/>
              <w:rPr>
                <w:rFonts w:eastAsia="仿宋_GB2312"/>
              </w:rPr>
            </w:pPr>
            <w:r>
              <w:rPr>
                <w:rFonts w:eastAsia="仿宋_GB2312"/>
              </w:rPr>
              <w:t>监测点位</w:t>
            </w:r>
          </w:p>
        </w:tc>
        <w:tc>
          <w:tcPr>
            <w:tcW w:w="1271" w:type="dxa"/>
            <w:vAlign w:val="center"/>
          </w:tcPr>
          <w:p>
            <w:pPr>
              <w:pStyle w:val="2"/>
              <w:jc w:val="center"/>
              <w:rPr>
                <w:rFonts w:eastAsia="仿宋_GB2312"/>
              </w:rPr>
            </w:pPr>
            <w:r>
              <w:rPr>
                <w:rFonts w:eastAsia="仿宋_GB2312"/>
              </w:rPr>
              <w:t>监测项目</w:t>
            </w:r>
          </w:p>
        </w:tc>
        <w:tc>
          <w:tcPr>
            <w:tcW w:w="1437" w:type="dxa"/>
            <w:vAlign w:val="center"/>
          </w:tcPr>
          <w:p>
            <w:pPr>
              <w:pStyle w:val="2"/>
              <w:jc w:val="center"/>
              <w:rPr>
                <w:rFonts w:eastAsia="仿宋_GB2312"/>
              </w:rPr>
            </w:pPr>
            <w:r>
              <w:rPr>
                <w:rFonts w:eastAsia="仿宋_GB2312"/>
              </w:rPr>
              <w:t>监测承担方</w:t>
            </w:r>
          </w:p>
        </w:tc>
        <w:tc>
          <w:tcPr>
            <w:tcW w:w="1324" w:type="dxa"/>
            <w:vAlign w:val="center"/>
          </w:tcPr>
          <w:p>
            <w:pPr>
              <w:pStyle w:val="2"/>
              <w:jc w:val="center"/>
              <w:rPr>
                <w:rFonts w:eastAsia="仿宋_GB2312"/>
              </w:rPr>
            </w:pPr>
            <w:r>
              <w:rPr>
                <w:rFonts w:eastAsia="仿宋_GB2312"/>
              </w:rPr>
              <w:t>监测频次</w:t>
            </w:r>
          </w:p>
        </w:tc>
        <w:tc>
          <w:tcPr>
            <w:tcW w:w="1208" w:type="dxa"/>
            <w:vAlign w:val="center"/>
          </w:tcPr>
          <w:p>
            <w:pPr>
              <w:pStyle w:val="2"/>
              <w:jc w:val="center"/>
              <w:rPr>
                <w:rFonts w:eastAsia="仿宋_GB2312"/>
              </w:rPr>
            </w:pPr>
            <w:r>
              <w:rPr>
                <w:rFonts w:eastAsia="仿宋_GB2312"/>
              </w:rPr>
              <w:t>公开时限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223" w:type="dxa"/>
            <w:vAlign w:val="center"/>
          </w:tcPr>
          <w:p>
            <w:pPr>
              <w:pStyle w:val="2"/>
              <w:jc w:val="center"/>
              <w:rPr>
                <w:rFonts w:eastAsia="仿宋_GB2312"/>
              </w:rPr>
            </w:pPr>
            <w:r>
              <w:rPr>
                <w:rFonts w:eastAsia="仿宋_GB2312"/>
              </w:rPr>
              <w:t>厂界噪声</w:t>
            </w:r>
          </w:p>
        </w:tc>
        <w:tc>
          <w:tcPr>
            <w:tcW w:w="1274" w:type="dxa"/>
            <w:vAlign w:val="center"/>
          </w:tcPr>
          <w:p>
            <w:pPr>
              <w:pStyle w:val="2"/>
              <w:jc w:val="center"/>
              <w:rPr>
                <w:rFonts w:eastAsia="仿宋_GB2312"/>
              </w:rPr>
            </w:pPr>
            <w:r>
              <w:rPr>
                <w:rFonts w:eastAsia="仿宋_GB2312"/>
              </w:rPr>
              <w:t>手工监测</w:t>
            </w:r>
          </w:p>
        </w:tc>
        <w:tc>
          <w:tcPr>
            <w:tcW w:w="1212" w:type="dxa"/>
            <w:vAlign w:val="center"/>
          </w:tcPr>
          <w:p>
            <w:pPr>
              <w:pStyle w:val="2"/>
              <w:jc w:val="center"/>
              <w:rPr>
                <w:rFonts w:eastAsia="仿宋_GB2312"/>
              </w:rPr>
            </w:pPr>
            <w:r>
              <w:rPr>
                <w:rFonts w:hint="eastAsia" w:eastAsia="仿宋_GB2312"/>
              </w:rPr>
              <w:t>厂区不定点监测</w:t>
            </w:r>
          </w:p>
        </w:tc>
        <w:tc>
          <w:tcPr>
            <w:tcW w:w="1271" w:type="dxa"/>
            <w:vAlign w:val="center"/>
          </w:tcPr>
          <w:p>
            <w:pPr>
              <w:pStyle w:val="2"/>
              <w:jc w:val="center"/>
              <w:rPr>
                <w:rFonts w:eastAsia="仿宋_GB2312"/>
              </w:rPr>
            </w:pPr>
            <w:r>
              <w:rPr>
                <w:rFonts w:eastAsia="仿宋_GB2312"/>
              </w:rPr>
              <w:t>连续等效A声级</w:t>
            </w:r>
          </w:p>
        </w:tc>
        <w:tc>
          <w:tcPr>
            <w:tcW w:w="1437" w:type="dxa"/>
          </w:tcPr>
          <w:p>
            <w:pPr>
              <w:spacing w:before="163"/>
            </w:pPr>
            <w:r>
              <w:rPr>
                <w:rFonts w:hint="eastAsia" w:eastAsia="仿宋_GB2312"/>
              </w:rPr>
              <w:t>新疆维吾尔自治区地质矿产勘查开发局第六地质大队</w:t>
            </w:r>
          </w:p>
        </w:tc>
        <w:tc>
          <w:tcPr>
            <w:tcW w:w="1324" w:type="dxa"/>
            <w:vAlign w:val="center"/>
          </w:tcPr>
          <w:p>
            <w:pPr>
              <w:pStyle w:val="2"/>
              <w:jc w:val="both"/>
              <w:rPr>
                <w:rFonts w:eastAsia="仿宋_GB2312"/>
              </w:rPr>
            </w:pPr>
            <w:r>
              <w:rPr>
                <w:rFonts w:eastAsia="仿宋_GB2312"/>
              </w:rPr>
              <w:t>每</w:t>
            </w:r>
            <w:r>
              <w:rPr>
                <w:rFonts w:hint="eastAsia" w:eastAsia="仿宋_GB2312"/>
              </w:rPr>
              <w:t>季度</w:t>
            </w:r>
            <w:r>
              <w:rPr>
                <w:rFonts w:eastAsia="仿宋_GB2312"/>
              </w:rPr>
              <w:t>监测</w:t>
            </w:r>
            <w:r>
              <w:rPr>
                <w:rFonts w:hint="eastAsia" w:eastAsia="仿宋_GB2312"/>
              </w:rPr>
              <w:t>1</w:t>
            </w:r>
            <w:r>
              <w:rPr>
                <w:rFonts w:eastAsia="仿宋_GB2312"/>
              </w:rPr>
              <w:t>次</w:t>
            </w:r>
          </w:p>
        </w:tc>
        <w:tc>
          <w:tcPr>
            <w:tcW w:w="1208" w:type="dxa"/>
            <w:vAlign w:val="center"/>
          </w:tcPr>
          <w:p>
            <w:pPr>
              <w:pStyle w:val="2"/>
              <w:jc w:val="both"/>
              <w:rPr>
                <w:rFonts w:eastAsia="仿宋_GB2312"/>
              </w:rPr>
            </w:pPr>
            <w:r>
              <w:rPr>
                <w:rFonts w:eastAsia="仿宋_GB2312"/>
              </w:rPr>
              <w:t>完成监测后次日公布</w:t>
            </w:r>
          </w:p>
        </w:tc>
      </w:tr>
    </w:tbl>
    <w:p>
      <w:pPr>
        <w:tabs>
          <w:tab w:val="left" w:pos="692"/>
        </w:tabs>
        <w:ind w:left="640"/>
        <w:jc w:val="left"/>
        <w:rPr>
          <w:rFonts w:ascii="仿宋" w:hAnsi="仿宋" w:eastAsia="仿宋" w:cs="仿宋"/>
          <w:b/>
          <w:bCs/>
          <w:sz w:val="32"/>
          <w:szCs w:val="32"/>
        </w:rPr>
      </w:pPr>
    </w:p>
    <w:p>
      <w:pPr>
        <w:tabs>
          <w:tab w:val="left" w:pos="692"/>
        </w:tabs>
        <w:ind w:left="640"/>
        <w:jc w:val="left"/>
        <w:rPr>
          <w:rFonts w:ascii="仿宋" w:hAnsi="仿宋" w:eastAsia="仿宋" w:cs="仿宋"/>
          <w:b/>
          <w:bCs/>
          <w:sz w:val="32"/>
          <w:szCs w:val="32"/>
        </w:rPr>
      </w:pPr>
    </w:p>
    <w:p>
      <w:pPr>
        <w:tabs>
          <w:tab w:val="left" w:pos="692"/>
        </w:tabs>
        <w:ind w:left="640"/>
        <w:jc w:val="left"/>
        <w:rPr>
          <w:rFonts w:ascii="仿宋" w:hAnsi="仿宋" w:eastAsia="仿宋" w:cs="仿宋"/>
          <w:b/>
          <w:bCs/>
          <w:sz w:val="32"/>
          <w:szCs w:val="32"/>
        </w:rPr>
      </w:pPr>
    </w:p>
    <w:p>
      <w:pPr>
        <w:tabs>
          <w:tab w:val="left" w:pos="692"/>
        </w:tabs>
        <w:jc w:val="left"/>
        <w:rPr>
          <w:rFonts w:ascii="仿宋" w:hAnsi="仿宋" w:eastAsia="仿宋" w:cs="仿宋"/>
          <w:b/>
          <w:bCs/>
          <w:sz w:val="32"/>
          <w:szCs w:val="32"/>
        </w:rPr>
      </w:pPr>
    </w:p>
    <w:p>
      <w:pPr>
        <w:tabs>
          <w:tab w:val="left" w:pos="692"/>
        </w:tabs>
        <w:snapToGrid w:val="0"/>
        <w:spacing w:line="312" w:lineRule="auto"/>
        <w:ind w:left="640"/>
        <w:jc w:val="left"/>
        <w:rPr>
          <w:rFonts w:ascii="仿宋" w:hAnsi="仿宋" w:eastAsia="仿宋" w:cs="仿宋"/>
          <w:b/>
          <w:bCs/>
          <w:sz w:val="32"/>
          <w:szCs w:val="32"/>
        </w:rPr>
      </w:pPr>
      <w:r>
        <w:rPr>
          <w:rFonts w:hint="eastAsia" w:ascii="仿宋" w:hAnsi="仿宋" w:eastAsia="仿宋" w:cs="仿宋"/>
          <w:b/>
          <w:bCs/>
          <w:sz w:val="32"/>
          <w:szCs w:val="32"/>
        </w:rPr>
        <w:t>三、监测评价标准</w:t>
      </w:r>
    </w:p>
    <w:p>
      <w:pPr>
        <w:snapToGrid w:val="0"/>
        <w:spacing w:line="312" w:lineRule="auto"/>
        <w:ind w:firstLine="462" w:firstLineChars="165"/>
        <w:rPr>
          <w:rFonts w:ascii="仿宋" w:hAnsi="仿宋" w:eastAsia="仿宋" w:cs="仿宋"/>
          <w:color w:val="000000"/>
          <w:sz w:val="28"/>
          <w:szCs w:val="28"/>
        </w:rPr>
      </w:pPr>
      <w:r>
        <w:rPr>
          <w:rFonts w:hint="eastAsia" w:ascii="仿宋" w:hAnsi="仿宋" w:eastAsia="仿宋" w:cs="仿宋"/>
          <w:color w:val="000000"/>
          <w:sz w:val="28"/>
          <w:szCs w:val="28"/>
        </w:rPr>
        <w:t>本企业执行标准如下：</w:t>
      </w:r>
    </w:p>
    <w:p>
      <w:pPr>
        <w:tabs>
          <w:tab w:val="left" w:pos="0"/>
        </w:tabs>
        <w:snapToGrid w:val="0"/>
        <w:spacing w:before="163" w:line="312" w:lineRule="auto"/>
        <w:ind w:firstLine="536" w:firstLineChars="167"/>
        <w:jc w:val="left"/>
        <w:rPr>
          <w:rFonts w:ascii="仿宋" w:hAnsi="仿宋" w:eastAsia="仿宋" w:cs="仿宋"/>
          <w:b/>
          <w:sz w:val="32"/>
          <w:szCs w:val="32"/>
        </w:rPr>
      </w:pPr>
      <w:r>
        <w:rPr>
          <w:rFonts w:hint="eastAsia" w:ascii="仿宋" w:hAnsi="仿宋" w:eastAsia="仿宋" w:cs="仿宋"/>
          <w:b/>
          <w:sz w:val="32"/>
          <w:szCs w:val="32"/>
        </w:rPr>
        <w:t>1．废水和水环境评价标准</w:t>
      </w:r>
    </w:p>
    <w:p>
      <w:pPr>
        <w:snapToGrid w:val="0"/>
        <w:spacing w:line="312" w:lineRule="auto"/>
        <w:ind w:firstLine="462" w:firstLineChars="165"/>
        <w:jc w:val="left"/>
        <w:rPr>
          <w:rFonts w:ascii="仿宋" w:hAnsi="仿宋" w:eastAsia="仿宋" w:cs="仿宋"/>
          <w:color w:val="000000"/>
          <w:sz w:val="28"/>
          <w:szCs w:val="28"/>
        </w:rPr>
      </w:pPr>
      <w:r>
        <w:rPr>
          <w:rFonts w:hint="eastAsia" w:ascii="仿宋" w:hAnsi="仿宋" w:eastAsia="仿宋" w:cs="仿宋"/>
          <w:color w:val="000000"/>
          <w:sz w:val="28"/>
          <w:szCs w:val="28"/>
        </w:rPr>
        <w:t>排口废水执行《城镇污水处理厂污染物排放标准》（GB18918-2002）中一级A标准。</w:t>
      </w:r>
    </w:p>
    <w:p>
      <w:pPr>
        <w:snapToGrid w:val="0"/>
        <w:spacing w:line="360" w:lineRule="auto"/>
        <w:ind w:firstLine="173" w:firstLineChars="62"/>
        <w:jc w:val="center"/>
        <w:rPr>
          <w:rFonts w:eastAsia="仿宋_GB2312"/>
          <w:sz w:val="28"/>
          <w:szCs w:val="28"/>
        </w:rPr>
      </w:pPr>
      <w:r>
        <w:rPr>
          <w:rFonts w:eastAsia="仿宋_GB2312"/>
          <w:sz w:val="28"/>
          <w:szCs w:val="28"/>
        </w:rPr>
        <w:t>表</w:t>
      </w:r>
      <w:r>
        <w:rPr>
          <w:rFonts w:hint="eastAsia" w:eastAsia="仿宋_GB2312"/>
          <w:sz w:val="28"/>
          <w:szCs w:val="28"/>
        </w:rPr>
        <w:t>5</w:t>
      </w:r>
      <w:r>
        <w:rPr>
          <w:rFonts w:eastAsia="仿宋_GB2312"/>
          <w:sz w:val="28"/>
          <w:szCs w:val="28"/>
        </w:rPr>
        <w:t xml:space="preserve">  废水和水环境评价标准一览表     </w:t>
      </w:r>
    </w:p>
    <w:tbl>
      <w:tblPr>
        <w:tblStyle w:val="6"/>
        <w:tblW w:w="8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043"/>
        <w:gridCol w:w="2382"/>
        <w:gridCol w:w="1470"/>
        <w:gridCol w:w="1411"/>
        <w:gridCol w:w="1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31" w:type="dxa"/>
          </w:tcPr>
          <w:p>
            <w:pPr>
              <w:widowControl/>
              <w:spacing w:before="120"/>
              <w:jc w:val="center"/>
              <w:rPr>
                <w:rFonts w:eastAsia="仿宋_GB2312"/>
                <w:color w:val="000000"/>
                <w:kern w:val="0"/>
              </w:rPr>
            </w:pPr>
            <w:r>
              <w:rPr>
                <w:rFonts w:eastAsia="仿宋_GB2312"/>
                <w:color w:val="000000"/>
                <w:kern w:val="0"/>
              </w:rPr>
              <w:t>类别</w:t>
            </w:r>
          </w:p>
        </w:tc>
        <w:tc>
          <w:tcPr>
            <w:tcW w:w="1043" w:type="dxa"/>
            <w:vAlign w:val="center"/>
          </w:tcPr>
          <w:p>
            <w:pPr>
              <w:widowControl/>
              <w:spacing w:before="120"/>
              <w:jc w:val="center"/>
              <w:rPr>
                <w:rFonts w:eastAsia="仿宋_GB2312"/>
                <w:color w:val="000000"/>
                <w:kern w:val="0"/>
              </w:rPr>
            </w:pPr>
            <w:r>
              <w:rPr>
                <w:rFonts w:eastAsia="仿宋_GB2312"/>
                <w:color w:val="000000"/>
                <w:kern w:val="0"/>
              </w:rPr>
              <w:t>监测点</w:t>
            </w:r>
          </w:p>
        </w:tc>
        <w:tc>
          <w:tcPr>
            <w:tcW w:w="2382" w:type="dxa"/>
            <w:vMerge w:val="restart"/>
            <w:vAlign w:val="center"/>
          </w:tcPr>
          <w:p>
            <w:pPr>
              <w:widowControl/>
              <w:jc w:val="center"/>
              <w:rPr>
                <w:rFonts w:eastAsia="仿宋_GB2312"/>
                <w:color w:val="000000"/>
                <w:kern w:val="0"/>
              </w:rPr>
            </w:pPr>
            <w:r>
              <w:rPr>
                <w:rFonts w:eastAsia="仿宋_GB2312"/>
                <w:color w:val="000000"/>
                <w:kern w:val="0"/>
              </w:rPr>
              <w:t>监测项目</w:t>
            </w:r>
          </w:p>
        </w:tc>
        <w:tc>
          <w:tcPr>
            <w:tcW w:w="2881" w:type="dxa"/>
            <w:gridSpan w:val="2"/>
            <w:vAlign w:val="center"/>
          </w:tcPr>
          <w:p>
            <w:pPr>
              <w:widowControl/>
              <w:jc w:val="center"/>
              <w:rPr>
                <w:rFonts w:eastAsia="仿宋_GB2312"/>
                <w:color w:val="000000"/>
                <w:kern w:val="0"/>
              </w:rPr>
            </w:pPr>
            <w:r>
              <w:rPr>
                <w:rFonts w:eastAsia="仿宋_GB2312"/>
                <w:color w:val="000000"/>
                <w:kern w:val="0"/>
              </w:rPr>
              <w:t>排放标准限值</w:t>
            </w:r>
          </w:p>
        </w:tc>
        <w:tc>
          <w:tcPr>
            <w:tcW w:w="1874" w:type="dxa"/>
            <w:vAlign w:val="center"/>
          </w:tcPr>
          <w:p>
            <w:pPr>
              <w:widowControl/>
              <w:jc w:val="center"/>
              <w:rPr>
                <w:rFonts w:eastAsia="仿宋_GB2312"/>
                <w:color w:val="000000"/>
                <w:kern w:val="0"/>
              </w:rPr>
            </w:pPr>
            <w:r>
              <w:rPr>
                <w:rFonts w:eastAsia="仿宋_GB2312"/>
                <w:color w:val="000000"/>
                <w:kern w:val="0"/>
              </w:rPr>
              <w:t>评价标准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restart"/>
            <w:vAlign w:val="center"/>
          </w:tcPr>
          <w:p>
            <w:pPr>
              <w:widowControl/>
              <w:jc w:val="center"/>
              <w:rPr>
                <w:rFonts w:eastAsia="仿宋_GB2312"/>
                <w:color w:val="000000"/>
                <w:kern w:val="0"/>
              </w:rPr>
            </w:pPr>
            <w:r>
              <w:rPr>
                <w:rFonts w:eastAsia="仿宋_GB2312"/>
                <w:color w:val="000000"/>
                <w:kern w:val="0"/>
              </w:rPr>
              <w:t>废水</w:t>
            </w:r>
          </w:p>
        </w:tc>
        <w:tc>
          <w:tcPr>
            <w:tcW w:w="1043" w:type="dxa"/>
            <w:vMerge w:val="restart"/>
            <w:vAlign w:val="center"/>
          </w:tcPr>
          <w:p>
            <w:pPr>
              <w:widowControl/>
              <w:jc w:val="center"/>
              <w:rPr>
                <w:rFonts w:eastAsia="仿宋_GB2312"/>
                <w:color w:val="000000"/>
                <w:kern w:val="0"/>
              </w:rPr>
            </w:pPr>
            <w:r>
              <w:rPr>
                <w:rFonts w:eastAsia="仿宋_GB2312"/>
                <w:color w:val="000000"/>
                <w:kern w:val="0"/>
              </w:rPr>
              <w:t>排口</w:t>
            </w:r>
          </w:p>
        </w:tc>
        <w:tc>
          <w:tcPr>
            <w:tcW w:w="2382" w:type="dxa"/>
            <w:vMerge w:val="continue"/>
            <w:vAlign w:val="center"/>
          </w:tcPr>
          <w:p>
            <w:pPr>
              <w:widowControl/>
              <w:jc w:val="center"/>
              <w:rPr>
                <w:color w:val="000000"/>
                <w:kern w:val="0"/>
              </w:rPr>
            </w:pPr>
          </w:p>
        </w:tc>
        <w:tc>
          <w:tcPr>
            <w:tcW w:w="1470" w:type="dxa"/>
            <w:vAlign w:val="center"/>
          </w:tcPr>
          <w:p>
            <w:pPr>
              <w:widowControl/>
              <w:rPr>
                <w:color w:val="000000"/>
                <w:kern w:val="0"/>
              </w:rPr>
            </w:pPr>
            <w:r>
              <w:rPr>
                <w:rFonts w:hint="eastAsia"/>
                <w:color w:val="000000"/>
                <w:kern w:val="0"/>
              </w:rPr>
              <w:t>一级A标准</w:t>
            </w:r>
          </w:p>
        </w:tc>
        <w:tc>
          <w:tcPr>
            <w:tcW w:w="1411" w:type="dxa"/>
            <w:vAlign w:val="center"/>
          </w:tcPr>
          <w:p>
            <w:pPr>
              <w:widowControl/>
              <w:jc w:val="center"/>
              <w:rPr>
                <w:color w:val="000000"/>
                <w:kern w:val="0"/>
              </w:rPr>
            </w:pPr>
            <w:r>
              <w:rPr>
                <w:rFonts w:hint="eastAsia"/>
                <w:color w:val="000000"/>
                <w:kern w:val="0"/>
              </w:rPr>
              <w:t>二级标准</w:t>
            </w:r>
          </w:p>
        </w:tc>
        <w:tc>
          <w:tcPr>
            <w:tcW w:w="1874" w:type="dxa"/>
            <w:vMerge w:val="restart"/>
            <w:vAlign w:val="center"/>
          </w:tcPr>
          <w:p>
            <w:pPr>
              <w:widowControl/>
              <w:jc w:val="center"/>
              <w:rPr>
                <w:rFonts w:eastAsia="仿宋_GB2312"/>
                <w:color w:val="000000"/>
                <w:kern w:val="0"/>
              </w:rPr>
            </w:pPr>
            <w:r>
              <w:rPr>
                <w:rFonts w:eastAsia="仿宋_GB2312"/>
                <w:color w:val="000000"/>
                <w:kern w:val="0"/>
              </w:rPr>
              <w:t>《城镇污水处理厂水污染物排放标准》</w:t>
            </w:r>
            <w:r>
              <w:rPr>
                <w:rFonts w:hint="eastAsia" w:eastAsia="仿宋_GB2312"/>
                <w:color w:val="000000"/>
                <w:kern w:val="0"/>
              </w:rPr>
              <w:t>GB18918-2002中一级A标准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化学需氧量（mg/L）</w:t>
            </w:r>
          </w:p>
        </w:tc>
        <w:tc>
          <w:tcPr>
            <w:tcW w:w="1470" w:type="dxa"/>
            <w:vAlign w:val="center"/>
          </w:tcPr>
          <w:p>
            <w:pPr>
              <w:widowControl/>
              <w:ind w:firstLine="210" w:firstLineChars="100"/>
              <w:jc w:val="center"/>
              <w:rPr>
                <w:color w:val="000000"/>
                <w:kern w:val="0"/>
              </w:rPr>
            </w:pPr>
            <w:r>
              <w:rPr>
                <w:rFonts w:hint="eastAsia"/>
                <w:color w:val="000000"/>
                <w:kern w:val="0"/>
              </w:rPr>
              <w:t>50</w:t>
            </w:r>
          </w:p>
        </w:tc>
        <w:tc>
          <w:tcPr>
            <w:tcW w:w="1411" w:type="dxa"/>
            <w:vAlign w:val="center"/>
          </w:tcPr>
          <w:p>
            <w:pPr>
              <w:widowControl/>
              <w:jc w:val="center"/>
              <w:rPr>
                <w:color w:val="000000"/>
                <w:kern w:val="0"/>
              </w:rPr>
            </w:pPr>
            <w:r>
              <w:rPr>
                <w:rFonts w:hint="eastAsia"/>
                <w:color w:val="000000"/>
                <w:kern w:val="0"/>
              </w:rPr>
              <w:t>100</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氨氮（mg/L）</w:t>
            </w:r>
          </w:p>
        </w:tc>
        <w:tc>
          <w:tcPr>
            <w:tcW w:w="1470" w:type="dxa"/>
            <w:vAlign w:val="center"/>
          </w:tcPr>
          <w:p>
            <w:pPr>
              <w:widowControl/>
              <w:ind w:firstLine="210" w:firstLineChars="100"/>
              <w:jc w:val="center"/>
              <w:rPr>
                <w:color w:val="000000"/>
                <w:kern w:val="0"/>
              </w:rPr>
            </w:pPr>
            <w:r>
              <w:rPr>
                <w:rFonts w:hint="eastAsia"/>
                <w:color w:val="000000"/>
                <w:kern w:val="0"/>
              </w:rPr>
              <w:t>5</w:t>
            </w:r>
          </w:p>
        </w:tc>
        <w:tc>
          <w:tcPr>
            <w:tcW w:w="1411" w:type="dxa"/>
            <w:vAlign w:val="center"/>
          </w:tcPr>
          <w:p>
            <w:pPr>
              <w:widowControl/>
              <w:ind w:firstLine="210" w:firstLineChars="100"/>
              <w:jc w:val="center"/>
              <w:rPr>
                <w:color w:val="000000"/>
                <w:kern w:val="0"/>
              </w:rPr>
            </w:pPr>
            <w:r>
              <w:rPr>
                <w:rFonts w:hint="eastAsia"/>
                <w:color w:val="000000"/>
                <w:kern w:val="0"/>
              </w:rPr>
              <w:t>25</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生化需氧量（mg/L）</w:t>
            </w:r>
          </w:p>
        </w:tc>
        <w:tc>
          <w:tcPr>
            <w:tcW w:w="1470" w:type="dxa"/>
            <w:vAlign w:val="center"/>
          </w:tcPr>
          <w:p>
            <w:pPr>
              <w:widowControl/>
              <w:ind w:firstLine="210" w:firstLineChars="100"/>
              <w:jc w:val="center"/>
              <w:rPr>
                <w:color w:val="000000"/>
                <w:kern w:val="0"/>
              </w:rPr>
            </w:pPr>
            <w:r>
              <w:rPr>
                <w:rFonts w:hint="eastAsia"/>
                <w:color w:val="000000"/>
                <w:kern w:val="0"/>
              </w:rPr>
              <w:t>10</w:t>
            </w:r>
          </w:p>
        </w:tc>
        <w:tc>
          <w:tcPr>
            <w:tcW w:w="1411" w:type="dxa"/>
            <w:vAlign w:val="center"/>
          </w:tcPr>
          <w:p>
            <w:pPr>
              <w:widowControl/>
              <w:ind w:firstLine="210" w:firstLineChars="100"/>
              <w:jc w:val="center"/>
              <w:rPr>
                <w:color w:val="000000"/>
                <w:kern w:val="0"/>
              </w:rPr>
            </w:pPr>
            <w:r>
              <w:rPr>
                <w:rFonts w:hint="eastAsia"/>
                <w:color w:val="000000"/>
                <w:kern w:val="0"/>
              </w:rPr>
              <w:t>20</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悬浮物（mg/L）</w:t>
            </w:r>
          </w:p>
        </w:tc>
        <w:tc>
          <w:tcPr>
            <w:tcW w:w="1470" w:type="dxa"/>
            <w:vAlign w:val="center"/>
          </w:tcPr>
          <w:p>
            <w:pPr>
              <w:widowControl/>
              <w:ind w:firstLine="210" w:firstLineChars="100"/>
              <w:jc w:val="center"/>
              <w:rPr>
                <w:color w:val="000000"/>
                <w:kern w:val="0"/>
              </w:rPr>
            </w:pPr>
            <w:r>
              <w:rPr>
                <w:rFonts w:hint="eastAsia"/>
                <w:color w:val="000000"/>
                <w:kern w:val="0"/>
              </w:rPr>
              <w:t>10</w:t>
            </w:r>
          </w:p>
        </w:tc>
        <w:tc>
          <w:tcPr>
            <w:tcW w:w="1411" w:type="dxa"/>
            <w:vAlign w:val="center"/>
          </w:tcPr>
          <w:p>
            <w:pPr>
              <w:widowControl/>
              <w:ind w:firstLine="210" w:firstLineChars="100"/>
              <w:jc w:val="center"/>
              <w:rPr>
                <w:color w:val="000000"/>
                <w:kern w:val="0"/>
              </w:rPr>
            </w:pPr>
            <w:r>
              <w:rPr>
                <w:rFonts w:hint="eastAsia"/>
                <w:color w:val="000000"/>
                <w:kern w:val="0"/>
              </w:rPr>
              <w:t>30</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动植物油（mg/L）</w:t>
            </w:r>
          </w:p>
        </w:tc>
        <w:tc>
          <w:tcPr>
            <w:tcW w:w="1470" w:type="dxa"/>
            <w:vAlign w:val="center"/>
          </w:tcPr>
          <w:p>
            <w:pPr>
              <w:widowControl/>
              <w:ind w:firstLine="210" w:firstLineChars="100"/>
              <w:jc w:val="center"/>
              <w:rPr>
                <w:color w:val="000000"/>
                <w:kern w:val="0"/>
              </w:rPr>
            </w:pPr>
            <w:r>
              <w:rPr>
                <w:rFonts w:hint="eastAsia"/>
                <w:color w:val="000000"/>
                <w:kern w:val="0"/>
              </w:rPr>
              <w:t>1</w:t>
            </w:r>
          </w:p>
        </w:tc>
        <w:tc>
          <w:tcPr>
            <w:tcW w:w="1411" w:type="dxa"/>
            <w:vAlign w:val="center"/>
          </w:tcPr>
          <w:p>
            <w:pPr>
              <w:widowControl/>
              <w:ind w:firstLine="210" w:firstLineChars="100"/>
              <w:jc w:val="center"/>
              <w:rPr>
                <w:color w:val="000000"/>
                <w:kern w:val="0"/>
              </w:rPr>
            </w:pPr>
            <w:r>
              <w:rPr>
                <w:rFonts w:hint="eastAsia"/>
                <w:color w:val="000000"/>
                <w:kern w:val="0"/>
              </w:rPr>
              <w:t>5</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石油类（mg/L）</w:t>
            </w:r>
          </w:p>
        </w:tc>
        <w:tc>
          <w:tcPr>
            <w:tcW w:w="1470" w:type="dxa"/>
            <w:vAlign w:val="center"/>
          </w:tcPr>
          <w:p>
            <w:pPr>
              <w:widowControl/>
              <w:ind w:firstLine="210" w:firstLineChars="100"/>
              <w:jc w:val="center"/>
              <w:rPr>
                <w:color w:val="000000"/>
                <w:kern w:val="0"/>
              </w:rPr>
            </w:pPr>
            <w:r>
              <w:rPr>
                <w:rFonts w:hint="eastAsia"/>
                <w:color w:val="000000"/>
                <w:kern w:val="0"/>
              </w:rPr>
              <w:t>1</w:t>
            </w:r>
          </w:p>
        </w:tc>
        <w:tc>
          <w:tcPr>
            <w:tcW w:w="1411" w:type="dxa"/>
            <w:vAlign w:val="center"/>
          </w:tcPr>
          <w:p>
            <w:pPr>
              <w:widowControl/>
              <w:ind w:firstLine="210" w:firstLineChars="100"/>
              <w:jc w:val="center"/>
              <w:rPr>
                <w:color w:val="000000"/>
                <w:kern w:val="0"/>
              </w:rPr>
            </w:pPr>
            <w:r>
              <w:rPr>
                <w:rFonts w:hint="eastAsia"/>
                <w:color w:val="000000"/>
                <w:kern w:val="0"/>
              </w:rPr>
              <w:t>5</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阴离子表面活性（mg/L）</w:t>
            </w:r>
          </w:p>
        </w:tc>
        <w:tc>
          <w:tcPr>
            <w:tcW w:w="1470" w:type="dxa"/>
            <w:vAlign w:val="center"/>
          </w:tcPr>
          <w:p>
            <w:pPr>
              <w:widowControl/>
              <w:ind w:firstLine="210" w:firstLineChars="100"/>
              <w:jc w:val="center"/>
              <w:rPr>
                <w:color w:val="000000"/>
                <w:kern w:val="0"/>
              </w:rPr>
            </w:pPr>
            <w:r>
              <w:rPr>
                <w:rFonts w:hint="eastAsia"/>
                <w:color w:val="000000"/>
                <w:kern w:val="0"/>
              </w:rPr>
              <w:t>0.5</w:t>
            </w:r>
          </w:p>
        </w:tc>
        <w:tc>
          <w:tcPr>
            <w:tcW w:w="1411" w:type="dxa"/>
            <w:vAlign w:val="center"/>
          </w:tcPr>
          <w:p>
            <w:pPr>
              <w:widowControl/>
              <w:ind w:firstLine="210" w:firstLineChars="100"/>
              <w:jc w:val="center"/>
              <w:rPr>
                <w:color w:val="000000"/>
                <w:kern w:val="0"/>
              </w:rPr>
            </w:pPr>
            <w:r>
              <w:rPr>
                <w:rFonts w:hint="eastAsia"/>
                <w:color w:val="000000"/>
                <w:kern w:val="0"/>
              </w:rPr>
              <w:t>2</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总氮（mg/L）</w:t>
            </w:r>
          </w:p>
        </w:tc>
        <w:tc>
          <w:tcPr>
            <w:tcW w:w="1470" w:type="dxa"/>
            <w:vAlign w:val="center"/>
          </w:tcPr>
          <w:p>
            <w:pPr>
              <w:widowControl/>
              <w:ind w:firstLine="210" w:firstLineChars="100"/>
              <w:jc w:val="center"/>
              <w:rPr>
                <w:color w:val="000000"/>
                <w:kern w:val="0"/>
              </w:rPr>
            </w:pPr>
            <w:r>
              <w:rPr>
                <w:rFonts w:hint="eastAsia"/>
                <w:color w:val="000000"/>
                <w:kern w:val="0"/>
              </w:rPr>
              <w:t>15</w:t>
            </w:r>
          </w:p>
        </w:tc>
        <w:tc>
          <w:tcPr>
            <w:tcW w:w="1411" w:type="dxa"/>
            <w:vAlign w:val="center"/>
          </w:tcPr>
          <w:p>
            <w:pPr>
              <w:widowControl/>
              <w:ind w:firstLine="210" w:firstLineChars="100"/>
              <w:jc w:val="center"/>
              <w:rPr>
                <w:color w:val="000000"/>
                <w:kern w:val="0"/>
              </w:rPr>
            </w:pPr>
            <w:r>
              <w:rPr>
                <w:rFonts w:hint="eastAsia"/>
                <w:color w:val="000000"/>
                <w:kern w:val="0"/>
              </w:rPr>
              <w:t>-</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总磷（mg/L）</w:t>
            </w:r>
          </w:p>
        </w:tc>
        <w:tc>
          <w:tcPr>
            <w:tcW w:w="1470" w:type="dxa"/>
            <w:vAlign w:val="center"/>
          </w:tcPr>
          <w:p>
            <w:pPr>
              <w:widowControl/>
              <w:ind w:firstLine="210" w:firstLineChars="100"/>
              <w:jc w:val="center"/>
              <w:rPr>
                <w:color w:val="000000"/>
                <w:kern w:val="0"/>
              </w:rPr>
            </w:pPr>
            <w:r>
              <w:rPr>
                <w:rFonts w:hint="eastAsia"/>
                <w:color w:val="000000"/>
                <w:kern w:val="0"/>
              </w:rPr>
              <w:t>0.5</w:t>
            </w:r>
          </w:p>
        </w:tc>
        <w:tc>
          <w:tcPr>
            <w:tcW w:w="1411" w:type="dxa"/>
            <w:vAlign w:val="center"/>
          </w:tcPr>
          <w:p>
            <w:pPr>
              <w:widowControl/>
              <w:ind w:firstLine="210" w:firstLineChars="100"/>
              <w:jc w:val="center"/>
              <w:rPr>
                <w:color w:val="000000"/>
                <w:kern w:val="0"/>
              </w:rPr>
            </w:pPr>
            <w:r>
              <w:rPr>
                <w:rFonts w:hint="eastAsia"/>
                <w:color w:val="000000"/>
                <w:kern w:val="0"/>
              </w:rPr>
              <w:t>3</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色度（稀释倍数）</w:t>
            </w:r>
          </w:p>
        </w:tc>
        <w:tc>
          <w:tcPr>
            <w:tcW w:w="1470" w:type="dxa"/>
            <w:vAlign w:val="center"/>
          </w:tcPr>
          <w:p>
            <w:pPr>
              <w:widowControl/>
              <w:ind w:firstLine="210" w:firstLineChars="100"/>
              <w:jc w:val="center"/>
              <w:rPr>
                <w:color w:val="000000"/>
                <w:kern w:val="0"/>
              </w:rPr>
            </w:pPr>
            <w:r>
              <w:rPr>
                <w:rFonts w:hint="eastAsia"/>
                <w:color w:val="000000"/>
                <w:kern w:val="0"/>
              </w:rPr>
              <w:t>30</w:t>
            </w:r>
          </w:p>
        </w:tc>
        <w:tc>
          <w:tcPr>
            <w:tcW w:w="1411" w:type="dxa"/>
            <w:vAlign w:val="center"/>
          </w:tcPr>
          <w:p>
            <w:pPr>
              <w:widowControl/>
              <w:ind w:firstLine="210" w:firstLineChars="100"/>
              <w:jc w:val="center"/>
              <w:rPr>
                <w:color w:val="000000"/>
                <w:kern w:val="0"/>
              </w:rPr>
            </w:pPr>
            <w:r>
              <w:rPr>
                <w:rFonts w:hint="eastAsia"/>
                <w:color w:val="000000"/>
                <w:kern w:val="0"/>
              </w:rPr>
              <w:t>40</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粪大肠菌群（MPN/L）</w:t>
            </w:r>
          </w:p>
        </w:tc>
        <w:tc>
          <w:tcPr>
            <w:tcW w:w="1470" w:type="dxa"/>
            <w:vAlign w:val="center"/>
          </w:tcPr>
          <w:p>
            <w:pPr>
              <w:widowControl/>
              <w:ind w:firstLine="210" w:firstLineChars="100"/>
              <w:jc w:val="center"/>
              <w:rPr>
                <w:color w:val="000000"/>
                <w:kern w:val="0"/>
              </w:rPr>
            </w:pPr>
            <w:r>
              <w:rPr>
                <w:rFonts w:hint="eastAsia"/>
                <w:color w:val="000000"/>
                <w:kern w:val="0"/>
              </w:rPr>
              <w:t>10</w:t>
            </w:r>
            <w:r>
              <w:rPr>
                <w:rFonts w:hint="eastAsia"/>
                <w:color w:val="000000"/>
                <w:kern w:val="0"/>
                <w:vertAlign w:val="superscript"/>
              </w:rPr>
              <w:t>3</w:t>
            </w:r>
          </w:p>
        </w:tc>
        <w:tc>
          <w:tcPr>
            <w:tcW w:w="1411" w:type="dxa"/>
            <w:vAlign w:val="center"/>
          </w:tcPr>
          <w:p>
            <w:pPr>
              <w:widowControl/>
              <w:ind w:firstLine="210" w:firstLineChars="100"/>
              <w:jc w:val="center"/>
              <w:rPr>
                <w:color w:val="000000"/>
                <w:kern w:val="0"/>
              </w:rPr>
            </w:pPr>
            <w:r>
              <w:rPr>
                <w:rFonts w:hint="eastAsia"/>
                <w:color w:val="000000"/>
                <w:kern w:val="0"/>
              </w:rPr>
              <w:t>10</w:t>
            </w:r>
            <w:r>
              <w:rPr>
                <w:rFonts w:hint="eastAsia"/>
                <w:color w:val="000000"/>
                <w:kern w:val="0"/>
                <w:vertAlign w:val="superscript"/>
              </w:rPr>
              <w:t>4</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总汞（mg/L）</w:t>
            </w:r>
          </w:p>
        </w:tc>
        <w:tc>
          <w:tcPr>
            <w:tcW w:w="1470" w:type="dxa"/>
            <w:vAlign w:val="center"/>
          </w:tcPr>
          <w:p>
            <w:pPr>
              <w:widowControl/>
              <w:ind w:firstLine="210" w:firstLineChars="100"/>
              <w:jc w:val="center"/>
              <w:rPr>
                <w:color w:val="000000"/>
                <w:kern w:val="0"/>
              </w:rPr>
            </w:pPr>
            <w:r>
              <w:rPr>
                <w:rFonts w:hint="eastAsia"/>
                <w:color w:val="000000"/>
                <w:kern w:val="0"/>
              </w:rPr>
              <w:t>0.001</w:t>
            </w:r>
          </w:p>
        </w:tc>
        <w:tc>
          <w:tcPr>
            <w:tcW w:w="1411" w:type="dxa"/>
            <w:vAlign w:val="center"/>
          </w:tcPr>
          <w:p>
            <w:pPr>
              <w:widowControl/>
              <w:ind w:firstLine="210" w:firstLineChars="100"/>
              <w:jc w:val="center"/>
              <w:rPr>
                <w:color w:val="000000"/>
                <w:kern w:val="0"/>
              </w:rPr>
            </w:pPr>
            <w:r>
              <w:rPr>
                <w:rFonts w:hint="eastAsia"/>
                <w:color w:val="000000"/>
                <w:kern w:val="0"/>
              </w:rPr>
              <w:t>0.001</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总镉（mg/L）</w:t>
            </w:r>
          </w:p>
        </w:tc>
        <w:tc>
          <w:tcPr>
            <w:tcW w:w="1470" w:type="dxa"/>
            <w:vAlign w:val="center"/>
          </w:tcPr>
          <w:p>
            <w:pPr>
              <w:widowControl/>
              <w:ind w:firstLine="210" w:firstLineChars="100"/>
              <w:jc w:val="center"/>
              <w:rPr>
                <w:color w:val="000000"/>
                <w:kern w:val="0"/>
              </w:rPr>
            </w:pPr>
            <w:r>
              <w:rPr>
                <w:rFonts w:hint="eastAsia"/>
                <w:color w:val="000000"/>
                <w:kern w:val="0"/>
              </w:rPr>
              <w:t>0.01</w:t>
            </w:r>
          </w:p>
        </w:tc>
        <w:tc>
          <w:tcPr>
            <w:tcW w:w="1411" w:type="dxa"/>
            <w:vAlign w:val="center"/>
          </w:tcPr>
          <w:p>
            <w:pPr>
              <w:widowControl/>
              <w:ind w:firstLine="210" w:firstLineChars="100"/>
              <w:jc w:val="center"/>
              <w:rPr>
                <w:color w:val="000000"/>
                <w:kern w:val="0"/>
              </w:rPr>
            </w:pPr>
            <w:r>
              <w:rPr>
                <w:rFonts w:hint="eastAsia"/>
                <w:color w:val="000000"/>
                <w:kern w:val="0"/>
              </w:rPr>
              <w:t>0.01</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总铬（mg/L）</w:t>
            </w:r>
          </w:p>
        </w:tc>
        <w:tc>
          <w:tcPr>
            <w:tcW w:w="1470" w:type="dxa"/>
            <w:vAlign w:val="center"/>
          </w:tcPr>
          <w:p>
            <w:pPr>
              <w:widowControl/>
              <w:ind w:firstLine="210" w:firstLineChars="100"/>
              <w:jc w:val="center"/>
              <w:rPr>
                <w:color w:val="000000"/>
                <w:kern w:val="0"/>
              </w:rPr>
            </w:pPr>
            <w:r>
              <w:rPr>
                <w:rFonts w:hint="eastAsia"/>
                <w:color w:val="000000"/>
                <w:kern w:val="0"/>
              </w:rPr>
              <w:t>0.1</w:t>
            </w:r>
          </w:p>
        </w:tc>
        <w:tc>
          <w:tcPr>
            <w:tcW w:w="1411" w:type="dxa"/>
            <w:vAlign w:val="center"/>
          </w:tcPr>
          <w:p>
            <w:pPr>
              <w:widowControl/>
              <w:jc w:val="center"/>
              <w:rPr>
                <w:color w:val="000000"/>
                <w:kern w:val="0"/>
              </w:rPr>
            </w:pPr>
            <w:r>
              <w:rPr>
                <w:rFonts w:hint="eastAsia"/>
                <w:color w:val="000000"/>
                <w:kern w:val="0"/>
              </w:rPr>
              <w:t>0.1</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六价铬（mg/L）</w:t>
            </w:r>
          </w:p>
        </w:tc>
        <w:tc>
          <w:tcPr>
            <w:tcW w:w="1470" w:type="dxa"/>
            <w:vAlign w:val="center"/>
          </w:tcPr>
          <w:p>
            <w:pPr>
              <w:widowControl/>
              <w:ind w:firstLine="210" w:firstLineChars="100"/>
              <w:jc w:val="center"/>
              <w:rPr>
                <w:color w:val="000000"/>
                <w:kern w:val="0"/>
              </w:rPr>
            </w:pPr>
            <w:r>
              <w:rPr>
                <w:rFonts w:hint="eastAsia"/>
                <w:color w:val="000000"/>
                <w:kern w:val="0"/>
              </w:rPr>
              <w:t>0.05</w:t>
            </w:r>
          </w:p>
        </w:tc>
        <w:tc>
          <w:tcPr>
            <w:tcW w:w="1411" w:type="dxa"/>
            <w:vAlign w:val="center"/>
          </w:tcPr>
          <w:p>
            <w:pPr>
              <w:widowControl/>
              <w:ind w:firstLine="210" w:firstLineChars="100"/>
              <w:jc w:val="center"/>
              <w:rPr>
                <w:color w:val="000000"/>
                <w:kern w:val="0"/>
              </w:rPr>
            </w:pPr>
            <w:r>
              <w:rPr>
                <w:rFonts w:hint="eastAsia"/>
                <w:color w:val="000000"/>
                <w:kern w:val="0"/>
              </w:rPr>
              <w:t>0.05</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总砷（mg/L）</w:t>
            </w:r>
          </w:p>
        </w:tc>
        <w:tc>
          <w:tcPr>
            <w:tcW w:w="1470" w:type="dxa"/>
            <w:vAlign w:val="center"/>
          </w:tcPr>
          <w:p>
            <w:pPr>
              <w:widowControl/>
              <w:ind w:firstLine="210" w:firstLineChars="100"/>
              <w:jc w:val="center"/>
              <w:rPr>
                <w:color w:val="000000"/>
                <w:kern w:val="0"/>
              </w:rPr>
            </w:pPr>
            <w:r>
              <w:rPr>
                <w:rFonts w:hint="eastAsia"/>
                <w:color w:val="000000"/>
                <w:kern w:val="0"/>
              </w:rPr>
              <w:t>0.1</w:t>
            </w:r>
          </w:p>
        </w:tc>
        <w:tc>
          <w:tcPr>
            <w:tcW w:w="1411" w:type="dxa"/>
            <w:vAlign w:val="center"/>
          </w:tcPr>
          <w:p>
            <w:pPr>
              <w:widowControl/>
              <w:ind w:firstLine="210" w:firstLineChars="100"/>
              <w:jc w:val="center"/>
              <w:rPr>
                <w:color w:val="000000"/>
                <w:kern w:val="0"/>
              </w:rPr>
            </w:pPr>
            <w:r>
              <w:rPr>
                <w:rFonts w:hint="eastAsia"/>
                <w:color w:val="000000"/>
                <w:kern w:val="0"/>
              </w:rPr>
              <w:t>0.1</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widowControl/>
              <w:jc w:val="center"/>
              <w:rPr>
                <w:rFonts w:eastAsia="仿宋_GB2312"/>
                <w:color w:val="000000"/>
                <w:kern w:val="0"/>
              </w:rPr>
            </w:pPr>
            <w:r>
              <w:rPr>
                <w:rFonts w:eastAsia="仿宋_GB2312"/>
                <w:color w:val="000000"/>
                <w:kern w:val="0"/>
              </w:rPr>
              <w:t>总铅（mg/L）</w:t>
            </w:r>
          </w:p>
        </w:tc>
        <w:tc>
          <w:tcPr>
            <w:tcW w:w="1470" w:type="dxa"/>
            <w:vAlign w:val="center"/>
          </w:tcPr>
          <w:p>
            <w:pPr>
              <w:widowControl/>
              <w:ind w:firstLine="210" w:firstLineChars="100"/>
              <w:jc w:val="center"/>
              <w:rPr>
                <w:color w:val="000000"/>
                <w:kern w:val="0"/>
              </w:rPr>
            </w:pPr>
            <w:r>
              <w:rPr>
                <w:rFonts w:hint="eastAsia"/>
                <w:color w:val="000000"/>
                <w:kern w:val="0"/>
              </w:rPr>
              <w:t>0.1</w:t>
            </w:r>
          </w:p>
        </w:tc>
        <w:tc>
          <w:tcPr>
            <w:tcW w:w="1411" w:type="dxa"/>
            <w:vAlign w:val="center"/>
          </w:tcPr>
          <w:p>
            <w:pPr>
              <w:widowControl/>
              <w:ind w:firstLine="210" w:firstLineChars="100"/>
              <w:jc w:val="center"/>
              <w:rPr>
                <w:color w:val="000000"/>
                <w:kern w:val="0"/>
              </w:rPr>
            </w:pPr>
            <w:r>
              <w:rPr>
                <w:rFonts w:hint="eastAsia"/>
                <w:color w:val="000000"/>
                <w:kern w:val="0"/>
              </w:rPr>
              <w:t>0.1</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spacing w:before="163"/>
              <w:ind w:firstLine="480"/>
              <w:rPr>
                <w:rFonts w:eastAsia="仿宋_GB2312"/>
                <w:color w:val="000000"/>
                <w:kern w:val="0"/>
              </w:rPr>
            </w:pPr>
            <w:r>
              <w:rPr>
                <w:rFonts w:hint="eastAsia" w:eastAsia="仿宋_GB2312"/>
                <w:color w:val="000000"/>
                <w:kern w:val="0"/>
              </w:rPr>
              <w:t>烷基汞</w:t>
            </w:r>
          </w:p>
        </w:tc>
        <w:tc>
          <w:tcPr>
            <w:tcW w:w="2881" w:type="dxa"/>
            <w:gridSpan w:val="2"/>
            <w:vAlign w:val="center"/>
          </w:tcPr>
          <w:p>
            <w:pPr>
              <w:widowControl/>
              <w:ind w:firstLine="210" w:firstLineChars="100"/>
              <w:jc w:val="center"/>
              <w:rPr>
                <w:color w:val="000000"/>
                <w:kern w:val="0"/>
              </w:rPr>
            </w:pPr>
            <w:r>
              <w:rPr>
                <w:rFonts w:hint="eastAsia"/>
                <w:color w:val="000000"/>
                <w:kern w:val="0"/>
              </w:rPr>
              <w:t>不得测出</w:t>
            </w:r>
          </w:p>
        </w:tc>
        <w:tc>
          <w:tcPr>
            <w:tcW w:w="1874" w:type="dxa"/>
            <w:vMerge w:val="continue"/>
            <w:vAlign w:val="center"/>
          </w:tcPr>
          <w:p>
            <w:pPr>
              <w:widowControl/>
              <w:jc w:val="left"/>
              <w:rPr>
                <w:rFonts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731" w:type="dxa"/>
            <w:vMerge w:val="continue"/>
          </w:tcPr>
          <w:p>
            <w:pPr>
              <w:widowControl/>
              <w:jc w:val="left"/>
              <w:rPr>
                <w:rFonts w:eastAsia="仿宋_GB2312"/>
                <w:color w:val="000000"/>
                <w:kern w:val="0"/>
              </w:rPr>
            </w:pPr>
          </w:p>
        </w:tc>
        <w:tc>
          <w:tcPr>
            <w:tcW w:w="1043" w:type="dxa"/>
            <w:vMerge w:val="continue"/>
            <w:vAlign w:val="center"/>
          </w:tcPr>
          <w:p>
            <w:pPr>
              <w:widowControl/>
              <w:jc w:val="left"/>
              <w:rPr>
                <w:rFonts w:eastAsia="仿宋_GB2312"/>
                <w:color w:val="000000"/>
                <w:kern w:val="0"/>
              </w:rPr>
            </w:pPr>
          </w:p>
        </w:tc>
        <w:tc>
          <w:tcPr>
            <w:tcW w:w="2382" w:type="dxa"/>
            <w:vAlign w:val="center"/>
          </w:tcPr>
          <w:p>
            <w:pPr>
              <w:spacing w:before="163"/>
              <w:ind w:firstLine="277" w:firstLineChars="132"/>
              <w:rPr>
                <w:rFonts w:eastAsia="仿宋_GB2312"/>
                <w:color w:val="000000"/>
                <w:kern w:val="0"/>
              </w:rPr>
            </w:pPr>
            <w:r>
              <w:rPr>
                <w:rFonts w:hint="eastAsia" w:eastAsia="仿宋_GB2312"/>
                <w:color w:val="000000"/>
                <w:kern w:val="0"/>
              </w:rPr>
              <w:t xml:space="preserve"> PH</w:t>
            </w:r>
          </w:p>
        </w:tc>
        <w:tc>
          <w:tcPr>
            <w:tcW w:w="1470" w:type="dxa"/>
            <w:vAlign w:val="center"/>
          </w:tcPr>
          <w:p>
            <w:pPr>
              <w:widowControl/>
              <w:ind w:firstLine="210" w:firstLineChars="100"/>
              <w:jc w:val="center"/>
              <w:rPr>
                <w:color w:val="000000"/>
                <w:kern w:val="0"/>
              </w:rPr>
            </w:pPr>
            <w:r>
              <w:rPr>
                <w:rFonts w:hint="eastAsia"/>
                <w:color w:val="000000"/>
                <w:kern w:val="0"/>
              </w:rPr>
              <w:t>6-9</w:t>
            </w:r>
          </w:p>
        </w:tc>
        <w:tc>
          <w:tcPr>
            <w:tcW w:w="1411" w:type="dxa"/>
            <w:vAlign w:val="center"/>
          </w:tcPr>
          <w:p>
            <w:pPr>
              <w:widowControl/>
              <w:ind w:firstLine="210" w:firstLineChars="100"/>
              <w:jc w:val="center"/>
              <w:rPr>
                <w:color w:val="000000"/>
                <w:kern w:val="0"/>
              </w:rPr>
            </w:pPr>
            <w:r>
              <w:rPr>
                <w:rFonts w:hint="eastAsia"/>
                <w:color w:val="000000"/>
                <w:kern w:val="0"/>
              </w:rPr>
              <w:t>6-9</w:t>
            </w:r>
          </w:p>
        </w:tc>
        <w:tc>
          <w:tcPr>
            <w:tcW w:w="1874" w:type="dxa"/>
            <w:vMerge w:val="continue"/>
            <w:vAlign w:val="center"/>
          </w:tcPr>
          <w:p>
            <w:pPr>
              <w:widowControl/>
              <w:jc w:val="left"/>
              <w:rPr>
                <w:rFonts w:eastAsia="仿宋_GB2312"/>
                <w:color w:val="000000"/>
                <w:kern w:val="0"/>
              </w:rPr>
            </w:pPr>
          </w:p>
        </w:tc>
      </w:tr>
    </w:tbl>
    <w:p>
      <w:pPr>
        <w:numPr>
          <w:ilvl w:val="0"/>
          <w:numId w:val="4"/>
        </w:numPr>
        <w:tabs>
          <w:tab w:val="left" w:pos="0"/>
        </w:tabs>
        <w:spacing w:beforeLines="50"/>
        <w:ind w:firstLine="540" w:firstLineChars="168"/>
        <w:jc w:val="left"/>
        <w:rPr>
          <w:rFonts w:ascii="仿宋" w:hAnsi="仿宋" w:eastAsia="仿宋" w:cs="仿宋"/>
          <w:b/>
          <w:sz w:val="32"/>
          <w:szCs w:val="32"/>
        </w:rPr>
      </w:pPr>
      <w:r>
        <w:rPr>
          <w:rFonts w:hint="eastAsia" w:ascii="仿宋" w:hAnsi="仿宋" w:eastAsia="仿宋" w:cs="仿宋"/>
          <w:b/>
          <w:sz w:val="32"/>
          <w:szCs w:val="32"/>
        </w:rPr>
        <w:t>环境空气评价标准</w:t>
      </w:r>
    </w:p>
    <w:p>
      <w:pPr>
        <w:snapToGrid w:val="0"/>
        <w:spacing w:line="360" w:lineRule="auto"/>
        <w:ind w:firstLine="462" w:firstLineChars="165"/>
        <w:rPr>
          <w:rFonts w:ascii="仿宋" w:hAnsi="仿宋" w:eastAsia="仿宋" w:cs="仿宋"/>
          <w:color w:val="000000"/>
          <w:sz w:val="28"/>
          <w:szCs w:val="28"/>
        </w:rPr>
      </w:pPr>
      <w:r>
        <w:rPr>
          <w:rFonts w:hint="eastAsia" w:ascii="仿宋" w:hAnsi="仿宋" w:eastAsia="仿宋" w:cs="仿宋"/>
          <w:color w:val="000000"/>
          <w:sz w:val="28"/>
          <w:szCs w:val="28"/>
        </w:rPr>
        <w:t>环境空气质量执行《城镇污水处理厂污染物排放标准》（GB18918-2002）中二级标准。</w:t>
      </w:r>
    </w:p>
    <w:tbl>
      <w:tblPr>
        <w:tblStyle w:val="6"/>
        <w:tblpPr w:leftFromText="180" w:rightFromText="180" w:vertAnchor="text" w:horzAnchor="page" w:tblpX="1758" w:tblpY="120"/>
        <w:tblOverlap w:val="never"/>
        <w:tblW w:w="8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7"/>
        <w:gridCol w:w="2482"/>
        <w:gridCol w:w="1882"/>
        <w:gridCol w:w="2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7"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类别</w:t>
            </w:r>
          </w:p>
        </w:tc>
        <w:tc>
          <w:tcPr>
            <w:tcW w:w="24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监测项目</w:t>
            </w:r>
          </w:p>
        </w:tc>
        <w:tc>
          <w:tcPr>
            <w:tcW w:w="18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标准值</w:t>
            </w:r>
          </w:p>
        </w:tc>
        <w:tc>
          <w:tcPr>
            <w:tcW w:w="2781"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评价标准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577" w:type="dxa"/>
            <w:vMerge w:val="restart"/>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环境空气</w:t>
            </w:r>
          </w:p>
        </w:tc>
        <w:tc>
          <w:tcPr>
            <w:tcW w:w="24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氨（mg/m3）</w:t>
            </w:r>
          </w:p>
        </w:tc>
        <w:tc>
          <w:tcPr>
            <w:tcW w:w="18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1.5</w:t>
            </w:r>
          </w:p>
        </w:tc>
        <w:tc>
          <w:tcPr>
            <w:tcW w:w="2781" w:type="dxa"/>
            <w:vMerge w:val="restart"/>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color w:val="000000"/>
                <w:kern w:val="0"/>
              </w:rPr>
              <w:t>《城镇污水处理厂水污染物排放标准》GB18918-2002中二级标准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7" w:type="dxa"/>
            <w:vMerge w:val="continue"/>
          </w:tcPr>
          <w:p>
            <w:pPr>
              <w:tabs>
                <w:tab w:val="left" w:pos="0"/>
              </w:tabs>
              <w:spacing w:before="163" w:beforeAutospacing="1" w:after="100" w:afterAutospacing="1"/>
              <w:jc w:val="center"/>
              <w:rPr>
                <w:rFonts w:ascii="仿宋" w:hAnsi="仿宋" w:eastAsia="仿宋" w:cs="仿宋"/>
                <w:bCs/>
              </w:rPr>
            </w:pPr>
          </w:p>
        </w:tc>
        <w:tc>
          <w:tcPr>
            <w:tcW w:w="24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硫化氢（mg/m3）</w:t>
            </w:r>
          </w:p>
        </w:tc>
        <w:tc>
          <w:tcPr>
            <w:tcW w:w="18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0.06</w:t>
            </w:r>
          </w:p>
        </w:tc>
        <w:tc>
          <w:tcPr>
            <w:tcW w:w="2781" w:type="dxa"/>
            <w:vMerge w:val="continue"/>
          </w:tcPr>
          <w:p>
            <w:pPr>
              <w:tabs>
                <w:tab w:val="left" w:pos="0"/>
              </w:tabs>
              <w:spacing w:before="163" w:beforeAutospacing="1" w:after="100" w:afterAutospacing="1"/>
              <w:jc w:val="center"/>
              <w:rPr>
                <w:rFonts w:ascii="仿宋" w:hAnsi="仿宋" w:eastAsia="仿宋" w:cs="仿宋"/>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7" w:type="dxa"/>
            <w:vMerge w:val="continue"/>
          </w:tcPr>
          <w:p>
            <w:pPr>
              <w:tabs>
                <w:tab w:val="left" w:pos="0"/>
              </w:tabs>
              <w:spacing w:before="163" w:beforeAutospacing="1" w:after="100" w:afterAutospacing="1"/>
              <w:jc w:val="center"/>
              <w:rPr>
                <w:rFonts w:ascii="仿宋" w:hAnsi="仿宋" w:eastAsia="仿宋" w:cs="仿宋"/>
                <w:bCs/>
              </w:rPr>
            </w:pPr>
          </w:p>
        </w:tc>
        <w:tc>
          <w:tcPr>
            <w:tcW w:w="24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臭气浓度（无量纲）</w:t>
            </w:r>
          </w:p>
        </w:tc>
        <w:tc>
          <w:tcPr>
            <w:tcW w:w="18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20</w:t>
            </w:r>
          </w:p>
        </w:tc>
        <w:tc>
          <w:tcPr>
            <w:tcW w:w="2781" w:type="dxa"/>
            <w:vMerge w:val="continue"/>
          </w:tcPr>
          <w:p>
            <w:pPr>
              <w:tabs>
                <w:tab w:val="left" w:pos="0"/>
              </w:tabs>
              <w:spacing w:before="163" w:beforeAutospacing="1" w:after="100" w:afterAutospacing="1"/>
              <w:jc w:val="center"/>
              <w:rPr>
                <w:rFonts w:ascii="仿宋" w:hAnsi="仿宋" w:eastAsia="仿宋" w:cs="仿宋"/>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7" w:type="dxa"/>
            <w:vMerge w:val="continue"/>
          </w:tcPr>
          <w:p>
            <w:pPr>
              <w:tabs>
                <w:tab w:val="left" w:pos="0"/>
              </w:tabs>
              <w:spacing w:before="163" w:beforeAutospacing="1" w:after="100" w:afterAutospacing="1"/>
              <w:jc w:val="center"/>
              <w:rPr>
                <w:rFonts w:ascii="仿宋" w:hAnsi="仿宋" w:eastAsia="仿宋" w:cs="仿宋"/>
                <w:bCs/>
              </w:rPr>
            </w:pPr>
          </w:p>
        </w:tc>
        <w:tc>
          <w:tcPr>
            <w:tcW w:w="24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臭气浓度（%）</w:t>
            </w:r>
          </w:p>
        </w:tc>
        <w:tc>
          <w:tcPr>
            <w:tcW w:w="1882" w:type="dxa"/>
          </w:tcPr>
          <w:p>
            <w:pPr>
              <w:tabs>
                <w:tab w:val="left" w:pos="0"/>
              </w:tabs>
              <w:spacing w:before="163" w:beforeAutospacing="1" w:after="100" w:afterAutospacing="1"/>
              <w:jc w:val="center"/>
              <w:rPr>
                <w:rFonts w:ascii="仿宋" w:hAnsi="仿宋" w:eastAsia="仿宋" w:cs="仿宋"/>
                <w:bCs/>
              </w:rPr>
            </w:pPr>
            <w:r>
              <w:rPr>
                <w:rFonts w:hint="eastAsia" w:ascii="仿宋" w:hAnsi="仿宋" w:eastAsia="仿宋" w:cs="仿宋"/>
                <w:bCs/>
              </w:rPr>
              <w:t>1</w:t>
            </w:r>
          </w:p>
        </w:tc>
        <w:tc>
          <w:tcPr>
            <w:tcW w:w="2781" w:type="dxa"/>
            <w:vMerge w:val="continue"/>
          </w:tcPr>
          <w:p>
            <w:pPr>
              <w:tabs>
                <w:tab w:val="left" w:pos="0"/>
              </w:tabs>
              <w:spacing w:before="163" w:beforeAutospacing="1" w:after="100" w:afterAutospacing="1"/>
              <w:jc w:val="center"/>
              <w:rPr>
                <w:rFonts w:ascii="仿宋" w:hAnsi="仿宋" w:eastAsia="仿宋" w:cs="仿宋"/>
                <w:bCs/>
              </w:rPr>
            </w:pPr>
          </w:p>
        </w:tc>
      </w:tr>
    </w:tbl>
    <w:p>
      <w:pPr>
        <w:snapToGrid w:val="0"/>
        <w:spacing w:line="360" w:lineRule="auto"/>
        <w:ind w:firstLine="462" w:firstLineChars="165"/>
        <w:rPr>
          <w:rFonts w:ascii="仿宋" w:hAnsi="仿宋" w:eastAsia="仿宋" w:cs="仿宋"/>
          <w:color w:val="000000"/>
          <w:sz w:val="28"/>
          <w:szCs w:val="28"/>
        </w:rPr>
      </w:pPr>
    </w:p>
    <w:p>
      <w:pPr>
        <w:tabs>
          <w:tab w:val="left" w:pos="0"/>
        </w:tabs>
        <w:spacing w:before="163"/>
        <w:ind w:firstLine="321" w:firstLineChars="100"/>
        <w:jc w:val="left"/>
        <w:rPr>
          <w:rFonts w:ascii="仿宋" w:hAnsi="仿宋" w:eastAsia="仿宋" w:cs="仿宋"/>
          <w:b/>
          <w:sz w:val="32"/>
          <w:szCs w:val="32"/>
        </w:rPr>
      </w:pPr>
      <w:r>
        <w:rPr>
          <w:rFonts w:hint="eastAsia" w:ascii="仿宋" w:hAnsi="仿宋" w:eastAsia="仿宋" w:cs="仿宋"/>
          <w:b/>
          <w:sz w:val="32"/>
          <w:szCs w:val="32"/>
        </w:rPr>
        <w:t>3．噪声评价标准</w:t>
      </w:r>
    </w:p>
    <w:p>
      <w:pPr>
        <w:snapToGrid w:val="0"/>
        <w:spacing w:line="360" w:lineRule="auto"/>
        <w:ind w:firstLine="470" w:firstLineChars="168"/>
        <w:rPr>
          <w:rFonts w:ascii="仿宋" w:hAnsi="仿宋" w:eastAsia="仿宋" w:cs="仿宋"/>
          <w:sz w:val="28"/>
          <w:szCs w:val="28"/>
        </w:rPr>
      </w:pPr>
      <w:r>
        <w:rPr>
          <w:rFonts w:hint="eastAsia" w:ascii="仿宋" w:hAnsi="仿宋" w:eastAsia="仿宋" w:cs="仿宋"/>
          <w:sz w:val="28"/>
          <w:szCs w:val="28"/>
        </w:rPr>
        <w:t>本企业厂界噪声执行《工业企业厂界环境噪声标准》（GB12348-2008）中2类标准限值，详见表7。</w:t>
      </w:r>
    </w:p>
    <w:p>
      <w:pPr>
        <w:spacing w:line="360" w:lineRule="auto"/>
        <w:ind w:firstLine="173" w:firstLineChars="62"/>
        <w:jc w:val="center"/>
        <w:rPr>
          <w:rFonts w:eastAsia="仿宋_GB2312"/>
          <w:sz w:val="28"/>
          <w:szCs w:val="28"/>
        </w:rPr>
      </w:pPr>
      <w:r>
        <w:rPr>
          <w:rFonts w:eastAsia="仿宋_GB2312"/>
          <w:sz w:val="28"/>
          <w:szCs w:val="28"/>
        </w:rPr>
        <w:t>表</w:t>
      </w:r>
      <w:r>
        <w:rPr>
          <w:rFonts w:hint="eastAsia" w:eastAsia="仿宋_GB2312"/>
          <w:sz w:val="28"/>
          <w:szCs w:val="28"/>
        </w:rPr>
        <w:t>7</w:t>
      </w:r>
      <w:r>
        <w:rPr>
          <w:rFonts w:eastAsia="仿宋_GB2312"/>
          <w:sz w:val="28"/>
          <w:szCs w:val="28"/>
        </w:rPr>
        <w:t>噪声评价标准一览表</w:t>
      </w:r>
    </w:p>
    <w:tbl>
      <w:tblPr>
        <w:tblStyle w:val="6"/>
        <w:tblW w:w="8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531"/>
        <w:gridCol w:w="1123"/>
        <w:gridCol w:w="1080"/>
        <w:gridCol w:w="3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260" w:type="dxa"/>
            <w:vMerge w:val="restart"/>
            <w:vAlign w:val="center"/>
          </w:tcPr>
          <w:p>
            <w:pPr>
              <w:jc w:val="center"/>
              <w:rPr>
                <w:rFonts w:eastAsia="仿宋_GB2312"/>
              </w:rPr>
            </w:pPr>
            <w:r>
              <w:rPr>
                <w:rFonts w:eastAsia="仿宋_GB2312"/>
              </w:rPr>
              <w:t>类别</w:t>
            </w:r>
          </w:p>
        </w:tc>
        <w:tc>
          <w:tcPr>
            <w:tcW w:w="1531" w:type="dxa"/>
            <w:vMerge w:val="restart"/>
            <w:vAlign w:val="center"/>
          </w:tcPr>
          <w:p>
            <w:pPr>
              <w:jc w:val="center"/>
              <w:rPr>
                <w:rFonts w:eastAsia="仿宋_GB2312"/>
              </w:rPr>
            </w:pPr>
            <w:r>
              <w:rPr>
                <w:rFonts w:eastAsia="仿宋_GB2312"/>
              </w:rPr>
              <w:t>监测项目</w:t>
            </w:r>
          </w:p>
        </w:tc>
        <w:tc>
          <w:tcPr>
            <w:tcW w:w="2203" w:type="dxa"/>
            <w:gridSpan w:val="2"/>
            <w:vAlign w:val="center"/>
          </w:tcPr>
          <w:p>
            <w:pPr>
              <w:jc w:val="center"/>
              <w:rPr>
                <w:rFonts w:eastAsia="仿宋_GB2312"/>
              </w:rPr>
            </w:pPr>
            <w:r>
              <w:rPr>
                <w:rFonts w:eastAsia="仿宋_GB2312"/>
              </w:rPr>
              <w:t>标准值dB（A）</w:t>
            </w:r>
          </w:p>
        </w:tc>
        <w:tc>
          <w:tcPr>
            <w:tcW w:w="3831" w:type="dxa"/>
            <w:vMerge w:val="restart"/>
            <w:vAlign w:val="center"/>
          </w:tcPr>
          <w:p>
            <w:pPr>
              <w:jc w:val="center"/>
              <w:rPr>
                <w:rFonts w:eastAsia="仿宋_GB2312"/>
              </w:rPr>
            </w:pPr>
            <w:r>
              <w:rPr>
                <w:rFonts w:eastAsia="仿宋_GB2312"/>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260" w:type="dxa"/>
            <w:vMerge w:val="continue"/>
            <w:vAlign w:val="center"/>
          </w:tcPr>
          <w:p>
            <w:pPr>
              <w:jc w:val="center"/>
              <w:rPr>
                <w:rFonts w:eastAsia="仿宋_GB2312"/>
              </w:rPr>
            </w:pPr>
          </w:p>
        </w:tc>
        <w:tc>
          <w:tcPr>
            <w:tcW w:w="1531" w:type="dxa"/>
            <w:vMerge w:val="continue"/>
            <w:vAlign w:val="center"/>
          </w:tcPr>
          <w:p>
            <w:pPr>
              <w:jc w:val="center"/>
              <w:rPr>
                <w:rFonts w:eastAsia="仿宋_GB2312"/>
              </w:rPr>
            </w:pPr>
          </w:p>
        </w:tc>
        <w:tc>
          <w:tcPr>
            <w:tcW w:w="1123" w:type="dxa"/>
            <w:vAlign w:val="center"/>
          </w:tcPr>
          <w:p>
            <w:pPr>
              <w:jc w:val="center"/>
              <w:rPr>
                <w:rFonts w:eastAsia="仿宋_GB2312"/>
              </w:rPr>
            </w:pPr>
            <w:r>
              <w:rPr>
                <w:rFonts w:eastAsia="仿宋_GB2312"/>
              </w:rPr>
              <w:t>昼间</w:t>
            </w:r>
          </w:p>
        </w:tc>
        <w:tc>
          <w:tcPr>
            <w:tcW w:w="1080" w:type="dxa"/>
            <w:vAlign w:val="center"/>
          </w:tcPr>
          <w:p>
            <w:pPr>
              <w:jc w:val="center"/>
              <w:rPr>
                <w:rFonts w:eastAsia="仿宋_GB2312"/>
              </w:rPr>
            </w:pPr>
            <w:r>
              <w:rPr>
                <w:rFonts w:eastAsia="仿宋_GB2312"/>
              </w:rPr>
              <w:t>夜间</w:t>
            </w:r>
          </w:p>
        </w:tc>
        <w:tc>
          <w:tcPr>
            <w:tcW w:w="3831" w:type="dxa"/>
            <w:vMerge w:val="continue"/>
            <w:vAlign w:val="center"/>
          </w:tcPr>
          <w:p>
            <w:pPr>
              <w:jc w:val="center"/>
              <w:rPr>
                <w:rFonts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dxa"/>
            <w:vAlign w:val="center"/>
          </w:tcPr>
          <w:p>
            <w:pPr>
              <w:jc w:val="center"/>
              <w:rPr>
                <w:rFonts w:eastAsia="仿宋_GB2312"/>
              </w:rPr>
            </w:pPr>
            <w:r>
              <w:rPr>
                <w:rFonts w:eastAsia="仿宋_GB2312"/>
              </w:rPr>
              <w:t>厂界噪声</w:t>
            </w:r>
          </w:p>
        </w:tc>
        <w:tc>
          <w:tcPr>
            <w:tcW w:w="1531" w:type="dxa"/>
            <w:vAlign w:val="center"/>
          </w:tcPr>
          <w:p>
            <w:pPr>
              <w:jc w:val="center"/>
              <w:rPr>
                <w:rFonts w:eastAsia="仿宋_GB2312"/>
              </w:rPr>
            </w:pPr>
            <w:r>
              <w:rPr>
                <w:rFonts w:eastAsia="仿宋_GB2312"/>
              </w:rPr>
              <w:t>连续等效A声级</w:t>
            </w:r>
          </w:p>
        </w:tc>
        <w:tc>
          <w:tcPr>
            <w:tcW w:w="1123" w:type="dxa"/>
            <w:vAlign w:val="center"/>
          </w:tcPr>
          <w:p>
            <w:pPr>
              <w:jc w:val="center"/>
              <w:rPr>
                <w:rFonts w:eastAsia="仿宋_GB2312"/>
              </w:rPr>
            </w:pPr>
            <w:r>
              <w:rPr>
                <w:rFonts w:hint="eastAsia" w:eastAsia="仿宋_GB2312"/>
              </w:rPr>
              <w:t>60</w:t>
            </w:r>
          </w:p>
        </w:tc>
        <w:tc>
          <w:tcPr>
            <w:tcW w:w="1080" w:type="dxa"/>
            <w:vAlign w:val="center"/>
          </w:tcPr>
          <w:p>
            <w:pPr>
              <w:jc w:val="center"/>
              <w:rPr>
                <w:rFonts w:eastAsia="仿宋_GB2312"/>
              </w:rPr>
            </w:pPr>
            <w:r>
              <w:rPr>
                <w:rFonts w:hint="eastAsia" w:eastAsia="仿宋_GB2312"/>
              </w:rPr>
              <w:t>50</w:t>
            </w:r>
          </w:p>
        </w:tc>
        <w:tc>
          <w:tcPr>
            <w:tcW w:w="3831" w:type="dxa"/>
            <w:vAlign w:val="center"/>
          </w:tcPr>
          <w:p>
            <w:pPr>
              <w:jc w:val="center"/>
              <w:rPr>
                <w:rFonts w:eastAsia="仿宋_GB2312"/>
              </w:rPr>
            </w:pPr>
            <w:r>
              <w:rPr>
                <w:rFonts w:eastAsia="仿宋_GB2312"/>
              </w:rPr>
              <w:t>《工业企业厂界环境噪声标准》（GB12348-2008）中</w:t>
            </w:r>
            <w:r>
              <w:rPr>
                <w:rFonts w:hint="eastAsia" w:eastAsia="仿宋_GB2312"/>
              </w:rPr>
              <w:t>2</w:t>
            </w:r>
            <w:r>
              <w:rPr>
                <w:rFonts w:eastAsia="仿宋_GB2312"/>
              </w:rPr>
              <w:t>类标准</w:t>
            </w:r>
          </w:p>
        </w:tc>
      </w:tr>
    </w:tbl>
    <w:p>
      <w:pPr>
        <w:tabs>
          <w:tab w:val="left" w:pos="0"/>
        </w:tabs>
        <w:jc w:val="left"/>
        <w:rPr>
          <w:rFonts w:eastAsia="黑体"/>
          <w:sz w:val="32"/>
          <w:szCs w:val="32"/>
        </w:rPr>
      </w:pPr>
    </w:p>
    <w:p>
      <w:pPr>
        <w:tabs>
          <w:tab w:val="left" w:pos="0"/>
        </w:tabs>
        <w:jc w:val="left"/>
        <w:rPr>
          <w:rFonts w:eastAsia="黑体"/>
          <w:sz w:val="32"/>
          <w:szCs w:val="32"/>
        </w:rPr>
      </w:pPr>
    </w:p>
    <w:p>
      <w:pPr>
        <w:tabs>
          <w:tab w:val="left" w:pos="0"/>
        </w:tabs>
        <w:jc w:val="left"/>
        <w:rPr>
          <w:rFonts w:eastAsia="黑体"/>
          <w:sz w:val="32"/>
          <w:szCs w:val="32"/>
        </w:rPr>
      </w:pPr>
      <w:r>
        <w:rPr>
          <w:rFonts w:hint="eastAsia" w:eastAsia="黑体"/>
          <w:sz w:val="32"/>
          <w:szCs w:val="32"/>
        </w:rPr>
        <w:t>四、</w:t>
      </w:r>
      <w:r>
        <w:rPr>
          <w:rFonts w:eastAsia="黑体"/>
          <w:sz w:val="32"/>
          <w:szCs w:val="32"/>
        </w:rPr>
        <w:t>监测方法及监测质量控制</w:t>
      </w:r>
    </w:p>
    <w:p>
      <w:pPr>
        <w:tabs>
          <w:tab w:val="left" w:pos="0"/>
        </w:tabs>
        <w:spacing w:before="163"/>
        <w:ind w:firstLine="540" w:firstLineChars="168"/>
        <w:jc w:val="left"/>
        <w:rPr>
          <w:rFonts w:ascii="仿宋" w:hAnsi="仿宋" w:eastAsia="仿宋" w:cs="仿宋"/>
          <w:b/>
          <w:sz w:val="32"/>
          <w:szCs w:val="32"/>
        </w:rPr>
      </w:pPr>
      <w:r>
        <w:rPr>
          <w:rFonts w:hint="eastAsia" w:ascii="仿宋" w:hAnsi="仿宋" w:eastAsia="仿宋" w:cs="仿宋"/>
          <w:b/>
          <w:sz w:val="32"/>
          <w:szCs w:val="32"/>
        </w:rPr>
        <w:t>1．手工监测</w:t>
      </w:r>
    </w:p>
    <w:p>
      <w:pPr>
        <w:snapToGrid w:val="0"/>
        <w:spacing w:line="360" w:lineRule="auto"/>
        <w:ind w:firstLine="462" w:firstLineChars="165"/>
        <w:jc w:val="left"/>
        <w:rPr>
          <w:rFonts w:ascii="仿宋" w:hAnsi="仿宋" w:eastAsia="仿宋" w:cs="仿宋"/>
          <w:color w:val="000000"/>
          <w:sz w:val="28"/>
          <w:szCs w:val="28"/>
        </w:rPr>
      </w:pPr>
      <w:r>
        <w:rPr>
          <w:rFonts w:hint="eastAsia" w:ascii="仿宋" w:hAnsi="仿宋" w:eastAsia="仿宋" w:cs="仿宋"/>
          <w:color w:val="000000"/>
          <w:sz w:val="28"/>
          <w:szCs w:val="28"/>
        </w:rPr>
        <w:t>手工监测方法及仪器设备详见表8。</w:t>
      </w:r>
    </w:p>
    <w:p>
      <w:pPr>
        <w:snapToGrid w:val="0"/>
        <w:spacing w:line="360" w:lineRule="auto"/>
        <w:ind w:firstLine="462" w:firstLineChars="165"/>
        <w:jc w:val="left"/>
        <w:rPr>
          <w:rFonts w:ascii="仿宋" w:hAnsi="仿宋" w:eastAsia="仿宋" w:cs="仿宋"/>
          <w:color w:val="000000"/>
          <w:sz w:val="28"/>
          <w:szCs w:val="28"/>
        </w:rPr>
      </w:pPr>
      <w:r>
        <w:rPr>
          <w:rFonts w:hint="eastAsia" w:ascii="仿宋" w:hAnsi="仿宋" w:eastAsia="仿宋" w:cs="仿宋"/>
          <w:color w:val="000000"/>
          <w:sz w:val="28"/>
          <w:szCs w:val="28"/>
        </w:rPr>
        <w:t>本企业委托新疆维吾尔自治区地质矿产勘查开发局第六地质大队承担手工监测，具备固定的实验室和监测工作条件，采用经依法检定合格的监测仪器设备，有15名经过环境监测专业技术培训的工作人员，有健全的自行监测质量管理制度，能够在正常生产时段内开展监测，真实反映污染物排放状况。</w:t>
      </w:r>
    </w:p>
    <w:p>
      <w:pPr>
        <w:snapToGrid w:val="0"/>
        <w:spacing w:line="360" w:lineRule="auto"/>
        <w:ind w:firstLine="560"/>
        <w:jc w:val="left"/>
        <w:rPr>
          <w:rFonts w:ascii="仿宋" w:hAnsi="仿宋" w:eastAsia="仿宋" w:cs="仿宋"/>
          <w:color w:val="000000"/>
          <w:sz w:val="28"/>
          <w:szCs w:val="28"/>
        </w:rPr>
      </w:pPr>
      <w:r>
        <w:rPr>
          <w:rFonts w:hint="eastAsia" w:ascii="仿宋" w:hAnsi="仿宋" w:eastAsia="仿宋" w:cs="仿宋"/>
          <w:color w:val="000000"/>
          <w:sz w:val="28"/>
          <w:szCs w:val="28"/>
        </w:rPr>
        <w:t>监测质量保证和质量控制严格执行国家环境监测技术规范和环境监测质量管理规定，实施全过程的质量保证。实验室分析样品的质量控制采用精密度和准确度控制。所使用的仪器设备通过检定或校准，仪器设备操作遵守操作规程，保证监测结果的代表性、准确性和可比性。监测数据严格实行三级审核制度。</w:t>
      </w:r>
    </w:p>
    <w:p>
      <w:pPr>
        <w:snapToGrid w:val="0"/>
        <w:spacing w:line="360" w:lineRule="auto"/>
        <w:ind w:firstLine="560"/>
        <w:jc w:val="left"/>
        <w:rPr>
          <w:rFonts w:eastAsia="仿宋_GB2312"/>
          <w:color w:val="000000"/>
          <w:sz w:val="32"/>
          <w:szCs w:val="32"/>
        </w:rPr>
      </w:pPr>
      <w:r>
        <w:rPr>
          <w:rFonts w:hint="eastAsia" w:ascii="仿宋" w:hAnsi="仿宋" w:eastAsia="仿宋" w:cs="仿宋"/>
          <w:color w:val="000000"/>
          <w:sz w:val="28"/>
          <w:szCs w:val="28"/>
        </w:rPr>
        <w:t>废水样品的采集、保存、分析、质控应执行《地表水和污水监测技术规范》（HJ/T 91-2002）、《水质 样品的保存和管理技术规定》（HJ 493-2009）、《水质 采样技术指导》（HJ 494-2009）、《水污染物排放总量监测技术规范》（HJ/T 92-2002）、《固定污染源监测质量保证与质量控制技术规范（试行）》（HJ/T373-2007）。厂界噪声监测布点、测量、气象条件按照</w:t>
      </w:r>
      <w:r>
        <w:rPr>
          <w:rFonts w:hint="eastAsia" w:ascii="仿宋" w:hAnsi="仿宋" w:eastAsia="仿宋" w:cs="仿宋"/>
          <w:sz w:val="28"/>
          <w:szCs w:val="28"/>
        </w:rPr>
        <w:t>《工业企业厂界环境噪声排放标准》GB12348-2008</w:t>
      </w:r>
      <w:r>
        <w:rPr>
          <w:rFonts w:hint="eastAsia" w:ascii="仿宋" w:hAnsi="仿宋" w:eastAsia="仿宋" w:cs="仿宋"/>
          <w:color w:val="000000"/>
          <w:sz w:val="28"/>
          <w:szCs w:val="28"/>
        </w:rPr>
        <w:t>要求进行，声级计在测量前、后必须在测量现场进行声学校准。能够明确监测质量控制要求，确保监测数据准确。</w:t>
      </w:r>
    </w:p>
    <w:p>
      <w:pPr>
        <w:spacing w:line="360" w:lineRule="auto"/>
        <w:rPr>
          <w:rFonts w:eastAsia="仿宋_GB2312"/>
          <w:sz w:val="28"/>
          <w:szCs w:val="28"/>
        </w:rPr>
      </w:pPr>
    </w:p>
    <w:p>
      <w:pPr>
        <w:spacing w:line="360" w:lineRule="auto"/>
        <w:rPr>
          <w:rFonts w:eastAsia="仿宋_GB2312"/>
          <w:sz w:val="28"/>
          <w:szCs w:val="28"/>
        </w:rPr>
      </w:pPr>
    </w:p>
    <w:p>
      <w:pPr>
        <w:spacing w:line="360" w:lineRule="auto"/>
        <w:rPr>
          <w:rFonts w:eastAsia="仿宋_GB2312"/>
          <w:sz w:val="28"/>
          <w:szCs w:val="28"/>
        </w:rPr>
      </w:pPr>
    </w:p>
    <w:p>
      <w:pPr>
        <w:spacing w:line="360" w:lineRule="auto"/>
        <w:rPr>
          <w:rFonts w:eastAsia="仿宋_GB2312"/>
          <w:sz w:val="28"/>
          <w:szCs w:val="28"/>
        </w:rPr>
      </w:pPr>
    </w:p>
    <w:p>
      <w:pPr>
        <w:spacing w:line="360" w:lineRule="auto"/>
        <w:ind w:firstLine="173" w:firstLineChars="62"/>
        <w:jc w:val="center"/>
        <w:rPr>
          <w:rFonts w:eastAsia="仿宋_GB2312"/>
          <w:sz w:val="28"/>
          <w:szCs w:val="28"/>
        </w:rPr>
      </w:pPr>
      <w:r>
        <w:rPr>
          <w:rFonts w:eastAsia="仿宋_GB2312"/>
          <w:sz w:val="28"/>
          <w:szCs w:val="28"/>
        </w:rPr>
        <w:t>表</w:t>
      </w:r>
      <w:r>
        <w:rPr>
          <w:rFonts w:hint="eastAsia" w:eastAsia="仿宋_GB2312"/>
          <w:sz w:val="28"/>
          <w:szCs w:val="28"/>
        </w:rPr>
        <w:t>8</w:t>
      </w:r>
      <w:r>
        <w:rPr>
          <w:rFonts w:eastAsia="仿宋_GB2312"/>
          <w:sz w:val="28"/>
          <w:szCs w:val="28"/>
        </w:rPr>
        <w:t xml:space="preserve">   污染物监测方法及使用仪器一览表</w:t>
      </w:r>
    </w:p>
    <w:tbl>
      <w:tblPr>
        <w:tblStyle w:val="6"/>
        <w:tblW w:w="10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455"/>
        <w:gridCol w:w="4620"/>
        <w:gridCol w:w="2580"/>
        <w:gridCol w:w="1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23" w:type="dxa"/>
            <w:vAlign w:val="center"/>
          </w:tcPr>
          <w:p>
            <w:pPr>
              <w:jc w:val="center"/>
              <w:rPr>
                <w:rFonts w:eastAsia="仿宋_GB2312"/>
                <w:bCs/>
                <w:color w:val="000000"/>
              </w:rPr>
            </w:pPr>
            <w:r>
              <w:rPr>
                <w:rFonts w:eastAsia="仿宋_GB2312"/>
                <w:bCs/>
                <w:color w:val="000000"/>
              </w:rPr>
              <w:t>类别</w:t>
            </w:r>
          </w:p>
        </w:tc>
        <w:tc>
          <w:tcPr>
            <w:tcW w:w="1455" w:type="dxa"/>
            <w:vAlign w:val="center"/>
          </w:tcPr>
          <w:p>
            <w:pPr>
              <w:jc w:val="left"/>
              <w:rPr>
                <w:rFonts w:eastAsia="仿宋_GB2312"/>
                <w:bCs/>
                <w:color w:val="000000"/>
              </w:rPr>
            </w:pPr>
            <w:r>
              <w:rPr>
                <w:rFonts w:eastAsia="仿宋_GB2312"/>
                <w:bCs/>
                <w:color w:val="000000"/>
              </w:rPr>
              <w:t>监测项目</w:t>
            </w:r>
          </w:p>
        </w:tc>
        <w:tc>
          <w:tcPr>
            <w:tcW w:w="4620" w:type="dxa"/>
            <w:vAlign w:val="center"/>
          </w:tcPr>
          <w:p>
            <w:pPr>
              <w:jc w:val="center"/>
              <w:rPr>
                <w:rFonts w:eastAsia="仿宋_GB2312"/>
                <w:bCs/>
                <w:color w:val="000000"/>
              </w:rPr>
            </w:pPr>
            <w:r>
              <w:rPr>
                <w:rFonts w:eastAsia="仿宋_GB2312"/>
                <w:bCs/>
                <w:color w:val="000000"/>
              </w:rPr>
              <w:t>监测方法及依据</w:t>
            </w:r>
          </w:p>
        </w:tc>
        <w:tc>
          <w:tcPr>
            <w:tcW w:w="2580" w:type="dxa"/>
            <w:vAlign w:val="center"/>
          </w:tcPr>
          <w:p>
            <w:pPr>
              <w:jc w:val="center"/>
              <w:rPr>
                <w:rFonts w:eastAsia="仿宋_GB2312"/>
                <w:bCs/>
                <w:color w:val="000000"/>
              </w:rPr>
            </w:pPr>
            <w:r>
              <w:rPr>
                <w:rFonts w:eastAsia="仿宋_GB2312"/>
                <w:bCs/>
                <w:color w:val="000000"/>
              </w:rPr>
              <w:t>仪器设备名称和型号</w:t>
            </w:r>
          </w:p>
        </w:tc>
        <w:tc>
          <w:tcPr>
            <w:tcW w:w="1127" w:type="dxa"/>
            <w:vAlign w:val="center"/>
          </w:tcPr>
          <w:p>
            <w:pPr>
              <w:jc w:val="center"/>
              <w:rPr>
                <w:rFonts w:eastAsia="仿宋_GB2312"/>
                <w:bCs/>
                <w:color w:val="000000"/>
              </w:rPr>
            </w:pPr>
            <w:r>
              <w:rPr>
                <w:rFonts w:eastAsia="仿宋_GB2312"/>
                <w:bCs/>
                <w:color w:val="00000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23" w:type="dxa"/>
            <w:vMerge w:val="restart"/>
            <w:vAlign w:val="center"/>
          </w:tcPr>
          <w:p>
            <w:pPr>
              <w:jc w:val="center"/>
              <w:rPr>
                <w:rFonts w:eastAsia="仿宋_GB2312"/>
                <w:bCs/>
                <w:color w:val="000000"/>
              </w:rPr>
            </w:pPr>
            <w:r>
              <w:rPr>
                <w:rFonts w:hint="eastAsia" w:eastAsia="仿宋_GB2312"/>
                <w:bCs/>
                <w:color w:val="000000"/>
              </w:rPr>
              <w:t>废水</w:t>
            </w:r>
          </w:p>
          <w:p>
            <w:pPr>
              <w:spacing w:before="163"/>
              <w:ind w:firstLine="480"/>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COD</w:t>
            </w:r>
          </w:p>
        </w:tc>
        <w:tc>
          <w:tcPr>
            <w:tcW w:w="4620" w:type="dxa"/>
            <w:vAlign w:val="center"/>
          </w:tcPr>
          <w:p>
            <w:pPr>
              <w:spacing w:before="163" w:line="320" w:lineRule="exact"/>
              <w:rPr>
                <w:rFonts w:eastAsia="仿宋_GB2312"/>
                <w:bCs/>
                <w:color w:val="000000"/>
              </w:rPr>
            </w:pPr>
            <w:r>
              <w:rPr>
                <w:rFonts w:hint="eastAsia" w:eastAsia="仿宋_GB2312"/>
                <w:bCs/>
                <w:color w:val="000000"/>
              </w:rPr>
              <w:t>重铬酸钾法</w:t>
            </w:r>
            <w:r>
              <w:rPr>
                <w:rFonts w:eastAsia="仿宋_GB2312"/>
                <w:bCs/>
                <w:color w:val="000000"/>
              </w:rPr>
              <w:t>GB11914-89</w:t>
            </w:r>
          </w:p>
        </w:tc>
        <w:tc>
          <w:tcPr>
            <w:tcW w:w="2580" w:type="dxa"/>
            <w:vAlign w:val="center"/>
          </w:tcPr>
          <w:p>
            <w:pPr>
              <w:ind w:firstLine="480"/>
              <w:rPr>
                <w:rFonts w:eastAsia="仿宋_GB2312"/>
                <w:bCs/>
                <w:color w:val="000000"/>
              </w:rPr>
            </w:pPr>
            <w:r>
              <w:rPr>
                <w:rFonts w:hint="eastAsia" w:eastAsia="仿宋_GB2312"/>
                <w:bCs/>
                <w:color w:val="000000"/>
              </w:rPr>
              <w:t>回流装置</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23" w:type="dxa"/>
            <w:vMerge w:val="continue"/>
            <w:vAlign w:val="center"/>
          </w:tcPr>
          <w:p>
            <w:pPr>
              <w:spacing w:before="163"/>
              <w:ind w:firstLine="480"/>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NH</w:t>
            </w:r>
            <w:r>
              <w:rPr>
                <w:rFonts w:hint="eastAsia" w:eastAsia="仿宋_GB2312"/>
                <w:bCs/>
                <w:color w:val="000000"/>
                <w:vertAlign w:val="subscript"/>
              </w:rPr>
              <w:t>3</w:t>
            </w:r>
            <w:r>
              <w:rPr>
                <w:rFonts w:hint="eastAsia" w:eastAsia="仿宋_GB2312"/>
                <w:bCs/>
                <w:color w:val="000000"/>
              </w:rPr>
              <w:t>-N</w:t>
            </w:r>
          </w:p>
        </w:tc>
        <w:tc>
          <w:tcPr>
            <w:tcW w:w="4620" w:type="dxa"/>
            <w:vAlign w:val="center"/>
          </w:tcPr>
          <w:p>
            <w:pPr>
              <w:spacing w:before="163" w:line="320" w:lineRule="exact"/>
              <w:rPr>
                <w:rFonts w:eastAsia="仿宋_GB2312"/>
                <w:bCs/>
                <w:color w:val="000000"/>
              </w:rPr>
            </w:pPr>
            <w:r>
              <w:rPr>
                <w:rFonts w:hint="eastAsia" w:eastAsia="仿宋_GB2312"/>
                <w:bCs/>
                <w:color w:val="000000"/>
              </w:rPr>
              <w:t>纳试剂法HJ535-2009</w:t>
            </w:r>
          </w:p>
        </w:tc>
        <w:tc>
          <w:tcPr>
            <w:tcW w:w="2580" w:type="dxa"/>
            <w:vMerge w:val="restart"/>
            <w:vAlign w:val="center"/>
          </w:tcPr>
          <w:p>
            <w:pPr>
              <w:ind w:firstLine="174" w:firstLineChars="83"/>
              <w:rPr>
                <w:rFonts w:eastAsia="仿宋_GB2312"/>
                <w:bCs/>
                <w:color w:val="000000"/>
              </w:rPr>
            </w:pPr>
            <w:r>
              <w:rPr>
                <w:rFonts w:hint="eastAsia" w:eastAsia="仿宋_GB2312"/>
                <w:bCs/>
                <w:color w:val="000000"/>
              </w:rPr>
              <w:t>紫外分光光度仪</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23" w:type="dxa"/>
            <w:vMerge w:val="continue"/>
            <w:vAlign w:val="center"/>
          </w:tcPr>
          <w:p>
            <w:pPr>
              <w:spacing w:before="163"/>
              <w:ind w:firstLine="480"/>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TP</w:t>
            </w:r>
          </w:p>
        </w:tc>
        <w:tc>
          <w:tcPr>
            <w:tcW w:w="4620" w:type="dxa"/>
            <w:vAlign w:val="center"/>
          </w:tcPr>
          <w:p>
            <w:pPr>
              <w:spacing w:before="163" w:line="320" w:lineRule="exact"/>
              <w:rPr>
                <w:rFonts w:eastAsia="仿宋_GB2312"/>
                <w:bCs/>
                <w:color w:val="000000"/>
              </w:rPr>
            </w:pPr>
            <w:r>
              <w:rPr>
                <w:rFonts w:hint="eastAsia" w:eastAsia="仿宋_GB2312"/>
                <w:bCs/>
                <w:color w:val="000000"/>
              </w:rPr>
              <w:t>钼酸铵分光光度法</w:t>
            </w:r>
            <w:r>
              <w:rPr>
                <w:rFonts w:eastAsia="仿宋_GB2312"/>
                <w:bCs/>
                <w:color w:val="000000"/>
              </w:rPr>
              <w:t>GB 11893-89</w:t>
            </w:r>
          </w:p>
        </w:tc>
        <w:tc>
          <w:tcPr>
            <w:tcW w:w="2580" w:type="dxa"/>
            <w:vMerge w:val="continue"/>
            <w:vAlign w:val="center"/>
          </w:tcPr>
          <w:p>
            <w:pPr>
              <w:ind w:firstLine="480"/>
              <w:jc w:val="center"/>
              <w:rPr>
                <w:rFonts w:eastAsia="仿宋_GB2312"/>
                <w:bCs/>
                <w:color w:val="000000"/>
              </w:rPr>
            </w:pP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23" w:type="dxa"/>
            <w:vMerge w:val="continue"/>
            <w:vAlign w:val="center"/>
          </w:tcPr>
          <w:p>
            <w:pPr>
              <w:spacing w:before="163"/>
              <w:ind w:firstLine="480"/>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TN</w:t>
            </w:r>
          </w:p>
        </w:tc>
        <w:tc>
          <w:tcPr>
            <w:tcW w:w="4620" w:type="dxa"/>
            <w:vAlign w:val="center"/>
          </w:tcPr>
          <w:p>
            <w:pPr>
              <w:spacing w:before="163" w:line="320" w:lineRule="exact"/>
              <w:rPr>
                <w:rFonts w:eastAsia="仿宋_GB2312"/>
                <w:bCs/>
                <w:color w:val="000000"/>
              </w:rPr>
            </w:pPr>
            <w:r>
              <w:rPr>
                <w:rFonts w:hint="eastAsia" w:eastAsia="仿宋_GB2312"/>
                <w:bCs/>
                <w:color w:val="000000"/>
              </w:rPr>
              <w:t>过硫酸钾氧化紫外分光光度法HJ636-2012</w:t>
            </w:r>
          </w:p>
        </w:tc>
        <w:tc>
          <w:tcPr>
            <w:tcW w:w="2580" w:type="dxa"/>
            <w:vMerge w:val="continue"/>
            <w:vAlign w:val="center"/>
          </w:tcPr>
          <w:p>
            <w:pPr>
              <w:ind w:firstLine="480"/>
              <w:jc w:val="center"/>
              <w:rPr>
                <w:rFonts w:eastAsia="仿宋_GB2312"/>
                <w:bCs/>
                <w:color w:val="000000"/>
              </w:rPr>
            </w:pP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SS</w:t>
            </w:r>
          </w:p>
        </w:tc>
        <w:tc>
          <w:tcPr>
            <w:tcW w:w="4620" w:type="dxa"/>
            <w:vAlign w:val="center"/>
          </w:tcPr>
          <w:p>
            <w:pPr>
              <w:spacing w:before="163" w:line="320" w:lineRule="exact"/>
              <w:rPr>
                <w:rFonts w:eastAsia="仿宋_GB2312"/>
                <w:bCs/>
                <w:color w:val="000000"/>
              </w:rPr>
            </w:pPr>
            <w:r>
              <w:rPr>
                <w:rFonts w:hint="eastAsia" w:eastAsia="仿宋_GB2312"/>
                <w:bCs/>
                <w:color w:val="000000"/>
              </w:rPr>
              <w:t>重量法</w:t>
            </w:r>
            <w:r>
              <w:rPr>
                <w:rFonts w:eastAsia="仿宋_GB2312"/>
                <w:bCs/>
                <w:color w:val="000000"/>
              </w:rPr>
              <w:t>GB11901-89</w:t>
            </w:r>
          </w:p>
        </w:tc>
        <w:tc>
          <w:tcPr>
            <w:tcW w:w="2580" w:type="dxa"/>
            <w:vAlign w:val="center"/>
          </w:tcPr>
          <w:p>
            <w:pPr>
              <w:ind w:firstLine="480"/>
              <w:rPr>
                <w:rFonts w:eastAsia="仿宋_GB2312"/>
                <w:bCs/>
                <w:color w:val="000000"/>
              </w:rPr>
            </w:pPr>
            <w:r>
              <w:rPr>
                <w:rFonts w:hint="eastAsia" w:eastAsia="仿宋_GB2312"/>
                <w:bCs/>
                <w:color w:val="000000"/>
              </w:rPr>
              <w:t>天平</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BOD</w:t>
            </w:r>
            <w:r>
              <w:rPr>
                <w:rFonts w:hint="eastAsia" w:eastAsia="仿宋_GB2312"/>
                <w:bCs/>
                <w:color w:val="000000"/>
                <w:vertAlign w:val="subscript"/>
              </w:rPr>
              <w:t>5</w:t>
            </w:r>
          </w:p>
        </w:tc>
        <w:tc>
          <w:tcPr>
            <w:tcW w:w="4620" w:type="dxa"/>
            <w:vAlign w:val="center"/>
          </w:tcPr>
          <w:p>
            <w:pPr>
              <w:spacing w:before="163" w:line="360" w:lineRule="auto"/>
              <w:rPr>
                <w:rFonts w:eastAsia="仿宋_GB2312"/>
                <w:bCs/>
                <w:color w:val="000000"/>
              </w:rPr>
            </w:pPr>
            <w:r>
              <w:rPr>
                <w:rFonts w:hint="eastAsia" w:eastAsia="仿宋_GB2312"/>
                <w:bCs/>
                <w:color w:val="000000"/>
              </w:rPr>
              <w:t>稀释与接种法</w:t>
            </w:r>
            <w:r>
              <w:rPr>
                <w:rFonts w:eastAsia="仿宋_GB2312"/>
                <w:bCs/>
                <w:color w:val="000000"/>
              </w:rPr>
              <w:t>HJ 505-2009</w:t>
            </w:r>
          </w:p>
        </w:tc>
        <w:tc>
          <w:tcPr>
            <w:tcW w:w="2580" w:type="dxa"/>
            <w:vAlign w:val="center"/>
          </w:tcPr>
          <w:p>
            <w:pPr>
              <w:rPr>
                <w:rFonts w:eastAsia="仿宋_GB2312"/>
                <w:bCs/>
                <w:color w:val="000000"/>
              </w:rPr>
            </w:pPr>
            <w:r>
              <w:rPr>
                <w:rFonts w:hint="eastAsia" w:eastAsia="仿宋_GB2312"/>
                <w:bCs/>
                <w:color w:val="000000"/>
              </w:rPr>
              <w:t>生化培养箱，溶解氧测定仪</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PH</w:t>
            </w:r>
          </w:p>
        </w:tc>
        <w:tc>
          <w:tcPr>
            <w:tcW w:w="4620" w:type="dxa"/>
            <w:vAlign w:val="center"/>
          </w:tcPr>
          <w:p>
            <w:pPr>
              <w:rPr>
                <w:rFonts w:eastAsia="仿宋_GB2312"/>
                <w:bCs/>
                <w:color w:val="000000"/>
              </w:rPr>
            </w:pPr>
            <w:r>
              <w:rPr>
                <w:rFonts w:hint="eastAsia" w:eastAsia="仿宋_GB2312"/>
                <w:bCs/>
                <w:color w:val="000000"/>
              </w:rPr>
              <w:t>玻璃电极法GB6920-86</w:t>
            </w:r>
          </w:p>
        </w:tc>
        <w:tc>
          <w:tcPr>
            <w:tcW w:w="2580" w:type="dxa"/>
            <w:vAlign w:val="center"/>
          </w:tcPr>
          <w:p>
            <w:pPr>
              <w:ind w:firstLine="480"/>
              <w:rPr>
                <w:rFonts w:eastAsia="仿宋_GB2312"/>
                <w:bCs/>
                <w:color w:val="000000"/>
              </w:rPr>
            </w:pPr>
            <w:r>
              <w:rPr>
                <w:rFonts w:hint="eastAsia" w:eastAsia="仿宋_GB2312"/>
                <w:bCs/>
                <w:color w:val="000000"/>
              </w:rPr>
              <w:t>便携式PH计</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阴离子表面活性剂</w:t>
            </w:r>
          </w:p>
        </w:tc>
        <w:tc>
          <w:tcPr>
            <w:tcW w:w="4620" w:type="dxa"/>
            <w:vAlign w:val="center"/>
          </w:tcPr>
          <w:p>
            <w:pPr>
              <w:spacing w:before="163"/>
              <w:rPr>
                <w:rFonts w:eastAsia="仿宋_GB2312"/>
                <w:bCs/>
                <w:color w:val="000000"/>
              </w:rPr>
            </w:pPr>
            <w:r>
              <w:rPr>
                <w:rFonts w:hint="eastAsia" w:eastAsia="仿宋_GB2312"/>
                <w:bCs/>
                <w:color w:val="000000"/>
              </w:rPr>
              <w:t>亚甲基蓝分光光度法GB/T7494-1987</w:t>
            </w:r>
          </w:p>
        </w:tc>
        <w:tc>
          <w:tcPr>
            <w:tcW w:w="2580" w:type="dxa"/>
            <w:vAlign w:val="center"/>
          </w:tcPr>
          <w:p>
            <w:pPr>
              <w:ind w:firstLine="480"/>
              <w:rPr>
                <w:rFonts w:eastAsia="仿宋_GB2312"/>
                <w:bCs/>
                <w:color w:val="000000"/>
              </w:rPr>
            </w:pPr>
            <w:r>
              <w:rPr>
                <w:rFonts w:hint="eastAsia" w:eastAsia="仿宋_GB2312"/>
                <w:bCs/>
                <w:color w:val="000000"/>
              </w:rPr>
              <w:t>紫外分光度计</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色度</w:t>
            </w:r>
          </w:p>
        </w:tc>
        <w:tc>
          <w:tcPr>
            <w:tcW w:w="4620" w:type="dxa"/>
            <w:vAlign w:val="center"/>
          </w:tcPr>
          <w:p>
            <w:pPr>
              <w:spacing w:before="163"/>
              <w:rPr>
                <w:rFonts w:eastAsia="仿宋_GB2312"/>
                <w:bCs/>
                <w:color w:val="000000"/>
              </w:rPr>
            </w:pPr>
            <w:r>
              <w:rPr>
                <w:rFonts w:hint="eastAsia" w:eastAsia="仿宋_GB2312"/>
                <w:bCs/>
                <w:color w:val="000000"/>
              </w:rPr>
              <w:t>稀释倍数法GB/T 11903-1989</w:t>
            </w:r>
          </w:p>
        </w:tc>
        <w:tc>
          <w:tcPr>
            <w:tcW w:w="2580" w:type="dxa"/>
            <w:vAlign w:val="center"/>
          </w:tcPr>
          <w:p>
            <w:pPr>
              <w:ind w:firstLine="480"/>
              <w:rPr>
                <w:rFonts w:eastAsia="仿宋_GB2312"/>
                <w:bCs/>
                <w:color w:val="000000"/>
              </w:rPr>
            </w:pPr>
            <w:r>
              <w:rPr>
                <w:rFonts w:hint="eastAsia" w:eastAsia="仿宋_GB2312"/>
                <w:bCs/>
                <w:color w:val="000000"/>
              </w:rPr>
              <w:t>色彩色差仪</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粪大肠菌群数/(个/L)</w:t>
            </w:r>
          </w:p>
        </w:tc>
        <w:tc>
          <w:tcPr>
            <w:tcW w:w="4620" w:type="dxa"/>
            <w:vAlign w:val="center"/>
          </w:tcPr>
          <w:p>
            <w:pPr>
              <w:spacing w:before="163"/>
              <w:rPr>
                <w:rFonts w:eastAsia="仿宋_GB2312"/>
                <w:bCs/>
                <w:color w:val="000000"/>
              </w:rPr>
            </w:pPr>
            <w:r>
              <w:rPr>
                <w:rFonts w:hint="eastAsia" w:eastAsia="仿宋_GB2312"/>
                <w:bCs/>
                <w:color w:val="000000"/>
              </w:rPr>
              <w:t>多管发酵法HJ/T347-2007</w:t>
            </w:r>
          </w:p>
        </w:tc>
        <w:tc>
          <w:tcPr>
            <w:tcW w:w="2580" w:type="dxa"/>
            <w:vAlign w:val="center"/>
          </w:tcPr>
          <w:p>
            <w:pPr>
              <w:ind w:firstLine="480"/>
              <w:rPr>
                <w:rFonts w:eastAsia="仿宋_GB2312"/>
                <w:bCs/>
                <w:color w:val="000000"/>
              </w:rPr>
            </w:pPr>
            <w:r>
              <w:rPr>
                <w:rFonts w:hint="eastAsia" w:eastAsia="仿宋_GB2312"/>
                <w:bCs/>
                <w:color w:val="000000"/>
              </w:rPr>
              <w:t>生化培养箱</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总镉</w:t>
            </w:r>
          </w:p>
        </w:tc>
        <w:tc>
          <w:tcPr>
            <w:tcW w:w="4620" w:type="dxa"/>
            <w:vAlign w:val="center"/>
          </w:tcPr>
          <w:p>
            <w:pPr>
              <w:spacing w:before="163"/>
              <w:rPr>
                <w:rFonts w:eastAsia="仿宋_GB2312"/>
                <w:bCs/>
                <w:color w:val="000000"/>
              </w:rPr>
            </w:pPr>
            <w:r>
              <w:rPr>
                <w:rFonts w:hint="eastAsia" w:eastAsia="仿宋_GB2312"/>
                <w:bCs/>
                <w:color w:val="000000"/>
              </w:rPr>
              <w:t>原子吸收分光光度法GB/T7475-1987</w:t>
            </w:r>
          </w:p>
        </w:tc>
        <w:tc>
          <w:tcPr>
            <w:tcW w:w="2580" w:type="dxa"/>
            <w:vMerge w:val="restart"/>
            <w:vAlign w:val="center"/>
          </w:tcPr>
          <w:p>
            <w:pPr>
              <w:ind w:firstLine="480"/>
              <w:rPr>
                <w:rFonts w:eastAsia="仿宋_GB2312"/>
                <w:bCs/>
                <w:color w:val="000000"/>
              </w:rPr>
            </w:pPr>
            <w:r>
              <w:rPr>
                <w:rFonts w:hint="eastAsia" w:eastAsia="仿宋_GB2312"/>
                <w:bCs/>
                <w:color w:val="000000"/>
              </w:rPr>
              <w:t>原子吸收仪</w:t>
            </w: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六价铬</w:t>
            </w:r>
          </w:p>
        </w:tc>
        <w:tc>
          <w:tcPr>
            <w:tcW w:w="4620" w:type="dxa"/>
            <w:vAlign w:val="center"/>
          </w:tcPr>
          <w:p>
            <w:pPr>
              <w:spacing w:before="163"/>
              <w:rPr>
                <w:rFonts w:eastAsia="仿宋_GB2312"/>
                <w:bCs/>
                <w:color w:val="000000"/>
              </w:rPr>
            </w:pPr>
            <w:r>
              <w:rPr>
                <w:rFonts w:hint="eastAsia" w:eastAsia="仿宋_GB2312"/>
                <w:bCs/>
                <w:color w:val="000000"/>
              </w:rPr>
              <w:t>二苯碳酰二肼分光光度法GB/T 7467-1987</w:t>
            </w:r>
          </w:p>
        </w:tc>
        <w:tc>
          <w:tcPr>
            <w:tcW w:w="2580" w:type="dxa"/>
            <w:vMerge w:val="continue"/>
            <w:vAlign w:val="center"/>
          </w:tcPr>
          <w:p>
            <w:pPr>
              <w:spacing w:before="163"/>
              <w:ind w:firstLine="277" w:firstLineChars="132"/>
            </w:pP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总砷</w:t>
            </w:r>
          </w:p>
        </w:tc>
        <w:tc>
          <w:tcPr>
            <w:tcW w:w="4620" w:type="dxa"/>
            <w:vAlign w:val="center"/>
          </w:tcPr>
          <w:p>
            <w:pPr>
              <w:spacing w:before="163"/>
              <w:rPr>
                <w:rFonts w:eastAsia="仿宋_GB2312"/>
                <w:bCs/>
                <w:color w:val="000000"/>
              </w:rPr>
            </w:pPr>
            <w:r>
              <w:rPr>
                <w:rFonts w:hint="eastAsia" w:eastAsia="仿宋_GB2312"/>
                <w:bCs/>
                <w:color w:val="000000"/>
              </w:rPr>
              <w:t>二乙基二硫代氨基甲酸银分光光度法</w:t>
            </w:r>
          </w:p>
          <w:p>
            <w:pPr>
              <w:spacing w:before="163"/>
              <w:rPr>
                <w:rFonts w:eastAsia="仿宋_GB2312"/>
                <w:bCs/>
                <w:color w:val="000000"/>
              </w:rPr>
            </w:pPr>
            <w:r>
              <w:rPr>
                <w:rFonts w:hint="eastAsia" w:eastAsia="仿宋_GB2312"/>
                <w:bCs/>
                <w:color w:val="000000"/>
              </w:rPr>
              <w:t>GB/T 7485-1987</w:t>
            </w:r>
          </w:p>
        </w:tc>
        <w:tc>
          <w:tcPr>
            <w:tcW w:w="2580" w:type="dxa"/>
            <w:vMerge w:val="continue"/>
            <w:vAlign w:val="center"/>
          </w:tcPr>
          <w:p>
            <w:pPr>
              <w:spacing w:before="163"/>
              <w:ind w:firstLine="277" w:firstLineChars="132"/>
            </w:pPr>
          </w:p>
        </w:tc>
        <w:tc>
          <w:tcPr>
            <w:tcW w:w="1127" w:type="dxa"/>
            <w:vAlign w:val="center"/>
          </w:tcPr>
          <w:p>
            <w:pPr>
              <w:ind w:firstLine="480"/>
              <w:jc w:val="center"/>
              <w:rPr>
                <w:rFonts w:eastAsia="仿宋_GB2312"/>
                <w:bCs/>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723" w:type="dxa"/>
            <w:vMerge w:val="continue"/>
            <w:vAlign w:val="center"/>
          </w:tcPr>
          <w:p>
            <w:pPr>
              <w:jc w:val="center"/>
              <w:rPr>
                <w:rFonts w:eastAsia="仿宋_GB2312"/>
                <w:bCs/>
                <w:color w:val="000000"/>
              </w:rPr>
            </w:pPr>
          </w:p>
        </w:tc>
        <w:tc>
          <w:tcPr>
            <w:tcW w:w="1455" w:type="dxa"/>
            <w:vAlign w:val="center"/>
          </w:tcPr>
          <w:p>
            <w:pPr>
              <w:jc w:val="center"/>
              <w:rPr>
                <w:rFonts w:eastAsia="仿宋_GB2312"/>
                <w:bCs/>
                <w:color w:val="000000"/>
              </w:rPr>
            </w:pPr>
            <w:r>
              <w:rPr>
                <w:rFonts w:hint="eastAsia" w:eastAsia="仿宋_GB2312"/>
                <w:bCs/>
                <w:color w:val="000000"/>
              </w:rPr>
              <w:t>总铅</w:t>
            </w:r>
          </w:p>
        </w:tc>
        <w:tc>
          <w:tcPr>
            <w:tcW w:w="4620" w:type="dxa"/>
            <w:vAlign w:val="center"/>
          </w:tcPr>
          <w:p>
            <w:pPr>
              <w:spacing w:before="163"/>
              <w:rPr>
                <w:rFonts w:eastAsia="仿宋_GB2312"/>
                <w:bCs/>
                <w:color w:val="000000"/>
              </w:rPr>
            </w:pPr>
            <w:r>
              <w:rPr>
                <w:rFonts w:hint="eastAsia" w:eastAsia="仿宋_GB2312"/>
                <w:bCs/>
                <w:color w:val="000000"/>
              </w:rPr>
              <w:t>原子吸收分光光度法GB/T7475-1987</w:t>
            </w:r>
          </w:p>
        </w:tc>
        <w:tc>
          <w:tcPr>
            <w:tcW w:w="2580" w:type="dxa"/>
            <w:vMerge w:val="continue"/>
            <w:vAlign w:val="center"/>
          </w:tcPr>
          <w:p>
            <w:pPr>
              <w:spacing w:before="163"/>
              <w:ind w:firstLine="277" w:firstLineChars="132"/>
            </w:pPr>
          </w:p>
        </w:tc>
        <w:tc>
          <w:tcPr>
            <w:tcW w:w="1127" w:type="dxa"/>
            <w:vAlign w:val="center"/>
          </w:tcPr>
          <w:p>
            <w:pPr>
              <w:ind w:firstLine="480"/>
              <w:jc w:val="center"/>
              <w:rPr>
                <w:rFonts w:eastAsia="仿宋_GB2312"/>
                <w:bCs/>
                <w:color w:val="000000"/>
              </w:rPr>
            </w:pPr>
          </w:p>
        </w:tc>
      </w:tr>
    </w:tbl>
    <w:p>
      <w:pPr>
        <w:tabs>
          <w:tab w:val="left" w:pos="0"/>
        </w:tabs>
        <w:spacing w:before="163"/>
        <w:ind w:firstLine="540" w:firstLineChars="168"/>
        <w:jc w:val="left"/>
        <w:rPr>
          <w:rFonts w:eastAsia="楷体_GB2312"/>
          <w:b/>
          <w:sz w:val="32"/>
          <w:szCs w:val="32"/>
        </w:rPr>
      </w:pPr>
    </w:p>
    <w:p>
      <w:pPr>
        <w:tabs>
          <w:tab w:val="left" w:pos="0"/>
        </w:tabs>
        <w:spacing w:before="163"/>
        <w:ind w:firstLine="540" w:firstLineChars="168"/>
        <w:jc w:val="left"/>
        <w:rPr>
          <w:rFonts w:eastAsia="楷体_GB2312"/>
          <w:b/>
          <w:sz w:val="32"/>
          <w:szCs w:val="32"/>
        </w:rPr>
      </w:pPr>
    </w:p>
    <w:p>
      <w:pPr>
        <w:tabs>
          <w:tab w:val="left" w:pos="0"/>
        </w:tabs>
        <w:spacing w:before="163"/>
        <w:ind w:firstLine="540" w:firstLineChars="168"/>
        <w:jc w:val="left"/>
        <w:rPr>
          <w:rFonts w:eastAsia="楷体_GB2312"/>
          <w:b/>
          <w:sz w:val="32"/>
          <w:szCs w:val="32"/>
        </w:rPr>
      </w:pPr>
    </w:p>
    <w:p>
      <w:pPr>
        <w:tabs>
          <w:tab w:val="left" w:pos="0"/>
        </w:tabs>
        <w:spacing w:before="163"/>
        <w:ind w:firstLine="540" w:firstLineChars="168"/>
        <w:jc w:val="left"/>
        <w:rPr>
          <w:rFonts w:eastAsia="楷体_GB2312"/>
          <w:b/>
          <w:sz w:val="32"/>
          <w:szCs w:val="32"/>
        </w:rPr>
      </w:pPr>
    </w:p>
    <w:p>
      <w:pPr>
        <w:tabs>
          <w:tab w:val="left" w:pos="0"/>
        </w:tabs>
        <w:spacing w:before="163"/>
        <w:ind w:firstLine="540" w:firstLineChars="168"/>
        <w:jc w:val="left"/>
        <w:rPr>
          <w:rFonts w:eastAsia="楷体_GB2312"/>
          <w:b/>
          <w:sz w:val="32"/>
          <w:szCs w:val="32"/>
        </w:rPr>
      </w:pPr>
    </w:p>
    <w:p>
      <w:pPr>
        <w:tabs>
          <w:tab w:val="left" w:pos="0"/>
        </w:tabs>
        <w:spacing w:before="163"/>
        <w:ind w:firstLine="540" w:firstLineChars="168"/>
        <w:jc w:val="left"/>
        <w:rPr>
          <w:rFonts w:eastAsia="楷体_GB2312"/>
          <w:b/>
          <w:sz w:val="32"/>
          <w:szCs w:val="32"/>
        </w:rPr>
      </w:pPr>
    </w:p>
    <w:p>
      <w:pPr>
        <w:tabs>
          <w:tab w:val="left" w:pos="0"/>
        </w:tabs>
        <w:snapToGrid w:val="0"/>
        <w:spacing w:before="163" w:line="360" w:lineRule="auto"/>
        <w:ind w:firstLine="540" w:firstLineChars="168"/>
        <w:jc w:val="left"/>
        <w:rPr>
          <w:rFonts w:ascii="仿宋" w:hAnsi="仿宋" w:eastAsia="仿宋" w:cs="仿宋"/>
          <w:b/>
          <w:sz w:val="32"/>
          <w:szCs w:val="32"/>
        </w:rPr>
      </w:pPr>
      <w:r>
        <w:rPr>
          <w:rFonts w:hint="eastAsia" w:ascii="仿宋" w:hAnsi="仿宋" w:eastAsia="仿宋" w:cs="仿宋"/>
          <w:b/>
          <w:sz w:val="32"/>
          <w:szCs w:val="32"/>
        </w:rPr>
        <w:t>2．监测信息保存</w:t>
      </w:r>
    </w:p>
    <w:p>
      <w:pPr>
        <w:snapToGrid w:val="0"/>
        <w:spacing w:line="360" w:lineRule="auto"/>
        <w:ind w:firstLine="462" w:firstLineChars="165"/>
        <w:jc w:val="left"/>
        <w:rPr>
          <w:rFonts w:ascii="仿宋" w:hAnsi="仿宋" w:eastAsia="仿宋" w:cs="仿宋"/>
          <w:color w:val="000000"/>
          <w:sz w:val="28"/>
          <w:szCs w:val="28"/>
        </w:rPr>
      </w:pPr>
      <w:r>
        <w:rPr>
          <w:rFonts w:hint="eastAsia" w:ascii="仿宋" w:hAnsi="仿宋" w:eastAsia="仿宋" w:cs="仿宋"/>
          <w:color w:val="000000"/>
          <w:sz w:val="28"/>
          <w:szCs w:val="28"/>
        </w:rPr>
        <w:t>本企业按要求建立完整的监测档案信息管理制度，保存原始监测记录和监测数据报告，监测期间生产记录以及企业委托手工监测的委托合同、承担委托任务单位的资质和单位基本情况等资料（原始监测记录和监测数据报告由相关人员签字并保存3年）。</w:t>
      </w:r>
    </w:p>
    <w:p>
      <w:pPr>
        <w:snapToGrid w:val="0"/>
        <w:spacing w:before="163" w:line="360" w:lineRule="auto"/>
        <w:ind w:firstLine="980" w:firstLineChars="350"/>
        <w:rPr>
          <w:rFonts w:ascii="仿宋" w:hAnsi="仿宋" w:eastAsia="仿宋" w:cs="仿宋"/>
          <w:sz w:val="28"/>
          <w:szCs w:val="28"/>
        </w:rPr>
      </w:pPr>
      <w:r>
        <w:rPr>
          <w:rFonts w:hint="eastAsia" w:ascii="仿宋" w:hAnsi="仿宋" w:eastAsia="仿宋" w:cs="仿宋"/>
          <w:sz w:val="28"/>
          <w:szCs w:val="28"/>
        </w:rPr>
        <w:t>企业自行监测信息公开网址是：www.xjyiwu.gov.cn。</w:t>
      </w:r>
    </w:p>
    <w:p>
      <w:pPr>
        <w:spacing w:before="163"/>
        <w:ind w:firstLine="1120" w:firstLineChars="350"/>
        <w:rPr>
          <w:rFonts w:eastAsia="仿宋_GB2312"/>
          <w:sz w:val="32"/>
          <w:szCs w:val="32"/>
        </w:rPr>
      </w:pPr>
    </w:p>
    <w:p>
      <w:pPr>
        <w:spacing w:before="163"/>
        <w:ind w:firstLine="1120" w:firstLineChars="350"/>
        <w:rPr>
          <w:rFonts w:eastAsia="仿宋_GB2312"/>
          <w:sz w:val="32"/>
          <w:szCs w:val="32"/>
        </w:rPr>
      </w:pPr>
    </w:p>
    <w:p>
      <w:pPr>
        <w:spacing w:before="163"/>
        <w:ind w:firstLine="1120" w:firstLineChars="350"/>
        <w:rPr>
          <w:rFonts w:eastAsia="仿宋_GB2312"/>
          <w:sz w:val="32"/>
          <w:szCs w:val="32"/>
        </w:rPr>
      </w:pPr>
    </w:p>
    <w:p>
      <w:pPr>
        <w:spacing w:before="163"/>
        <w:ind w:firstLine="1120" w:firstLineChars="350"/>
        <w:rPr>
          <w:rFonts w:eastAsia="仿宋_GB2312"/>
          <w:sz w:val="32"/>
          <w:szCs w:val="32"/>
        </w:rPr>
      </w:pPr>
    </w:p>
    <w:p>
      <w:pPr>
        <w:spacing w:before="163"/>
        <w:ind w:firstLine="1120" w:firstLineChars="350"/>
        <w:rPr>
          <w:rFonts w:eastAsia="仿宋_GB2312"/>
          <w:sz w:val="32"/>
          <w:szCs w:val="32"/>
        </w:rPr>
      </w:pPr>
    </w:p>
    <w:p>
      <w:pPr>
        <w:spacing w:before="163"/>
        <w:ind w:firstLine="1120" w:firstLineChars="350"/>
        <w:rPr>
          <w:rFonts w:eastAsia="仿宋_GB2312"/>
          <w:sz w:val="32"/>
          <w:szCs w:val="32"/>
        </w:rPr>
      </w:pPr>
    </w:p>
    <w:p>
      <w:pPr>
        <w:spacing w:before="163"/>
        <w:ind w:firstLine="1120" w:firstLineChars="350"/>
        <w:rPr>
          <w:rFonts w:eastAsia="仿宋_GB2312"/>
          <w:sz w:val="32"/>
          <w:szCs w:val="32"/>
        </w:rPr>
      </w:pPr>
    </w:p>
    <w:p>
      <w:pPr>
        <w:spacing w:before="163"/>
        <w:ind w:firstLine="1760" w:firstLineChars="550"/>
        <w:rPr>
          <w:rFonts w:eastAsia="仿宋_GB2312"/>
          <w:color w:val="000000"/>
          <w:sz w:val="32"/>
          <w:szCs w:val="32"/>
        </w:rPr>
      </w:pPr>
    </w:p>
    <w:p>
      <w:pPr>
        <w:spacing w:before="163"/>
        <w:ind w:firstLine="1760" w:firstLineChars="550"/>
        <w:rPr>
          <w:rFonts w:eastAsia="仿宋_GB2312"/>
          <w:color w:val="000000"/>
          <w:sz w:val="32"/>
          <w:szCs w:val="32"/>
        </w:rPr>
      </w:pPr>
    </w:p>
    <w:p>
      <w:pPr>
        <w:spacing w:before="163"/>
        <w:ind w:firstLine="1760" w:firstLineChars="550"/>
        <w:rPr>
          <w:rFonts w:eastAsia="仿宋_GB2312"/>
          <w:color w:val="000000"/>
          <w:sz w:val="32"/>
          <w:szCs w:val="32"/>
        </w:rPr>
      </w:pPr>
    </w:p>
    <w:p>
      <w:pPr>
        <w:spacing w:before="163"/>
        <w:ind w:firstLine="1760" w:firstLineChars="550"/>
        <w:rPr>
          <w:rFonts w:eastAsia="仿宋_GB2312"/>
          <w:color w:val="000000"/>
          <w:sz w:val="32"/>
          <w:szCs w:val="32"/>
        </w:rPr>
      </w:pPr>
      <w:r>
        <w:rPr>
          <w:rFonts w:eastAsia="仿宋_GB2312"/>
          <w:color w:val="000000"/>
          <w:sz w:val="32"/>
          <w:szCs w:val="32"/>
        </w:rPr>
        <w:t>企业名称（盖章）：</w:t>
      </w:r>
      <w:r>
        <w:rPr>
          <w:rFonts w:hint="eastAsia" w:eastAsia="仿宋_GB2312"/>
          <w:color w:val="000000"/>
          <w:sz w:val="32"/>
          <w:szCs w:val="32"/>
        </w:rPr>
        <w:t>伊吾县城污水处理厂</w:t>
      </w:r>
    </w:p>
    <w:p>
      <w:pPr>
        <w:spacing w:before="163"/>
        <w:ind w:firstLine="5120" w:firstLineChars="1600"/>
        <w:rPr>
          <w:rFonts w:eastAsia="仿宋_GB2312"/>
          <w:sz w:val="32"/>
          <w:szCs w:val="32"/>
        </w:rPr>
      </w:pPr>
      <w:r>
        <w:rPr>
          <w:rFonts w:hint="eastAsia" w:eastAsia="仿宋_GB2312"/>
          <w:sz w:val="32"/>
          <w:szCs w:val="32"/>
        </w:rPr>
        <w:t>2023年2月15日</w:t>
      </w:r>
    </w:p>
    <w:p>
      <w:pPr>
        <w:spacing w:line="780" w:lineRule="exact"/>
        <w:rPr>
          <w:sz w:val="28"/>
          <w:szCs w:val="28"/>
        </w:rPr>
      </w:pPr>
    </w:p>
    <w:p>
      <w:pPr>
        <w:spacing w:line="780" w:lineRule="exact"/>
        <w:rPr>
          <w:sz w:val="28"/>
          <w:szCs w:val="28"/>
        </w:rPr>
      </w:pPr>
    </w:p>
    <w:p>
      <w:pPr>
        <w:spacing w:line="780" w:lineRule="exact"/>
        <w:rPr>
          <w:sz w:val="28"/>
          <w:szCs w:val="28"/>
        </w:rPr>
      </w:pPr>
    </w:p>
    <w:p>
      <w:pPr>
        <w:spacing w:line="780" w:lineRule="exact"/>
        <w:rPr>
          <w:sz w:val="28"/>
          <w:szCs w:val="28"/>
        </w:rPr>
      </w:pPr>
    </w:p>
    <w:p>
      <w:pPr>
        <w:spacing w:line="780" w:lineRule="exact"/>
        <w:rPr>
          <w:sz w:val="28"/>
          <w:szCs w:val="28"/>
        </w:rPr>
      </w:pPr>
    </w:p>
    <w:p>
      <w:pPr>
        <w:rPr>
          <w:sz w:val="28"/>
          <w:szCs w:val="28"/>
        </w:rPr>
      </w:pPr>
      <w:r>
        <w:rPr>
          <w:rFonts w:hint="eastAsia"/>
          <w:sz w:val="28"/>
          <w:szCs w:val="28"/>
        </w:rPr>
        <w:drawing>
          <wp:inline distT="0" distB="0" distL="0" distR="0">
            <wp:extent cx="5248910" cy="7303135"/>
            <wp:effectExtent l="19050" t="0" r="8890" b="0"/>
            <wp:docPr id="38" name="图片 16" descr="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descr="zz"/>
                    <pic:cNvPicPr>
                      <a:picLocks noChangeAspect="1" noChangeArrowheads="1"/>
                    </pic:cNvPicPr>
                  </pic:nvPicPr>
                  <pic:blipFill>
                    <a:blip r:embed="rId7"/>
                    <a:srcRect r="66913"/>
                    <a:stretch>
                      <a:fillRect/>
                    </a:stretch>
                  </pic:blipFill>
                  <pic:spPr>
                    <a:xfrm>
                      <a:off x="0" y="0"/>
                      <a:ext cx="5248910" cy="7303135"/>
                    </a:xfrm>
                    <a:prstGeom prst="rect">
                      <a:avLst/>
                    </a:prstGeom>
                    <a:noFill/>
                    <a:ln w="9525">
                      <a:noFill/>
                      <a:miter lim="800000"/>
                      <a:headEnd/>
                      <a:tailEnd/>
                    </a:ln>
                  </pic:spPr>
                </pic:pic>
              </a:graphicData>
            </a:graphic>
          </wp:inline>
        </w:drawing>
      </w:r>
    </w:p>
    <w:p>
      <w:pPr>
        <w:spacing w:line="780" w:lineRule="exact"/>
        <w:rPr>
          <w:sz w:val="28"/>
          <w:szCs w:val="28"/>
        </w:rPr>
      </w:pPr>
    </w:p>
    <w:p>
      <w:pPr>
        <w:rPr>
          <w:sz w:val="28"/>
          <w:szCs w:val="28"/>
        </w:rPr>
      </w:pPr>
    </w:p>
    <w:p>
      <w:pPr>
        <w:jc w:val="center"/>
        <w:rPr>
          <w:sz w:val="28"/>
          <w:szCs w:val="28"/>
        </w:rPr>
      </w:pPr>
      <w:r>
        <w:rPr>
          <w:rFonts w:hint="eastAsia"/>
          <w:sz w:val="28"/>
          <w:szCs w:val="28"/>
        </w:rPr>
        <w:drawing>
          <wp:inline distT="0" distB="0" distL="0" distR="0">
            <wp:extent cx="5034915" cy="3538855"/>
            <wp:effectExtent l="19050" t="0" r="0" b="0"/>
            <wp:docPr id="37" name="图片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descr="1"/>
                    <pic:cNvPicPr>
                      <a:picLocks noChangeAspect="1" noChangeArrowheads="1"/>
                    </pic:cNvPicPr>
                  </pic:nvPicPr>
                  <pic:blipFill>
                    <a:blip r:embed="rId8"/>
                    <a:srcRect l="10149" t="60529" r="18961" b="10887"/>
                    <a:stretch>
                      <a:fillRect/>
                    </a:stretch>
                  </pic:blipFill>
                  <pic:spPr>
                    <a:xfrm>
                      <a:off x="0" y="0"/>
                      <a:ext cx="5034915" cy="3538855"/>
                    </a:xfrm>
                    <a:prstGeom prst="rect">
                      <a:avLst/>
                    </a:prstGeom>
                    <a:noFill/>
                    <a:ln w="9525">
                      <a:noFill/>
                      <a:miter lim="800000"/>
                      <a:headEnd/>
                      <a:tailEnd/>
                    </a:ln>
                  </pic:spPr>
                </pic:pic>
              </a:graphicData>
            </a:graphic>
          </wp:inline>
        </w:drawing>
      </w:r>
      <w:r>
        <w:rPr>
          <w:rFonts w:hint="eastAsia"/>
          <w:sz w:val="28"/>
          <w:szCs w:val="28"/>
        </w:rPr>
        <w:drawing>
          <wp:inline distT="0" distB="0" distL="0" distR="0">
            <wp:extent cx="5034915" cy="3420110"/>
            <wp:effectExtent l="19050" t="0" r="0" b="0"/>
            <wp:docPr id="36" name="图片 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5" descr="2"/>
                    <pic:cNvPicPr>
                      <a:picLocks noChangeAspect="1" noChangeArrowheads="1"/>
                    </pic:cNvPicPr>
                  </pic:nvPicPr>
                  <pic:blipFill>
                    <a:blip r:embed="rId9"/>
                    <a:srcRect l="10832" t="61224" r="18729" b="11391"/>
                    <a:stretch>
                      <a:fillRect/>
                    </a:stretch>
                  </pic:blipFill>
                  <pic:spPr>
                    <a:xfrm>
                      <a:off x="0" y="0"/>
                      <a:ext cx="5034915" cy="3420110"/>
                    </a:xfrm>
                    <a:prstGeom prst="rect">
                      <a:avLst/>
                    </a:prstGeom>
                    <a:noFill/>
                    <a:ln w="9525">
                      <a:noFill/>
                      <a:miter lim="800000"/>
                      <a:headEnd/>
                      <a:tailEnd/>
                    </a:ln>
                    <a:effectLst/>
                  </pic:spPr>
                </pic:pic>
              </a:graphicData>
            </a:graphic>
          </wp:inline>
        </w:drawing>
      </w:r>
    </w:p>
    <w:p>
      <w:pPr>
        <w:spacing w:before="163"/>
        <w:ind w:firstLine="480"/>
      </w:pPr>
    </w:p>
    <w:p>
      <w:pPr>
        <w:spacing w:before="163"/>
        <w:ind w:firstLine="480"/>
      </w:pPr>
    </w:p>
    <w:p>
      <w:pPr>
        <w:spacing w:before="163"/>
        <w:ind w:firstLine="480"/>
      </w:pPr>
    </w:p>
    <w:p>
      <w:pPr>
        <w:spacing w:before="163"/>
        <w:ind w:firstLine="480"/>
      </w:pPr>
    </w:p>
    <w:p>
      <w:pPr>
        <w:spacing w:before="163"/>
        <w:ind w:firstLine="480"/>
        <w:jc w:val="center"/>
        <w:rPr>
          <w:sz w:val="44"/>
          <w:szCs w:val="44"/>
        </w:rPr>
      </w:pPr>
      <w:r>
        <w:rPr>
          <w:rFonts w:hint="eastAsia"/>
          <w:sz w:val="44"/>
          <w:szCs w:val="44"/>
        </w:rPr>
        <w:t>三季度伊吾县污水处理厂自行监测信息</w:t>
      </w:r>
    </w:p>
    <w:p>
      <w:pP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2680"/>
            <wp:effectExtent l="19050" t="0" r="2540" b="0"/>
            <wp:docPr id="9" name="图片 4" descr="C:\Users\LENOVO\Documents\WeChat Files\wxid_2p8e5u5k7xdh51\FileStorage\Temp\825b2d67c6b45f62dc396285d9e6e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C:\Users\LENOVO\Documents\WeChat Files\wxid_2p8e5u5k7xdh51\FileStorage\Temp\825b2d67c6b45f62dc396285d9e6e61.jpg"/>
                    <pic:cNvPicPr>
                      <a:picLocks noChangeAspect="1" noChangeArrowheads="1"/>
                    </pic:cNvPicPr>
                  </pic:nvPicPr>
                  <pic:blipFill>
                    <a:blip r:embed="rId10"/>
                    <a:srcRect/>
                    <a:stretch>
                      <a:fillRect/>
                    </a:stretch>
                  </pic:blipFill>
                  <pic:spPr>
                    <a:xfrm>
                      <a:off x="0" y="0"/>
                      <a:ext cx="6188710" cy="8743110"/>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2680"/>
            <wp:effectExtent l="19050" t="0" r="2540" b="0"/>
            <wp:docPr id="10" name="图片 5" descr="C:\Users\LENOVO\Documents\WeChat Files\wxid_2p8e5u5k7xdh51\FileStorage\Temp\d39c3f616a6182fdb880d1eeea0bd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C:\Users\LENOVO\Documents\WeChat Files\wxid_2p8e5u5k7xdh51\FileStorage\Temp\d39c3f616a6182fdb880d1eeea0bdd2.jpg"/>
                    <pic:cNvPicPr>
                      <a:picLocks noChangeAspect="1" noChangeArrowheads="1"/>
                    </pic:cNvPicPr>
                  </pic:nvPicPr>
                  <pic:blipFill>
                    <a:blip r:embed="rId11"/>
                    <a:srcRect/>
                    <a:stretch>
                      <a:fillRect/>
                    </a:stretch>
                  </pic:blipFill>
                  <pic:spPr>
                    <a:xfrm>
                      <a:off x="0" y="0"/>
                      <a:ext cx="6188710" cy="8743110"/>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2680"/>
            <wp:effectExtent l="19050" t="0" r="2540" b="0"/>
            <wp:docPr id="11" name="图片 6" descr="C:\Users\LENOVO\Documents\WeChat Files\wxid_2p8e5u5k7xdh51\FileStorage\Temp\110c8724ee583094a74b6bbb186ac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C:\Users\LENOVO\Documents\WeChat Files\wxid_2p8e5u5k7xdh51\FileStorage\Temp\110c8724ee583094a74b6bbb186ac16.jpg"/>
                    <pic:cNvPicPr>
                      <a:picLocks noChangeAspect="1" noChangeArrowheads="1"/>
                    </pic:cNvPicPr>
                  </pic:nvPicPr>
                  <pic:blipFill>
                    <a:blip r:embed="rId12"/>
                    <a:srcRect/>
                    <a:stretch>
                      <a:fillRect/>
                    </a:stretch>
                  </pic:blipFill>
                  <pic:spPr>
                    <a:xfrm>
                      <a:off x="0" y="0"/>
                      <a:ext cx="6188710" cy="8743110"/>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2680"/>
            <wp:effectExtent l="19050" t="0" r="2540" b="0"/>
            <wp:docPr id="12" name="图片 7" descr="C:\Users\LENOVO\Documents\WeChat Files\wxid_2p8e5u5k7xdh51\FileStorage\Temp\c1d19d2d3cb217384c5ed99918c4d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C:\Users\LENOVO\Documents\WeChat Files\wxid_2p8e5u5k7xdh51\FileStorage\Temp\c1d19d2d3cb217384c5ed99918c4d71.jpg"/>
                    <pic:cNvPicPr>
                      <a:picLocks noChangeAspect="1" noChangeArrowheads="1"/>
                    </pic:cNvPicPr>
                  </pic:nvPicPr>
                  <pic:blipFill>
                    <a:blip r:embed="rId13"/>
                    <a:srcRect/>
                    <a:stretch>
                      <a:fillRect/>
                    </a:stretch>
                  </pic:blipFill>
                  <pic:spPr>
                    <a:xfrm>
                      <a:off x="0" y="0"/>
                      <a:ext cx="6188710" cy="8743110"/>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2680"/>
            <wp:effectExtent l="19050" t="0" r="2540" b="0"/>
            <wp:docPr id="13" name="图片 8" descr="C:\Users\LENOVO\Documents\WeChat Files\wxid_2p8e5u5k7xdh51\FileStorage\Temp\6f874c5810edb3c2df59963b7dcbf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C:\Users\LENOVO\Documents\WeChat Files\wxid_2p8e5u5k7xdh51\FileStorage\Temp\6f874c5810edb3c2df59963b7dcbff6.jpg"/>
                    <pic:cNvPicPr>
                      <a:picLocks noChangeAspect="1" noChangeArrowheads="1"/>
                    </pic:cNvPicPr>
                  </pic:nvPicPr>
                  <pic:blipFill>
                    <a:blip r:embed="rId14"/>
                    <a:srcRect/>
                    <a:stretch>
                      <a:fillRect/>
                    </a:stretch>
                  </pic:blipFill>
                  <pic:spPr>
                    <a:xfrm>
                      <a:off x="0" y="0"/>
                      <a:ext cx="6188710" cy="8743110"/>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14" name="图片 9" descr="C:\Users\LENOVO\Documents\WeChat Files\wxid_2p8e5u5k7xdh51\FileStorage\Temp\d66e51cf2a96aab7428e9d474a74c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C:\Users\LENOVO\Documents\WeChat Files\wxid_2p8e5u5k7xdh51\FileStorage\Temp\d66e51cf2a96aab7428e9d474a74c61.jpg"/>
                    <pic:cNvPicPr>
                      <a:picLocks noChangeAspect="1" noChangeArrowheads="1"/>
                    </pic:cNvPicPr>
                  </pic:nvPicPr>
                  <pic:blipFill>
                    <a:blip r:embed="rId15"/>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15" name="图片 10" descr="C:\Users\LENOVO\Documents\WeChat Files\wxid_2p8e5u5k7xdh51\FileStorage\Temp\01fccf36469abd8d3efa64d643c12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C:\Users\LENOVO\Documents\WeChat Files\wxid_2p8e5u5k7xdh51\FileStorage\Temp\01fccf36469abd8d3efa64d643c125b.jpg"/>
                    <pic:cNvPicPr>
                      <a:picLocks noChangeAspect="1" noChangeArrowheads="1"/>
                    </pic:cNvPicPr>
                  </pic:nvPicPr>
                  <pic:blipFill>
                    <a:blip r:embed="rId16"/>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16" name="图片 11" descr="C:\Users\LENOVO\Documents\WeChat Files\wxid_2p8e5u5k7xdh51\FileStorage\Temp\1a04865c8200451d87c27282f51d6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C:\Users\LENOVO\Documents\WeChat Files\wxid_2p8e5u5k7xdh51\FileStorage\Temp\1a04865c8200451d87c27282f51d68a.jpg"/>
                    <pic:cNvPicPr>
                      <a:picLocks noChangeAspect="1" noChangeArrowheads="1"/>
                    </pic:cNvPicPr>
                  </pic:nvPicPr>
                  <pic:blipFill>
                    <a:blip r:embed="rId17"/>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17" name="图片 12" descr="C:\Users\LENOVO\Documents\WeChat Files\wxid_2p8e5u5k7xdh51\FileStorage\Temp\62b83ec29eeff20598c14715df7ff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C:\Users\LENOVO\Documents\WeChat Files\wxid_2p8e5u5k7xdh51\FileStorage\Temp\62b83ec29eeff20598c14715df7ff96.jpg"/>
                    <pic:cNvPicPr>
                      <a:picLocks noChangeAspect="1" noChangeArrowheads="1"/>
                    </pic:cNvPicPr>
                  </pic:nvPicPr>
                  <pic:blipFill>
                    <a:blip r:embed="rId18"/>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18" name="图片 13" descr="C:\Users\LENOVO\Documents\WeChat Files\wxid_2p8e5u5k7xdh51\FileStorage\Temp\4af0e93a117027a8a95a096cefe3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C:\Users\LENOVO\Documents\WeChat Files\wxid_2p8e5u5k7xdh51\FileStorage\Temp\4af0e93a117027a8a95a096cefe3806.jpg"/>
                    <pic:cNvPicPr>
                      <a:picLocks noChangeAspect="1" noChangeArrowheads="1"/>
                    </pic:cNvPicPr>
                  </pic:nvPicPr>
                  <pic:blipFill>
                    <a:blip r:embed="rId19"/>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19" name="图片 14" descr="C:\Users\LENOVO\Documents\WeChat Files\wxid_2p8e5u5k7xdh51\FileStorage\Temp\18a08dcb8903b070d31e59aefc395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descr="C:\Users\LENOVO\Documents\WeChat Files\wxid_2p8e5u5k7xdh51\FileStorage\Temp\18a08dcb8903b070d31e59aefc395ad.jpg"/>
                    <pic:cNvPicPr>
                      <a:picLocks noChangeAspect="1" noChangeArrowheads="1"/>
                    </pic:cNvPicPr>
                  </pic:nvPicPr>
                  <pic:blipFill>
                    <a:blip r:embed="rId20"/>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0" name="图片 15" descr="C:\Users\LENOVO\Documents\WeChat Files\wxid_2p8e5u5k7xdh51\FileStorage\Temp\4578ce9c628ce85ef3dc1784fcb5f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C:\Users\LENOVO\Documents\WeChat Files\wxid_2p8e5u5k7xdh51\FileStorage\Temp\4578ce9c628ce85ef3dc1784fcb5f56.jpg"/>
                    <pic:cNvPicPr>
                      <a:picLocks noChangeAspect="1" noChangeArrowheads="1"/>
                    </pic:cNvPicPr>
                  </pic:nvPicPr>
                  <pic:blipFill>
                    <a:blip r:embed="rId21"/>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1" name="图片 16" descr="C:\Users\LENOVO\Documents\WeChat Files\wxid_2p8e5u5k7xdh51\FileStorage\Temp\823a3533a7d6427755140bb01e49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descr="C:\Users\LENOVO\Documents\WeChat Files\wxid_2p8e5u5k7xdh51\FileStorage\Temp\823a3533a7d6427755140bb01e49973.jpg"/>
                    <pic:cNvPicPr>
                      <a:picLocks noChangeAspect="1" noChangeArrowheads="1"/>
                    </pic:cNvPicPr>
                  </pic:nvPicPr>
                  <pic:blipFill>
                    <a:blip r:embed="rId22"/>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2" name="图片 17" descr="C:\Users\LENOVO\Documents\WeChat Files\wxid_2p8e5u5k7xdh51\FileStorage\Temp\118f7f79af2fef62267dfea71d09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descr="C:\Users\LENOVO\Documents\WeChat Files\wxid_2p8e5u5k7xdh51\FileStorage\Temp\118f7f79af2fef62267dfea71d09539.jpg"/>
                    <pic:cNvPicPr>
                      <a:picLocks noChangeAspect="1" noChangeArrowheads="1"/>
                    </pic:cNvPicPr>
                  </pic:nvPicPr>
                  <pic:blipFill>
                    <a:blip r:embed="rId23"/>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3" name="图片 18" descr="C:\Users\LENOVO\Documents\WeChat Files\wxid_2p8e5u5k7xdh51\FileStorage\Temp\58a2e03b6e4c4463544c605df3cd6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descr="C:\Users\LENOVO\Documents\WeChat Files\wxid_2p8e5u5k7xdh51\FileStorage\Temp\58a2e03b6e4c4463544c605df3cd6b8.jpg"/>
                    <pic:cNvPicPr>
                      <a:picLocks noChangeAspect="1" noChangeArrowheads="1"/>
                    </pic:cNvPicPr>
                  </pic:nvPicPr>
                  <pic:blipFill>
                    <a:blip r:embed="rId22"/>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4" name="图片 19" descr="C:\Users\LENOVO\Documents\WeChat Files\wxid_2p8e5u5k7xdh51\FileStorage\Temp\883a0a1064965406cdd06f3d2d91b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descr="C:\Users\LENOVO\Documents\WeChat Files\wxid_2p8e5u5k7xdh51\FileStorage\Temp\883a0a1064965406cdd06f3d2d91b6d.jpg"/>
                    <pic:cNvPicPr>
                      <a:picLocks noChangeAspect="1" noChangeArrowheads="1"/>
                    </pic:cNvPicPr>
                  </pic:nvPicPr>
                  <pic:blipFill>
                    <a:blip r:embed="rId24"/>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5" name="图片 20" descr="C:\Users\LENOVO\Documents\WeChat Files\wxid_2p8e5u5k7xdh51\FileStorage\Temp\c48a35c1d4c9ba6caf378102f5cc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C:\Users\LENOVO\Documents\WeChat Files\wxid_2p8e5u5k7xdh51\FileStorage\Temp\c48a35c1d4c9ba6caf378102f5cc415.jpg"/>
                    <pic:cNvPicPr>
                      <a:picLocks noChangeAspect="1" noChangeArrowheads="1"/>
                    </pic:cNvPicPr>
                  </pic:nvPicPr>
                  <pic:blipFill>
                    <a:blip r:embed="rId25"/>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6" name="图片 21" descr="C:\Users\LENOVO\Documents\WeChat Files\wxid_2p8e5u5k7xdh51\FileStorage\Temp\4b53f30a579bbe7b11ce6f5ae4e44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C:\Users\LENOVO\Documents\WeChat Files\wxid_2p8e5u5k7xdh51\FileStorage\Temp\4b53f30a579bbe7b11ce6f5ae4e445c.jpg"/>
                    <pic:cNvPicPr>
                      <a:picLocks noChangeAspect="1" noChangeArrowheads="1"/>
                    </pic:cNvPicPr>
                  </pic:nvPicPr>
                  <pic:blipFill>
                    <a:blip r:embed="rId26"/>
                    <a:srcRect/>
                    <a:stretch>
                      <a:fillRect/>
                    </a:stretch>
                  </pic:blipFill>
                  <pic:spPr>
                    <a:xfrm>
                      <a:off x="0" y="0"/>
                      <a:ext cx="6188710" cy="8742039"/>
                    </a:xfrm>
                    <a:prstGeom prst="rect">
                      <a:avLst/>
                    </a:prstGeom>
                    <a:noFill/>
                    <a:ln w="9525">
                      <a:noFill/>
                      <a:miter lim="800000"/>
                      <a:headEnd/>
                      <a:tailEnd/>
                    </a:ln>
                  </pic:spPr>
                </pic:pic>
              </a:graphicData>
            </a:graphic>
          </wp:inline>
        </w:drawing>
      </w:r>
    </w:p>
    <w:p>
      <w:pPr>
        <w:jc w:val="center"/>
        <w:rPr>
          <w:rFonts w:ascii="仿宋" w:hAnsi="仿宋" w:eastAsia="仿宋" w:cs="仿宋"/>
          <w:b/>
          <w:bCs/>
          <w:sz w:val="32"/>
          <w:szCs w:val="32"/>
        </w:rPr>
      </w:pPr>
      <w:r>
        <w:rPr>
          <w:rFonts w:ascii="仿宋" w:hAnsi="仿宋" w:eastAsia="仿宋" w:cs="仿宋"/>
          <w:b/>
          <w:bCs/>
          <w:sz w:val="32"/>
          <w:szCs w:val="32"/>
        </w:rPr>
        <w:drawing>
          <wp:inline distT="0" distB="0" distL="0" distR="0">
            <wp:extent cx="6188710" cy="8741410"/>
            <wp:effectExtent l="19050" t="0" r="2540" b="0"/>
            <wp:docPr id="27" name="图片 22" descr="C:\Users\LENOVO\Documents\WeChat Files\wxid_2p8e5u5k7xdh51\FileStorage\Temp\87ee09c9e87f53d9e0caa53ef7dd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2" descr="C:\Users\LENOVO\Documents\WeChat Files\wxid_2p8e5u5k7xdh51\FileStorage\Temp\87ee09c9e87f53d9e0caa53ef7dd70e.jpg"/>
                    <pic:cNvPicPr>
                      <a:picLocks noChangeAspect="1" noChangeArrowheads="1"/>
                    </pic:cNvPicPr>
                  </pic:nvPicPr>
                  <pic:blipFill>
                    <a:blip r:embed="rId27"/>
                    <a:srcRect/>
                    <a:stretch>
                      <a:fillRect/>
                    </a:stretch>
                  </pic:blipFill>
                  <pic:spPr>
                    <a:xfrm>
                      <a:off x="0" y="0"/>
                      <a:ext cx="6188710" cy="8742039"/>
                    </a:xfrm>
                    <a:prstGeom prst="rect">
                      <a:avLst/>
                    </a:prstGeom>
                    <a:noFill/>
                    <a:ln w="9525">
                      <a:noFill/>
                      <a:miter lim="800000"/>
                      <a:headEnd/>
                      <a:tailEnd/>
                    </a:ln>
                  </pic:spPr>
                </pic:pic>
              </a:graphicData>
            </a:graphic>
          </wp:inline>
        </w:drawing>
      </w:r>
    </w:p>
    <w:tbl>
      <w:tblPr>
        <w:tblStyle w:val="6"/>
        <w:tblW w:w="8400" w:type="dxa"/>
        <w:tblInd w:w="93" w:type="dxa"/>
        <w:tblLayout w:type="fixed"/>
        <w:tblCellMar>
          <w:top w:w="0" w:type="dxa"/>
          <w:left w:w="108" w:type="dxa"/>
          <w:bottom w:w="0" w:type="dxa"/>
          <w:right w:w="108" w:type="dxa"/>
        </w:tblCellMar>
      </w:tblPr>
      <w:tblGrid>
        <w:gridCol w:w="1400"/>
        <w:gridCol w:w="1400"/>
        <w:gridCol w:w="1400"/>
        <w:gridCol w:w="1400"/>
        <w:gridCol w:w="1400"/>
        <w:gridCol w:w="1400"/>
      </w:tblGrid>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废水排放连续监测日均值月报表</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排放口名称： 伊吾县污水处理厂污水总排口</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排放口代码： 652200000132002             2023年7月</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时间</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COD</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氨氮</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总氮</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总磷</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污水流量</w:t>
            </w:r>
          </w:p>
        </w:tc>
      </w:tr>
      <w:tr>
        <w:tblPrEx>
          <w:tblCellMar>
            <w:top w:w="0" w:type="dxa"/>
            <w:left w:w="108" w:type="dxa"/>
            <w:bottom w:w="0" w:type="dxa"/>
            <w:right w:w="108" w:type="dxa"/>
          </w:tblCellMar>
        </w:tblPrEx>
        <w:trPr>
          <w:trHeight w:val="30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浓度</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浓度</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浓度</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浓度</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r>
      <w:tr>
        <w:tblPrEx>
          <w:tblCellMar>
            <w:top w:w="0" w:type="dxa"/>
            <w:left w:w="108" w:type="dxa"/>
            <w:bottom w:w="0" w:type="dxa"/>
            <w:right w:w="108" w:type="dxa"/>
          </w:tblCellMar>
        </w:tblPrEx>
        <w:trPr>
          <w:trHeight w:val="30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mg/L</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mg/L</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mg/L</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mg/L</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吨</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12.023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586.127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45.458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10.804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589.307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49.626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10.048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587.562</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23.243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9.015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584.526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23.118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0.075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9.082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601.39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21.322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7.717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656.822</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19.184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9.203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653.907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20.184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0.395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10.544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660.883</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22.326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0.428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9.72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630.044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21.989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924.401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25.467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6.409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560.097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24.429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6.367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590.218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21.259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7.417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524.328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18.847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8.477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524.776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19.917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0.076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7.909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828.095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25.671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1.074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8.482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681.385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24.341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9.948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495.114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24.548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10.828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506.749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2023/7/19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20.777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12.652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486.066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16.986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12.577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527.951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19.779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12.22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486.627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22.468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0.103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11.636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512.425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23.972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11.434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527.351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27.134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10.725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627.857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21.364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11.315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653.407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22.995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11.13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629.376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19.976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0.225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9.443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737.735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7.547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736.917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2023/7/29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13.393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6.863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794.118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2023/7/30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13.371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9.174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794.866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2023/7/31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15.296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11.207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813.11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平均值</w:t>
            </w:r>
          </w:p>
        </w:tc>
        <w:tc>
          <w:tcPr>
            <w:tcW w:w="14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22.1250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0.2040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9.7200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0.1370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629.4600 </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最大值</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49.626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1.074</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12.652</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924.401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最小值</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0.12</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0.005</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6.367</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0.12</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486.066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排放量</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0.418t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0.004t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0.187t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0.002t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19513.54t</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废水排放连续监测日均值月报表</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排放口名称： 伊吾县污水处理厂污水总排口</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排放口代码： 652200000132002             2023年8月</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时间</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COD</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氨氮</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总氮</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总磷</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污水流量</w:t>
            </w:r>
          </w:p>
        </w:tc>
      </w:tr>
      <w:tr>
        <w:tblPrEx>
          <w:tblCellMar>
            <w:top w:w="0" w:type="dxa"/>
            <w:left w:w="108" w:type="dxa"/>
            <w:bottom w:w="0" w:type="dxa"/>
            <w:right w:w="108" w:type="dxa"/>
          </w:tblCellMar>
        </w:tblPrEx>
        <w:trPr>
          <w:trHeight w:val="30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浓度</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浓度</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浓度</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浓度</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r>
      <w:tr>
        <w:tblPrEx>
          <w:tblCellMar>
            <w:top w:w="0" w:type="dxa"/>
            <w:left w:w="108" w:type="dxa"/>
            <w:bottom w:w="0" w:type="dxa"/>
            <w:right w:w="108" w:type="dxa"/>
          </w:tblCellMar>
        </w:tblPrEx>
        <w:trPr>
          <w:trHeight w:val="30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mg/L</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mg/L</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mg/L</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mg/L</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吨</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16.107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0.357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12.296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796.973</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20.008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11.395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804.305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19.307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0.065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11.688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808.274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18.513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11.291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0.127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824.024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18.138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0.006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10.938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820.839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17.489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0.018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10.849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776.557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18.719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8.214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879.212</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18.717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8.723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894.151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18.502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0.796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8.831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860.114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19.816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0.433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8.369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823.254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19.436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0.027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9.37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918.581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0.118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977.943</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17.616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9.952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914.444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17.233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9.797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1014.537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16.972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11.077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1060.986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17.06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11.774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1030.675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16.871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12.167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1027.221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18.069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10.994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1040.778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2023/8/19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16.434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10.545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1051.095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14.54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11.303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1055.481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13.373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12.225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1095.789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15.744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12.12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1168.798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21.663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0.832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8.919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1160.838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17.801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10.703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1143.762</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18.472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0.481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10.866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1175.559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18.638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0.635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10.233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1153.361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17.037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0.176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9.683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0.172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1156.079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16.174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9.628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1158.53</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2023/8/29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16.213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11.103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0.172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1161.968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2023/8/30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17.108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1163.267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2023/8/31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17.119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0.288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11.568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1169.894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平均值</w:t>
            </w:r>
          </w:p>
        </w:tc>
        <w:tc>
          <w:tcPr>
            <w:tcW w:w="14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17.6300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0.2390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10.6160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0.1530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1002.8160 </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最大值</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21.663</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0.832</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12.296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0.197</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1175.559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最小值</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13.373</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8.214</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0.127</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776.557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排放量</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0.545t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0.007t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0.327t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0.004t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31087.29t</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废水排放连续监测日均值月报表</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排放口名称： 伊吾县污水处理厂污水总排口</w:t>
            </w:r>
          </w:p>
        </w:tc>
      </w:tr>
      <w:tr>
        <w:tblPrEx>
          <w:tblCellMar>
            <w:top w:w="0" w:type="dxa"/>
            <w:left w:w="108" w:type="dxa"/>
            <w:bottom w:w="0" w:type="dxa"/>
            <w:right w:w="108" w:type="dxa"/>
          </w:tblCellMar>
        </w:tblPrEx>
        <w:trPr>
          <w:trHeight w:val="270" w:hRule="atLeast"/>
        </w:trPr>
        <w:tc>
          <w:tcPr>
            <w:tcW w:w="840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排放口代码： 652200000132002             2023年9月</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时间</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COD</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氨氮</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总氮</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总磷</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污水流量</w:t>
            </w:r>
          </w:p>
        </w:tc>
      </w:tr>
      <w:tr>
        <w:tblPrEx>
          <w:tblCellMar>
            <w:top w:w="0" w:type="dxa"/>
            <w:left w:w="108" w:type="dxa"/>
            <w:bottom w:w="0" w:type="dxa"/>
            <w:right w:w="108" w:type="dxa"/>
          </w:tblCellMar>
        </w:tblPrEx>
        <w:trPr>
          <w:trHeight w:val="30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浓度</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浓度</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浓度</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浓度</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r>
      <w:tr>
        <w:tblPrEx>
          <w:tblCellMar>
            <w:top w:w="0" w:type="dxa"/>
            <w:left w:w="108" w:type="dxa"/>
            <w:bottom w:w="0" w:type="dxa"/>
            <w:right w:w="108" w:type="dxa"/>
          </w:tblCellMar>
        </w:tblPrEx>
        <w:trPr>
          <w:trHeight w:val="30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mg/L</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mg/L</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mg/L</w:t>
            </w:r>
          </w:p>
        </w:tc>
        <w:tc>
          <w:tcPr>
            <w:tcW w:w="1400" w:type="dxa"/>
            <w:tcBorders>
              <w:top w:val="nil"/>
              <w:left w:val="nil"/>
              <w:bottom w:val="single" w:color="auto" w:sz="4" w:space="0"/>
              <w:right w:val="single" w:color="auto" w:sz="4" w:space="0"/>
            </w:tcBorders>
            <w:shd w:val="clear" w:color="000000" w:fill="FFFFFF"/>
            <w:vAlign w:val="center"/>
          </w:tcPr>
          <w:p>
            <w:pPr>
              <w:widowControl/>
              <w:jc w:val="center"/>
              <w:rPr>
                <w:rFonts w:ascii="Arial Unicode MS" w:hAnsi="Arial Unicode MS" w:eastAsia="Arial Unicode MS" w:cs="Arial Unicode MS"/>
                <w:b/>
                <w:bCs/>
                <w:color w:val="000000"/>
                <w:kern w:val="0"/>
                <w:sz w:val="20"/>
                <w:szCs w:val="20"/>
              </w:rPr>
            </w:pPr>
            <w:r>
              <w:rPr>
                <w:rFonts w:hint="eastAsia" w:ascii="Arial Unicode MS" w:hAnsi="Arial Unicode MS" w:eastAsia="Arial Unicode MS" w:cs="Arial Unicode MS"/>
                <w:b/>
                <w:bCs/>
                <w:color w:val="000000"/>
                <w:kern w:val="0"/>
                <w:sz w:val="20"/>
                <w:szCs w:val="20"/>
              </w:rPr>
              <w:t>mg/L</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吨</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18.052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0.398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10.601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1157.312</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16.284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10.115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1228.008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17.152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9.363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1322.874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18.163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0.303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8.484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1304.969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20.363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0.735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8.463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1137.778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17.151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1252.656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21.109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0.089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9.805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0.223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1655.355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18.375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10.064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1301.355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14.389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0.241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11.09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1313.043</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14.229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10.054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1314.456</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15.284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10.325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1246.674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14.24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12.405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1285.165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16.75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12.504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1332.632</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19.79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0.696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12.054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1277.395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19.157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10.659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0.175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1298.654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18.219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12.539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1275.645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17.839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12.063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1240.309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18.207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0.199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7.216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1294.379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2023/9/19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16.554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10.379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1311.887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18.54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0.286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10.874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1092.747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2023/9/21</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16.818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11.582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0.175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1211.961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2023/9/22</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19.474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0.363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12.161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1187.64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2023/9/23</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19.156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0.046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12.691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1143.215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2023/9/24</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17.431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0.057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0.173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1212.689</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2023/9/25</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18.049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10.63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1236.125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2023/9/26</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10.741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1197.521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2023/9/27</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19.622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0.219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10.951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1166.228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2023/9/28</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18.226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0.209</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12.245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0.152</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1184.741</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2023/9/29</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22.196</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0.183</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12.207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0.145</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1180.568</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vAlign w:val="center"/>
          </w:tcPr>
          <w:p>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2023/9/30</w:t>
            </w:r>
          </w:p>
        </w:tc>
        <w:tc>
          <w:tcPr>
            <w:tcW w:w="140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18.924</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0.167</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11.301</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0.138</w:t>
            </w:r>
          </w:p>
        </w:tc>
        <w:tc>
          <w:tcPr>
            <w:tcW w:w="14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1169.664</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nil"/>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平均值</w:t>
            </w:r>
          </w:p>
        </w:tc>
        <w:tc>
          <w:tcPr>
            <w:tcW w:w="14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18.0000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0.2300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10.8700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0.1770 </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xml:space="preserve">1251.1000 </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最大值</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22.196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0.735</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12.691</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0.223</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1655.355</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最小值</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14.229</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0.046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7.216</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0.138</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1092.747</w:t>
            </w:r>
          </w:p>
        </w:tc>
      </w:tr>
      <w:tr>
        <w:tblPrEx>
          <w:tblCellMar>
            <w:top w:w="0" w:type="dxa"/>
            <w:left w:w="108" w:type="dxa"/>
            <w:bottom w:w="0" w:type="dxa"/>
            <w:right w:w="108" w:type="dxa"/>
          </w:tblCellMar>
        </w:tblPrEx>
        <w:trPr>
          <w:trHeight w:val="270" w:hRule="atLeast"/>
        </w:trPr>
        <w:tc>
          <w:tcPr>
            <w:tcW w:w="14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color w:val="FF0000"/>
                <w:kern w:val="0"/>
                <w:sz w:val="22"/>
                <w:szCs w:val="22"/>
              </w:rPr>
            </w:pPr>
            <w:r>
              <w:rPr>
                <w:rFonts w:hint="eastAsia" w:ascii="宋体" w:hAnsi="宋体" w:eastAsia="宋体" w:cs="宋体"/>
                <w:b/>
                <w:bCs/>
                <w:color w:val="FF0000"/>
                <w:kern w:val="0"/>
                <w:sz w:val="22"/>
                <w:szCs w:val="22"/>
              </w:rPr>
              <w:t>排放量</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0.672t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0.008t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0.393t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0.006t</w:t>
            </w:r>
          </w:p>
        </w:tc>
        <w:tc>
          <w:tcPr>
            <w:tcW w:w="14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37533.65t</w:t>
            </w:r>
          </w:p>
        </w:tc>
      </w:tr>
    </w:tbl>
    <w:p>
      <w:pPr>
        <w:jc w:val="center"/>
        <w:rPr>
          <w:b/>
          <w:bCs/>
          <w:sz w:val="44"/>
          <w:szCs w:val="44"/>
        </w:rPr>
      </w:pPr>
      <w:r>
        <w:rPr>
          <w:rFonts w:hint="eastAsia"/>
          <w:b/>
          <w:bCs/>
          <w:sz w:val="44"/>
          <w:szCs w:val="44"/>
        </w:rPr>
        <w:t>伊吾县城污水处理厂第三季度工作总结</w:t>
      </w:r>
    </w:p>
    <w:p>
      <w:pPr>
        <w:ind w:firstLine="640" w:firstLineChars="200"/>
        <w:rPr>
          <w:sz w:val="32"/>
          <w:szCs w:val="32"/>
        </w:rPr>
      </w:pPr>
      <w:r>
        <w:rPr>
          <w:rFonts w:hint="eastAsia"/>
          <w:sz w:val="32"/>
          <w:szCs w:val="32"/>
        </w:rPr>
        <w:t>伊吾县城污水处理厂位于县城陵园路处，总占地面积2500平方米，污水管网建设在现有镇区，设计生产规模污水处理能力1000m³/d，采用“初沉池+水解酸化池+接触氧化池+斜管沉淀池”工艺，排放标准为：《城镇污水处理厂污染物排放标准》（GB18918-2002）中一级A标准。</w:t>
      </w:r>
    </w:p>
    <w:p>
      <w:pPr>
        <w:ind w:firstLine="640" w:firstLineChars="200"/>
        <w:rPr>
          <w:sz w:val="32"/>
          <w:szCs w:val="32"/>
        </w:rPr>
      </w:pPr>
      <w:r>
        <w:rPr>
          <w:rFonts w:hint="eastAsia"/>
          <w:sz w:val="32"/>
          <w:szCs w:val="32"/>
        </w:rPr>
        <w:t>2023年第三季度我厂处理生活污水8.8万m³，共产生脱水污泥（60%）近24吨，脱水污泥随即拉运至伊吾县生活垃圾填埋场进行填埋处理，确保污染物达标排放和合理处置。现将第三季度运行情况做一总结：</w:t>
      </w:r>
    </w:p>
    <w:p>
      <w:pPr>
        <w:rPr>
          <w:sz w:val="32"/>
          <w:szCs w:val="32"/>
        </w:rPr>
      </w:pPr>
      <w:r>
        <w:rPr>
          <w:rFonts w:hint="eastAsia"/>
          <w:sz w:val="32"/>
          <w:szCs w:val="32"/>
        </w:rPr>
        <w:t>一、运行情况</w:t>
      </w:r>
    </w:p>
    <w:p>
      <w:pPr>
        <w:ind w:firstLine="640"/>
        <w:rPr>
          <w:sz w:val="32"/>
          <w:szCs w:val="32"/>
        </w:rPr>
      </w:pPr>
      <w:r>
        <w:rPr>
          <w:rFonts w:hint="eastAsia"/>
          <w:sz w:val="32"/>
          <w:szCs w:val="32"/>
        </w:rPr>
        <w:t>1、生产情况：三季度共处理污水8.8万m³，平均日处理量为961.1m³左右，化学需氧量日均值为19.25mg/L，氨氮日均值为0.22mg/L，总磷日均值为0.15mg/L，总氮日均值为10.4mg/L，各项水质监测数据均达到一级A排放标准。</w:t>
      </w:r>
    </w:p>
    <w:p>
      <w:pPr>
        <w:ind w:firstLine="640"/>
        <w:rPr>
          <w:sz w:val="32"/>
          <w:szCs w:val="32"/>
        </w:rPr>
      </w:pPr>
      <w:r>
        <w:rPr>
          <w:rFonts w:hint="eastAsia"/>
          <w:sz w:val="32"/>
          <w:szCs w:val="32"/>
        </w:rPr>
        <w:t>2、水质监测运行情况：伊吾县污水处理厂进、出口采用的在线自动监测设备氨氮、COD均为中科天融水质在线监测设备，总磷、总氮为中科聚阳科技水质在线监测设备，委托北京中节能天融环保科技有限公司进行日常设备运维。同时进行每月一次的在线自动监测设备比对工作，委托第三方单位实行每月一次的自行监测工作，其监测设备比对和自行监测均反映出口水质达标排放。</w:t>
      </w:r>
    </w:p>
    <w:p>
      <w:pPr>
        <w:ind w:firstLine="640"/>
        <w:rPr>
          <w:sz w:val="32"/>
          <w:szCs w:val="32"/>
        </w:rPr>
      </w:pPr>
      <w:r>
        <w:rPr>
          <w:rFonts w:hint="eastAsia"/>
          <w:sz w:val="32"/>
          <w:szCs w:val="32"/>
        </w:rPr>
        <w:t>3、药剂消耗及能耗消耗情况：</w:t>
      </w:r>
    </w:p>
    <w:p>
      <w:pPr>
        <w:ind w:firstLine="640"/>
        <w:rPr>
          <w:sz w:val="32"/>
          <w:szCs w:val="32"/>
        </w:rPr>
      </w:pPr>
      <w:r>
        <w:rPr>
          <w:rFonts w:hint="eastAsia"/>
          <w:sz w:val="32"/>
          <w:szCs w:val="32"/>
        </w:rPr>
        <w:t>2023年第三季度共消耗聚合氯化铝14.6吨、阴离子聚丙烯酰胺2.55吨、用于脱泥使用的阳离子聚丙烯酰胺1.2吨，目前我厂各类药剂储备充足，满足运行消耗。</w:t>
      </w:r>
    </w:p>
    <w:p>
      <w:pPr>
        <w:ind w:firstLine="640"/>
        <w:rPr>
          <w:sz w:val="32"/>
          <w:szCs w:val="32"/>
        </w:rPr>
      </w:pPr>
      <w:r>
        <w:rPr>
          <w:rFonts w:hint="eastAsia"/>
          <w:sz w:val="32"/>
          <w:szCs w:val="32"/>
        </w:rPr>
        <w:t>伊吾县污水处理厂2023年第三季度总计用电17.68万KW/h。</w:t>
      </w:r>
    </w:p>
    <w:p>
      <w:pPr>
        <w:ind w:firstLine="640"/>
        <w:rPr>
          <w:sz w:val="32"/>
          <w:szCs w:val="32"/>
        </w:rPr>
      </w:pPr>
      <w:r>
        <w:rPr>
          <w:rFonts w:hint="eastAsia"/>
          <w:sz w:val="32"/>
          <w:szCs w:val="32"/>
        </w:rPr>
        <w:t>脱泥及外运情况：</w:t>
      </w:r>
    </w:p>
    <w:p>
      <w:pPr>
        <w:ind w:firstLine="640"/>
        <w:rPr>
          <w:sz w:val="32"/>
          <w:szCs w:val="32"/>
        </w:rPr>
      </w:pPr>
      <w:r>
        <w:rPr>
          <w:rFonts w:hint="eastAsia"/>
          <w:sz w:val="32"/>
          <w:szCs w:val="32"/>
        </w:rPr>
        <w:t>2023年第三季度我厂共生产含水率60%的脱水污泥近24吨，均专人专车外运至伊吾县垃圾场进行填埋，避免二次污染。</w:t>
      </w:r>
    </w:p>
    <w:p>
      <w:pPr>
        <w:numPr>
          <w:ilvl w:val="0"/>
          <w:numId w:val="5"/>
        </w:numPr>
        <w:ind w:firstLine="640"/>
        <w:rPr>
          <w:sz w:val="32"/>
          <w:szCs w:val="32"/>
        </w:rPr>
      </w:pPr>
      <w:r>
        <w:rPr>
          <w:rFonts w:hint="eastAsia"/>
          <w:sz w:val="32"/>
          <w:szCs w:val="32"/>
        </w:rPr>
        <w:t>突发事故应急情况：伊吾县污水处理厂第三季度未发生突发情况，未造成环境污染问题。</w:t>
      </w:r>
    </w:p>
    <w:p>
      <w:pPr>
        <w:numPr>
          <w:ilvl w:val="0"/>
          <w:numId w:val="5"/>
        </w:numPr>
        <w:ind w:firstLine="640"/>
        <w:rPr>
          <w:sz w:val="32"/>
          <w:szCs w:val="32"/>
        </w:rPr>
      </w:pPr>
      <w:r>
        <w:rPr>
          <w:rFonts w:hint="eastAsia"/>
          <w:sz w:val="32"/>
          <w:szCs w:val="32"/>
        </w:rPr>
        <w:t>污水处理厂彻底检修设备情况</w:t>
      </w:r>
    </w:p>
    <w:p>
      <w:pPr>
        <w:ind w:firstLine="540"/>
        <w:rPr>
          <w:sz w:val="32"/>
          <w:szCs w:val="32"/>
        </w:rPr>
      </w:pPr>
      <w:r>
        <w:rPr>
          <w:rFonts w:hint="eastAsia"/>
          <w:sz w:val="32"/>
          <w:szCs w:val="32"/>
        </w:rPr>
        <w:t>第一起检修事件为：8月份对调节池前检查井、分水口、调节池垃圾进行打捞，并在分水口处安装浮球液位开关及新增提升水泵，提高污水收集与提升能力。</w:t>
      </w:r>
      <w:r>
        <w:rPr>
          <w:sz w:val="32"/>
          <w:szCs w:val="32"/>
        </w:rPr>
        <w:t xml:space="preserve"> </w:t>
      </w:r>
    </w:p>
    <w:p>
      <w:pPr>
        <w:ind w:firstLine="640" w:firstLineChars="200"/>
        <w:rPr>
          <w:sz w:val="32"/>
          <w:szCs w:val="32"/>
        </w:rPr>
      </w:pPr>
      <w:r>
        <w:rPr>
          <w:rFonts w:hint="eastAsia"/>
          <w:sz w:val="32"/>
          <w:szCs w:val="32"/>
        </w:rPr>
        <w:t>现存在问题及解决情况</w:t>
      </w:r>
    </w:p>
    <w:p>
      <w:pPr>
        <w:ind w:firstLine="640" w:firstLineChars="200"/>
        <w:rPr>
          <w:sz w:val="32"/>
          <w:szCs w:val="32"/>
        </w:rPr>
      </w:pPr>
      <w:r>
        <w:rPr>
          <w:rFonts w:hint="eastAsia"/>
          <w:sz w:val="32"/>
          <w:szCs w:val="32"/>
        </w:rPr>
        <w:t>1、监测设备药剂及易损件供应问题：因我厂采用的是进口在线监测设备，其药剂及易损件需向设备方进行购买，采购条件单一，同时个别药剂属高危化学药剂运输方面比较困难，现正在督促监测设备运维单位及时采购，避免因药剂或易损件短缺导致无法进行水质时时监测。</w:t>
      </w:r>
    </w:p>
    <w:p>
      <w:pPr>
        <w:ind w:firstLine="640" w:firstLineChars="200"/>
        <w:rPr>
          <w:sz w:val="32"/>
          <w:szCs w:val="32"/>
        </w:rPr>
      </w:pPr>
      <w:r>
        <w:rPr>
          <w:rFonts w:hint="eastAsia"/>
          <w:sz w:val="32"/>
          <w:szCs w:val="32"/>
        </w:rPr>
        <w:t>2、污水处理系统设备维护保养问题：为避免因设备故障导致污水处理超标排放事故的发生，我运营方已对易损设备或配件进行采购备用。</w:t>
      </w:r>
    </w:p>
    <w:p>
      <w:pPr>
        <w:rPr>
          <w:sz w:val="32"/>
          <w:szCs w:val="32"/>
        </w:rPr>
      </w:pPr>
      <w:r>
        <w:rPr>
          <w:rFonts w:hint="eastAsia"/>
          <w:sz w:val="32"/>
          <w:szCs w:val="32"/>
        </w:rPr>
        <w:t>三、下一季度工作计划</w:t>
      </w:r>
    </w:p>
    <w:p>
      <w:pPr>
        <w:ind w:firstLine="640"/>
        <w:rPr>
          <w:sz w:val="32"/>
          <w:szCs w:val="32"/>
        </w:rPr>
      </w:pPr>
      <w:r>
        <w:rPr>
          <w:rFonts w:hint="eastAsia"/>
          <w:sz w:val="32"/>
          <w:szCs w:val="32"/>
        </w:rPr>
        <w:t>1、加强工作人员的作业素质，确保人员紧缺时的生产运行。</w:t>
      </w:r>
    </w:p>
    <w:p>
      <w:pPr>
        <w:ind w:firstLine="640"/>
        <w:rPr>
          <w:sz w:val="32"/>
          <w:szCs w:val="32"/>
        </w:rPr>
      </w:pPr>
      <w:r>
        <w:rPr>
          <w:rFonts w:hint="eastAsia"/>
          <w:sz w:val="32"/>
          <w:szCs w:val="32"/>
        </w:rPr>
        <w:t>2、对水处理药剂和脱泥药剂进行储备，确保污水处理运行正常。</w:t>
      </w:r>
    </w:p>
    <w:p>
      <w:pPr>
        <w:ind w:firstLine="640"/>
        <w:rPr>
          <w:sz w:val="32"/>
          <w:szCs w:val="32"/>
        </w:rPr>
      </w:pPr>
      <w:r>
        <w:rPr>
          <w:rFonts w:hint="eastAsia"/>
          <w:sz w:val="32"/>
          <w:szCs w:val="32"/>
        </w:rPr>
        <w:t>3、完成环保部门规定的各项要求，整理其日常台账及时进行上报。</w:t>
      </w:r>
    </w:p>
    <w:p>
      <w:pPr>
        <w:ind w:firstLine="640" w:firstLineChars="200"/>
        <w:rPr>
          <w:sz w:val="32"/>
          <w:szCs w:val="32"/>
        </w:rPr>
      </w:pPr>
    </w:p>
    <w:p>
      <w:pPr>
        <w:jc w:val="center"/>
        <w:rPr>
          <w:sz w:val="32"/>
          <w:szCs w:val="32"/>
        </w:rPr>
      </w:pPr>
      <w:r>
        <w:rPr>
          <w:rFonts w:hint="eastAsia"/>
          <w:sz w:val="32"/>
          <w:szCs w:val="32"/>
        </w:rPr>
        <w:t xml:space="preserve">                    伊吾县污水处理厂</w:t>
      </w:r>
    </w:p>
    <w:p>
      <w:pPr>
        <w:tabs>
          <w:tab w:val="left" w:pos="7032"/>
        </w:tabs>
        <w:ind w:firstLine="5280" w:firstLineChars="1650"/>
        <w:jc w:val="left"/>
        <w:rPr>
          <w:sz w:val="32"/>
          <w:szCs w:val="32"/>
        </w:rPr>
      </w:pPr>
      <w:r>
        <w:rPr>
          <w:rFonts w:hint="eastAsia"/>
          <w:sz w:val="32"/>
          <w:szCs w:val="32"/>
        </w:rPr>
        <w:t>2023年10月9日</w:t>
      </w:r>
    </w:p>
    <w:p>
      <w:pPr>
        <w:jc w:val="center"/>
        <w:rPr>
          <w:rFonts w:ascii="仿宋" w:hAnsi="仿宋" w:eastAsia="仿宋" w:cs="仿宋"/>
          <w:b/>
          <w:bCs/>
          <w:sz w:val="32"/>
          <w:szCs w:val="32"/>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Wingdings 2">
    <w:altName w:val="Wingdings"/>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DC3CD"/>
    <w:multiLevelType w:val="singleLevel"/>
    <w:tmpl w:val="0DADC3CD"/>
    <w:lvl w:ilvl="0" w:tentative="0">
      <w:start w:val="1"/>
      <w:numFmt w:val="chineseCounting"/>
      <w:suff w:val="nothing"/>
      <w:lvlText w:val="%1、"/>
      <w:lvlJc w:val="left"/>
      <w:rPr>
        <w:rFonts w:hint="eastAsia"/>
      </w:rPr>
    </w:lvl>
  </w:abstractNum>
  <w:abstractNum w:abstractNumId="1">
    <w:nsid w:val="20C30441"/>
    <w:multiLevelType w:val="singleLevel"/>
    <w:tmpl w:val="20C30441"/>
    <w:lvl w:ilvl="0" w:tentative="0">
      <w:start w:val="2"/>
      <w:numFmt w:val="decimal"/>
      <w:suff w:val="space"/>
      <w:lvlText w:val="%1."/>
      <w:lvlJc w:val="left"/>
    </w:lvl>
  </w:abstractNum>
  <w:abstractNum w:abstractNumId="2">
    <w:nsid w:val="2D34563C"/>
    <w:multiLevelType w:val="singleLevel"/>
    <w:tmpl w:val="2D34563C"/>
    <w:lvl w:ilvl="0" w:tentative="0">
      <w:start w:val="4"/>
      <w:numFmt w:val="decimal"/>
      <w:suff w:val="nothing"/>
      <w:lvlText w:val="%1、"/>
      <w:lvlJc w:val="left"/>
    </w:lvl>
  </w:abstractNum>
  <w:abstractNum w:abstractNumId="3">
    <w:nsid w:val="425A261A"/>
    <w:multiLevelType w:val="multilevel"/>
    <w:tmpl w:val="425A261A"/>
    <w:lvl w:ilvl="0" w:tentative="0">
      <w:start w:val="1"/>
      <w:numFmt w:val="japaneseCounting"/>
      <w:lvlText w:val="%1、"/>
      <w:lvlJc w:val="left"/>
      <w:pPr>
        <w:tabs>
          <w:tab w:val="left" w:pos="1360"/>
        </w:tabs>
        <w:ind w:left="1360" w:hanging="72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abstractNum w:abstractNumId="4">
    <w:nsid w:val="7AB3C22F"/>
    <w:multiLevelType w:val="singleLevel"/>
    <w:tmpl w:val="7AB3C22F"/>
    <w:lvl w:ilvl="0" w:tentative="0">
      <w:start w:val="2"/>
      <w:numFmt w:val="decimal"/>
      <w:suff w:val="nothing"/>
      <w:lvlText w:val="%1、"/>
      <w:lvlJc w:val="left"/>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mMmJjMTM5NmM4ZDJmMWM1NmExOWFkODQ5NmUwMmQifQ=="/>
  </w:docVars>
  <w:rsids>
    <w:rsidRoot w:val="3EA94F0B"/>
    <w:rsid w:val="000451CE"/>
    <w:rsid w:val="000639B9"/>
    <w:rsid w:val="00064662"/>
    <w:rsid w:val="000B1B25"/>
    <w:rsid w:val="000C2197"/>
    <w:rsid w:val="000E7BEA"/>
    <w:rsid w:val="000F176F"/>
    <w:rsid w:val="001139DB"/>
    <w:rsid w:val="00153CA7"/>
    <w:rsid w:val="001773C2"/>
    <w:rsid w:val="00182EEF"/>
    <w:rsid w:val="001B3DF0"/>
    <w:rsid w:val="00200C4B"/>
    <w:rsid w:val="0020267E"/>
    <w:rsid w:val="00206F0E"/>
    <w:rsid w:val="002B58BD"/>
    <w:rsid w:val="002B73A1"/>
    <w:rsid w:val="002C2B78"/>
    <w:rsid w:val="002C7D18"/>
    <w:rsid w:val="00300678"/>
    <w:rsid w:val="003756AA"/>
    <w:rsid w:val="003803B3"/>
    <w:rsid w:val="003918DC"/>
    <w:rsid w:val="003B2880"/>
    <w:rsid w:val="003B57AD"/>
    <w:rsid w:val="003C3B14"/>
    <w:rsid w:val="003D3327"/>
    <w:rsid w:val="003D488F"/>
    <w:rsid w:val="004166AC"/>
    <w:rsid w:val="004350D8"/>
    <w:rsid w:val="004B312D"/>
    <w:rsid w:val="00521E3A"/>
    <w:rsid w:val="00545741"/>
    <w:rsid w:val="005711FC"/>
    <w:rsid w:val="005729FD"/>
    <w:rsid w:val="005743D4"/>
    <w:rsid w:val="005A38CF"/>
    <w:rsid w:val="005D1606"/>
    <w:rsid w:val="0062116B"/>
    <w:rsid w:val="006642BB"/>
    <w:rsid w:val="0068353B"/>
    <w:rsid w:val="0076329E"/>
    <w:rsid w:val="007717E5"/>
    <w:rsid w:val="007926B8"/>
    <w:rsid w:val="0079517C"/>
    <w:rsid w:val="007F7782"/>
    <w:rsid w:val="00806120"/>
    <w:rsid w:val="008370EA"/>
    <w:rsid w:val="0085167D"/>
    <w:rsid w:val="008604DF"/>
    <w:rsid w:val="008702ED"/>
    <w:rsid w:val="008A4739"/>
    <w:rsid w:val="009552B2"/>
    <w:rsid w:val="00974727"/>
    <w:rsid w:val="009C1970"/>
    <w:rsid w:val="009C6937"/>
    <w:rsid w:val="009D2502"/>
    <w:rsid w:val="009D5765"/>
    <w:rsid w:val="009F2CAB"/>
    <w:rsid w:val="00A061DE"/>
    <w:rsid w:val="00A44DC6"/>
    <w:rsid w:val="00A80323"/>
    <w:rsid w:val="00A82241"/>
    <w:rsid w:val="00AE7EDF"/>
    <w:rsid w:val="00B17382"/>
    <w:rsid w:val="00B32F2C"/>
    <w:rsid w:val="00B35B37"/>
    <w:rsid w:val="00B579A6"/>
    <w:rsid w:val="00B84203"/>
    <w:rsid w:val="00B91919"/>
    <w:rsid w:val="00BC2C35"/>
    <w:rsid w:val="00C31D1C"/>
    <w:rsid w:val="00CB208B"/>
    <w:rsid w:val="00CB23C4"/>
    <w:rsid w:val="00CD5D1A"/>
    <w:rsid w:val="00CE7C84"/>
    <w:rsid w:val="00CF7715"/>
    <w:rsid w:val="00D31072"/>
    <w:rsid w:val="00DA7EBF"/>
    <w:rsid w:val="00DB2D04"/>
    <w:rsid w:val="00E473A4"/>
    <w:rsid w:val="00E616DA"/>
    <w:rsid w:val="00E73AAE"/>
    <w:rsid w:val="00E82E42"/>
    <w:rsid w:val="00E85FFD"/>
    <w:rsid w:val="00E87402"/>
    <w:rsid w:val="00EA786E"/>
    <w:rsid w:val="00EB5360"/>
    <w:rsid w:val="00EB6478"/>
    <w:rsid w:val="00F24E2E"/>
    <w:rsid w:val="00F50717"/>
    <w:rsid w:val="00F50F81"/>
    <w:rsid w:val="00F54C08"/>
    <w:rsid w:val="00F60041"/>
    <w:rsid w:val="00FA3925"/>
    <w:rsid w:val="00FD57B0"/>
    <w:rsid w:val="01D65FE2"/>
    <w:rsid w:val="081F09E4"/>
    <w:rsid w:val="08B03033"/>
    <w:rsid w:val="09FF193E"/>
    <w:rsid w:val="0C5678CD"/>
    <w:rsid w:val="0EA557C7"/>
    <w:rsid w:val="0ECE2FBE"/>
    <w:rsid w:val="102B7757"/>
    <w:rsid w:val="10652EC1"/>
    <w:rsid w:val="12EB0386"/>
    <w:rsid w:val="183D5E75"/>
    <w:rsid w:val="1B74437A"/>
    <w:rsid w:val="1D8439C8"/>
    <w:rsid w:val="1E1F0C60"/>
    <w:rsid w:val="1F580063"/>
    <w:rsid w:val="20BD573B"/>
    <w:rsid w:val="226F5880"/>
    <w:rsid w:val="243030E4"/>
    <w:rsid w:val="275632A8"/>
    <w:rsid w:val="2B271FBC"/>
    <w:rsid w:val="2FBE002E"/>
    <w:rsid w:val="30836F0D"/>
    <w:rsid w:val="31F6664B"/>
    <w:rsid w:val="34FC36C7"/>
    <w:rsid w:val="35BD6D67"/>
    <w:rsid w:val="382907CC"/>
    <w:rsid w:val="38F67222"/>
    <w:rsid w:val="3AB44166"/>
    <w:rsid w:val="3B167F2F"/>
    <w:rsid w:val="3B17310E"/>
    <w:rsid w:val="3BAA409F"/>
    <w:rsid w:val="3C973768"/>
    <w:rsid w:val="3D111C63"/>
    <w:rsid w:val="3E66560F"/>
    <w:rsid w:val="3EA94F0B"/>
    <w:rsid w:val="430512E9"/>
    <w:rsid w:val="45872445"/>
    <w:rsid w:val="466C37A9"/>
    <w:rsid w:val="46722BC7"/>
    <w:rsid w:val="468C462E"/>
    <w:rsid w:val="4AC367D1"/>
    <w:rsid w:val="4B44616B"/>
    <w:rsid w:val="4C717DC6"/>
    <w:rsid w:val="4CA77340"/>
    <w:rsid w:val="4D345F65"/>
    <w:rsid w:val="4DDC1C29"/>
    <w:rsid w:val="5134291B"/>
    <w:rsid w:val="52690E5E"/>
    <w:rsid w:val="5A723A37"/>
    <w:rsid w:val="602E38BF"/>
    <w:rsid w:val="61BF383A"/>
    <w:rsid w:val="62751FB9"/>
    <w:rsid w:val="69C05598"/>
    <w:rsid w:val="6A1A29FE"/>
    <w:rsid w:val="6BCB5234"/>
    <w:rsid w:val="6C685428"/>
    <w:rsid w:val="6D4C2CBB"/>
    <w:rsid w:val="76006D65"/>
    <w:rsid w:val="774507E5"/>
    <w:rsid w:val="7A520FFE"/>
    <w:rsid w:val="7D3646DD"/>
    <w:rsid w:val="7FC841D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6"/>
    <w:unhideWhenUsed/>
    <w:qFormat/>
    <w:uiPriority w:val="99"/>
    <w:pPr>
      <w:jc w:val="left"/>
    </w:pPr>
  </w:style>
  <w:style w:type="paragraph" w:styleId="3">
    <w:name w:val="Balloon Text"/>
    <w:basedOn w:val="1"/>
    <w:link w:val="25"/>
    <w:qFormat/>
    <w:uiPriority w:val="0"/>
    <w:rPr>
      <w:sz w:val="18"/>
      <w:szCs w:val="18"/>
    </w:rPr>
  </w:style>
  <w:style w:type="paragraph" w:styleId="4">
    <w:name w:val="footer"/>
    <w:basedOn w:val="1"/>
    <w:qFormat/>
    <w:uiPriority w:val="0"/>
    <w:pPr>
      <w:tabs>
        <w:tab w:val="center" w:pos="4153"/>
        <w:tab w:val="right" w:pos="8306"/>
      </w:tabs>
      <w:snapToGrid w:val="0"/>
      <w:spacing w:line="240" w:lineRule="atLeast"/>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style>
  <w:style w:type="character" w:styleId="10">
    <w:name w:val="page number"/>
    <w:basedOn w:val="8"/>
    <w:qFormat/>
    <w:uiPriority w:val="0"/>
  </w:style>
  <w:style w:type="character" w:styleId="11">
    <w:name w:val="FollowedHyperlink"/>
    <w:basedOn w:val="8"/>
    <w:qFormat/>
    <w:uiPriority w:val="0"/>
    <w:rPr>
      <w:rFonts w:hint="eastAsia" w:ascii="微软雅黑" w:hAnsi="微软雅黑" w:eastAsia="微软雅黑" w:cs="微软雅黑"/>
      <w:color w:val="800080"/>
      <w:sz w:val="18"/>
      <w:szCs w:val="18"/>
      <w:u w:val="none"/>
    </w:rPr>
  </w:style>
  <w:style w:type="character" w:styleId="12">
    <w:name w:val="Emphasis"/>
    <w:basedOn w:val="8"/>
    <w:qFormat/>
    <w:uiPriority w:val="0"/>
  </w:style>
  <w:style w:type="character" w:styleId="13">
    <w:name w:val="HTML Definition"/>
    <w:basedOn w:val="8"/>
    <w:qFormat/>
    <w:uiPriority w:val="0"/>
  </w:style>
  <w:style w:type="character" w:styleId="14">
    <w:name w:val="HTML Acronym"/>
    <w:basedOn w:val="8"/>
    <w:qFormat/>
    <w:uiPriority w:val="0"/>
  </w:style>
  <w:style w:type="character" w:styleId="15">
    <w:name w:val="HTML Variable"/>
    <w:basedOn w:val="8"/>
    <w:qFormat/>
    <w:uiPriority w:val="0"/>
  </w:style>
  <w:style w:type="character" w:styleId="16">
    <w:name w:val="Hyperlink"/>
    <w:basedOn w:val="8"/>
    <w:qFormat/>
    <w:uiPriority w:val="0"/>
    <w:rPr>
      <w:rFonts w:hint="eastAsia" w:ascii="微软雅黑" w:hAnsi="微软雅黑" w:eastAsia="微软雅黑" w:cs="微软雅黑"/>
      <w:color w:val="0000FF"/>
      <w:sz w:val="18"/>
      <w:szCs w:val="18"/>
      <w:u w:val="none"/>
    </w:rPr>
  </w:style>
  <w:style w:type="character" w:styleId="17">
    <w:name w:val="HTML Code"/>
    <w:basedOn w:val="8"/>
    <w:qFormat/>
    <w:uiPriority w:val="0"/>
    <w:rPr>
      <w:rFonts w:ascii="微软雅黑" w:hAnsi="微软雅黑" w:eastAsia="微软雅黑" w:cs="微软雅黑"/>
      <w:sz w:val="18"/>
      <w:szCs w:val="18"/>
    </w:rPr>
  </w:style>
  <w:style w:type="character" w:styleId="18">
    <w:name w:val="HTML Cite"/>
    <w:basedOn w:val="8"/>
    <w:qFormat/>
    <w:uiPriority w:val="0"/>
  </w:style>
  <w:style w:type="character" w:customStyle="1" w:styleId="19">
    <w:name w:val="first-child"/>
    <w:basedOn w:val="8"/>
    <w:qFormat/>
    <w:uiPriority w:val="0"/>
  </w:style>
  <w:style w:type="character" w:customStyle="1" w:styleId="20">
    <w:name w:val="hover2"/>
    <w:basedOn w:val="8"/>
    <w:qFormat/>
    <w:uiPriority w:val="0"/>
    <w:rPr>
      <w:shd w:val="clear" w:color="auto" w:fill="F3F3F3"/>
    </w:rPr>
  </w:style>
  <w:style w:type="character" w:customStyle="1" w:styleId="21">
    <w:name w:val="hover3"/>
    <w:basedOn w:val="8"/>
    <w:qFormat/>
    <w:uiPriority w:val="0"/>
    <w:rPr>
      <w:sz w:val="21"/>
      <w:szCs w:val="21"/>
    </w:rPr>
  </w:style>
  <w:style w:type="character" w:customStyle="1" w:styleId="22">
    <w:name w:val="hover4"/>
    <w:basedOn w:val="8"/>
    <w:qFormat/>
    <w:uiPriority w:val="0"/>
    <w:rPr>
      <w:shd w:val="clear" w:color="auto" w:fill="F3F3F3"/>
    </w:rPr>
  </w:style>
  <w:style w:type="character" w:customStyle="1" w:styleId="23">
    <w:name w:val="page_last"/>
    <w:basedOn w:val="8"/>
    <w:qFormat/>
    <w:uiPriority w:val="0"/>
  </w:style>
  <w:style w:type="paragraph" w:styleId="24">
    <w:name w:val="List Paragraph"/>
    <w:basedOn w:val="1"/>
    <w:unhideWhenUsed/>
    <w:qFormat/>
    <w:uiPriority w:val="99"/>
    <w:pPr>
      <w:ind w:firstLine="420" w:firstLineChars="200"/>
    </w:pPr>
  </w:style>
  <w:style w:type="character" w:customStyle="1" w:styleId="25">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26">
    <w:name w:val="批注文字 Char"/>
    <w:link w:val="2"/>
    <w:qFormat/>
    <w:uiPriority w:val="99"/>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1760</Words>
  <Characters>10032</Characters>
  <Lines>83</Lines>
  <Paragraphs>23</Paragraphs>
  <TotalTime>4</TotalTime>
  <ScaleCrop>false</ScaleCrop>
  <LinksUpToDate>false</LinksUpToDate>
  <CharactersWithSpaces>11769</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2018-09-23T23:33:00Z</dcterms:created>
  <dc:creator>Administrator</dc:creator>
  <cp:lastModifiedBy>Administrator</cp:lastModifiedBy>
  <cp:lastPrinted>2023-10-07T09:03:00Z</cp:lastPrinted>
  <dcterms:modified xsi:type="dcterms:W3CDTF">2026-09-21T01:55:25Z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06AB0357B4624DE58B5DE2C00B0A7BAC_13</vt:lpwstr>
  </property>
</Properties>
</file>