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eastAsia="黑体" w:cs="Times New Roman"/>
          <w:sz w:val="32"/>
        </w:rPr>
      </w:pPr>
      <w:bookmarkStart w:id="0" w:name="_Toc136263274"/>
      <w:r>
        <w:rPr>
          <w:rFonts w:eastAsia="黑体" w:cs="Times New Roman"/>
          <w:sz w:val="32"/>
        </w:rPr>
        <w:t>目 录</w:t>
      </w:r>
    </w:p>
    <w:p>
      <w:pPr>
        <w:pStyle w:val="30"/>
        <w:tabs>
          <w:tab w:val="right" w:leader="dot" w:pos="8778"/>
        </w:tabs>
        <w:spacing w:line="240" w:lineRule="exact"/>
        <w:ind w:firstLine="480"/>
        <w:rPr>
          <w:rFonts w:ascii="Times New Roman" w:hAnsi="Times New Roman" w:eastAsiaTheme="minorEastAsia" w:cstheme="minorBidi"/>
          <w:b w:val="0"/>
          <w:bCs w:val="0"/>
          <w:sz w:val="24"/>
          <w:szCs w:val="24"/>
        </w:rPr>
      </w:pP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TOC \o "1-2" \h \z \u </w:instrText>
      </w:r>
      <w:r>
        <w:rPr>
          <w:rFonts w:ascii="Times New Roman" w:hAnsi="Times New Roman" w:cs="Times New Roman"/>
          <w:b w:val="0"/>
          <w:sz w:val="24"/>
          <w:szCs w:val="24"/>
        </w:rPr>
        <w:fldChar w:fldCharType="separate"/>
      </w:r>
      <w:r>
        <w:fldChar w:fldCharType="begin"/>
      </w:r>
      <w:r>
        <w:instrText xml:space="preserve"> HYPERLINK \l "_Toc181381584" </w:instrText>
      </w:r>
      <w:r>
        <w:fldChar w:fldCharType="separate"/>
      </w:r>
      <w:r>
        <w:rPr>
          <w:rStyle w:val="44"/>
          <w:rFonts w:ascii="Times New Roman" w:hAnsi="Times New Roman" w:cs="Times New Roman"/>
          <w:sz w:val="24"/>
          <w:szCs w:val="24"/>
        </w:rPr>
        <w:t>前 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_Toc181381584 \h </w:instrText>
      </w:r>
      <w:r>
        <w:rPr>
          <w:rFonts w:ascii="Times New Roman" w:hAnsi="Times New Roman"/>
          <w:sz w:val="24"/>
          <w:szCs w:val="24"/>
        </w:rPr>
        <w:fldChar w:fldCharType="separate"/>
      </w:r>
      <w:r>
        <w:rPr>
          <w:rFonts w:ascii="Times New Roman" w:hAnsi="Times New Roman"/>
          <w:sz w:val="24"/>
          <w:szCs w:val="24"/>
        </w:rPr>
        <w:t>I</w:t>
      </w:r>
      <w:r>
        <w:rPr>
          <w:rFonts w:ascii="Times New Roman" w:hAnsi="Times New Roman"/>
          <w:sz w:val="24"/>
          <w:szCs w:val="24"/>
        </w:rPr>
        <w:fldChar w:fldCharType="end"/>
      </w:r>
      <w:r>
        <w:rPr>
          <w:rFonts w:ascii="Times New Roman" w:hAnsi="Times New Roman"/>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"_Toc181381585" </w:instrText>
      </w:r>
      <w:r>
        <w:fldChar w:fldCharType="separate"/>
      </w:r>
      <w:r>
        <w:rPr>
          <w:rStyle w:val="44"/>
          <w:rFonts w:ascii="Times New Roman" w:hAnsi="Times New Roman" w:cs="Times New Roman"/>
          <w:sz w:val="24"/>
          <w:szCs w:val="24"/>
        </w:rPr>
        <w:t>1. 总 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_Toc181381585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"_Toc181381586" </w:instrText>
      </w:r>
      <w:r>
        <w:fldChar w:fldCharType="separate"/>
      </w:r>
      <w:r>
        <w:rPr>
          <w:rStyle w:val="44"/>
          <w:rFonts w:ascii="Times New Roman" w:hAnsi="Times New Roman" w:cs="Times New Roman"/>
          <w:i w:val="0"/>
          <w:sz w:val="24"/>
          <w:szCs w:val="24"/>
        </w:rPr>
        <w:t>1.1 编制目的</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_Toc181381586 \h </w:instrText>
      </w:r>
      <w:r>
        <w:rPr>
          <w:rFonts w:ascii="Times New Roman" w:hAnsi="Times New Roman"/>
          <w:i w:val="0"/>
          <w:sz w:val="24"/>
          <w:szCs w:val="24"/>
        </w:rPr>
        <w:fldChar w:fldCharType="separate"/>
      </w:r>
      <w:r>
        <w:rPr>
          <w:rFonts w:ascii="Times New Roman" w:hAnsi="Times New Roman"/>
          <w:i w:val="0"/>
          <w:sz w:val="24"/>
          <w:szCs w:val="24"/>
        </w:rPr>
        <w:t>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"_Toc181381587" </w:instrText>
      </w:r>
      <w:r>
        <w:fldChar w:fldCharType="separate"/>
      </w:r>
      <w:r>
        <w:rPr>
          <w:rStyle w:val="44"/>
          <w:rFonts w:ascii="Times New Roman" w:hAnsi="Times New Roman" w:cs="Times New Roman"/>
          <w:i w:val="0"/>
          <w:sz w:val="24"/>
          <w:szCs w:val="24"/>
        </w:rPr>
        <w:t>1.2 编制依据</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_Toc181381587 \h </w:instrText>
      </w:r>
      <w:r>
        <w:rPr>
          <w:rFonts w:ascii="Times New Roman" w:hAnsi="Times New Roman"/>
          <w:i w:val="0"/>
          <w:sz w:val="24"/>
          <w:szCs w:val="24"/>
        </w:rPr>
        <w:fldChar w:fldCharType="separate"/>
      </w:r>
      <w:r>
        <w:rPr>
          <w:rFonts w:ascii="Times New Roman" w:hAnsi="Times New Roman"/>
          <w:i w:val="0"/>
          <w:sz w:val="24"/>
          <w:szCs w:val="24"/>
        </w:rPr>
        <w:t>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"_Toc181381588" </w:instrText>
      </w:r>
      <w:r>
        <w:fldChar w:fldCharType="separate"/>
      </w:r>
      <w:r>
        <w:rPr>
          <w:rStyle w:val="44"/>
          <w:rFonts w:ascii="Times New Roman" w:hAnsi="Times New Roman" w:cs="Times New Roman"/>
          <w:i w:val="0"/>
          <w:sz w:val="24"/>
          <w:szCs w:val="24"/>
        </w:rPr>
        <w:t>1.3评价标准</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_Toc181381588 \h </w:instrText>
      </w:r>
      <w:r>
        <w:rPr>
          <w:rFonts w:ascii="Times New Roman" w:hAnsi="Times New Roman"/>
          <w:i w:val="0"/>
          <w:sz w:val="24"/>
          <w:szCs w:val="24"/>
        </w:rPr>
        <w:fldChar w:fldCharType="separate"/>
      </w:r>
      <w:r>
        <w:rPr>
          <w:rFonts w:ascii="Times New Roman" w:hAnsi="Times New Roman"/>
          <w:i w:val="0"/>
          <w:sz w:val="24"/>
          <w:szCs w:val="24"/>
        </w:rPr>
        <w:t>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"_Toc181381589" </w:instrText>
      </w:r>
      <w:r>
        <w:fldChar w:fldCharType="separate"/>
      </w:r>
      <w:r>
        <w:rPr>
          <w:rStyle w:val="44"/>
          <w:rFonts w:ascii="Times New Roman" w:hAnsi="Times New Roman" w:cs="Times New Roman"/>
          <w:i w:val="0"/>
          <w:sz w:val="24"/>
          <w:szCs w:val="24"/>
        </w:rPr>
        <w:t>1.4 评价工作等级</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_Toc181381589 \h </w:instrText>
      </w:r>
      <w:r>
        <w:rPr>
          <w:rFonts w:ascii="Times New Roman" w:hAnsi="Times New Roman"/>
          <w:i w:val="0"/>
          <w:sz w:val="24"/>
          <w:szCs w:val="24"/>
        </w:rPr>
        <w:fldChar w:fldCharType="separate"/>
      </w:r>
      <w:r>
        <w:rPr>
          <w:rFonts w:ascii="Times New Roman" w:hAnsi="Times New Roman"/>
          <w:i w:val="0"/>
          <w:sz w:val="24"/>
          <w:szCs w:val="24"/>
        </w:rPr>
        <w:t>11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"_Toc181381590" </w:instrText>
      </w:r>
      <w:r>
        <w:fldChar w:fldCharType="separate"/>
      </w:r>
      <w:r>
        <w:rPr>
          <w:rStyle w:val="44"/>
          <w:rFonts w:ascii="Times New Roman" w:hAnsi="Times New Roman" w:cs="Times New Roman"/>
          <w:i w:val="0"/>
          <w:sz w:val="24"/>
          <w:szCs w:val="24"/>
        </w:rPr>
        <w:t>1.5 评价范围</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_Toc181381590 \h </w:instrText>
      </w:r>
      <w:r>
        <w:rPr>
          <w:rFonts w:ascii="Times New Roman" w:hAnsi="Times New Roman"/>
          <w:i w:val="0"/>
          <w:sz w:val="24"/>
          <w:szCs w:val="24"/>
        </w:rPr>
        <w:fldChar w:fldCharType="separate"/>
      </w:r>
      <w:r>
        <w:rPr>
          <w:rFonts w:ascii="Times New Roman" w:hAnsi="Times New Roman"/>
          <w:i w:val="0"/>
          <w:sz w:val="24"/>
          <w:szCs w:val="24"/>
        </w:rPr>
        <w:t>14</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"_Toc181381591" </w:instrText>
      </w:r>
      <w:r>
        <w:fldChar w:fldCharType="separate"/>
      </w:r>
      <w:r>
        <w:rPr>
          <w:rStyle w:val="44"/>
          <w:rFonts w:ascii="Times New Roman" w:hAnsi="Times New Roman" w:cs="Times New Roman"/>
          <w:i w:val="0"/>
          <w:sz w:val="24"/>
          <w:szCs w:val="24"/>
        </w:rPr>
        <w:t>1.6 环境保护目标</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_Toc181381591 \h </w:instrText>
      </w:r>
      <w:r>
        <w:rPr>
          <w:rFonts w:ascii="Times New Roman" w:hAnsi="Times New Roman"/>
          <w:i w:val="0"/>
          <w:sz w:val="24"/>
          <w:szCs w:val="24"/>
        </w:rPr>
        <w:fldChar w:fldCharType="separate"/>
      </w:r>
      <w:r>
        <w:rPr>
          <w:rFonts w:ascii="Times New Roman" w:hAnsi="Times New Roman"/>
          <w:i w:val="0"/>
          <w:sz w:val="24"/>
          <w:szCs w:val="24"/>
        </w:rPr>
        <w:t>16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"_Toc181381592" </w:instrText>
      </w:r>
      <w:r>
        <w:fldChar w:fldCharType="separate"/>
      </w:r>
      <w:r>
        <w:rPr>
          <w:rStyle w:val="44"/>
          <w:rFonts w:ascii="Times New Roman" w:hAnsi="Times New Roman" w:cs="Times New Roman"/>
          <w:i w:val="0"/>
          <w:sz w:val="24"/>
          <w:szCs w:val="24"/>
        </w:rPr>
        <w:t>1.7 评价工作水平年</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_Toc181381592 \h </w:instrText>
      </w:r>
      <w:r>
        <w:rPr>
          <w:rFonts w:ascii="Times New Roman" w:hAnsi="Times New Roman"/>
          <w:i w:val="0"/>
          <w:sz w:val="24"/>
          <w:szCs w:val="24"/>
        </w:rPr>
        <w:fldChar w:fldCharType="separate"/>
      </w:r>
      <w:r>
        <w:rPr>
          <w:rFonts w:ascii="Times New Roman" w:hAnsi="Times New Roman"/>
          <w:i w:val="0"/>
          <w:sz w:val="24"/>
          <w:szCs w:val="24"/>
        </w:rPr>
        <w:t>18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"_Toc181381593" </w:instrText>
      </w:r>
      <w:r>
        <w:fldChar w:fldCharType="separate"/>
      </w:r>
      <w:r>
        <w:rPr>
          <w:rStyle w:val="44"/>
          <w:rFonts w:ascii="Times New Roman" w:hAnsi="Times New Roman" w:cs="Times New Roman"/>
          <w:sz w:val="24"/>
          <w:szCs w:val="24"/>
        </w:rPr>
        <w:t>2. 工程概况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_Toc181381593 \h </w:instrText>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"_Toc181381594" </w:instrText>
      </w:r>
      <w:r>
        <w:fldChar w:fldCharType="separate"/>
      </w:r>
      <w:r>
        <w:rPr>
          <w:rStyle w:val="44"/>
          <w:rFonts w:ascii="Times New Roman" w:hAnsi="Times New Roman" w:cs="Times New Roman"/>
          <w:i w:val="0"/>
          <w:sz w:val="24"/>
          <w:szCs w:val="24"/>
        </w:rPr>
        <w:t>2.1 代尔昆代郭勒流域综合规划概况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_Toc181381594 \h </w:instrText>
      </w:r>
      <w:r>
        <w:rPr>
          <w:rFonts w:ascii="Times New Roman" w:hAnsi="Times New Roman"/>
          <w:i w:val="0"/>
          <w:sz w:val="24"/>
          <w:szCs w:val="24"/>
        </w:rPr>
        <w:fldChar w:fldCharType="separate"/>
      </w:r>
      <w:r>
        <w:rPr>
          <w:rFonts w:ascii="Times New Roman" w:hAnsi="Times New Roman"/>
          <w:i w:val="0"/>
          <w:sz w:val="24"/>
          <w:szCs w:val="24"/>
        </w:rPr>
        <w:t>20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"_Toc181381595" </w:instrText>
      </w:r>
      <w:r>
        <w:fldChar w:fldCharType="separate"/>
      </w:r>
      <w:r>
        <w:rPr>
          <w:rStyle w:val="44"/>
          <w:rFonts w:ascii="Times New Roman" w:hAnsi="Times New Roman" w:cs="Times New Roman"/>
          <w:i w:val="0"/>
          <w:sz w:val="24"/>
          <w:szCs w:val="24"/>
        </w:rPr>
        <w:t>2.2 工程建设必要性</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_Toc181381595 \h </w:instrText>
      </w:r>
      <w:r>
        <w:rPr>
          <w:rFonts w:ascii="Times New Roman" w:hAnsi="Times New Roman"/>
          <w:i w:val="0"/>
          <w:sz w:val="24"/>
          <w:szCs w:val="24"/>
        </w:rPr>
        <w:fldChar w:fldCharType="separate"/>
      </w:r>
      <w:r>
        <w:rPr>
          <w:rFonts w:ascii="Times New Roman" w:hAnsi="Times New Roman"/>
          <w:i w:val="0"/>
          <w:sz w:val="24"/>
          <w:szCs w:val="24"/>
        </w:rPr>
        <w:t>30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"_Toc181381596" </w:instrText>
      </w:r>
      <w:r>
        <w:fldChar w:fldCharType="separate"/>
      </w:r>
      <w:r>
        <w:rPr>
          <w:rStyle w:val="44"/>
          <w:rFonts w:ascii="Times New Roman" w:hAnsi="Times New Roman" w:cs="Times New Roman"/>
          <w:i w:val="0"/>
          <w:sz w:val="24"/>
          <w:szCs w:val="24"/>
        </w:rPr>
        <w:t>2.3 工程概况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_Toc181381596 \h </w:instrText>
      </w:r>
      <w:r>
        <w:rPr>
          <w:rFonts w:ascii="Times New Roman" w:hAnsi="Times New Roman"/>
          <w:i w:val="0"/>
          <w:sz w:val="24"/>
          <w:szCs w:val="24"/>
        </w:rPr>
        <w:fldChar w:fldCharType="separate"/>
      </w:r>
      <w:r>
        <w:rPr>
          <w:rFonts w:ascii="Times New Roman" w:hAnsi="Times New Roman"/>
          <w:i w:val="0"/>
          <w:sz w:val="24"/>
          <w:szCs w:val="24"/>
        </w:rPr>
        <w:t>31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"_Toc181381597" </w:instrText>
      </w:r>
      <w:r>
        <w:fldChar w:fldCharType="separate"/>
      </w:r>
      <w:r>
        <w:rPr>
          <w:rStyle w:val="44"/>
          <w:rFonts w:ascii="Times New Roman" w:hAnsi="Times New Roman" w:cs="Times New Roman"/>
          <w:i w:val="0"/>
          <w:sz w:val="24"/>
          <w:szCs w:val="24"/>
        </w:rPr>
        <w:t>2.4 工程施工</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_Toc181381597 \h </w:instrText>
      </w:r>
      <w:r>
        <w:rPr>
          <w:rFonts w:ascii="Times New Roman" w:hAnsi="Times New Roman"/>
          <w:i w:val="0"/>
          <w:sz w:val="24"/>
          <w:szCs w:val="24"/>
        </w:rPr>
        <w:fldChar w:fldCharType="separate"/>
      </w:r>
      <w:r>
        <w:rPr>
          <w:rFonts w:ascii="Times New Roman" w:hAnsi="Times New Roman"/>
          <w:i w:val="0"/>
          <w:sz w:val="24"/>
          <w:szCs w:val="24"/>
        </w:rPr>
        <w:t>36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"_Toc181381598" </w:instrText>
      </w:r>
      <w:r>
        <w:fldChar w:fldCharType="separate"/>
      </w:r>
      <w:r>
        <w:rPr>
          <w:rStyle w:val="44"/>
          <w:rFonts w:ascii="Times New Roman" w:hAnsi="Times New Roman" w:cs="Times New Roman"/>
          <w:i w:val="0"/>
          <w:sz w:val="24"/>
          <w:szCs w:val="24"/>
        </w:rPr>
        <w:t>2.5 土石方平衡</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_Toc181381598 \h </w:instrText>
      </w:r>
      <w:r>
        <w:rPr>
          <w:rFonts w:ascii="Times New Roman" w:hAnsi="Times New Roman"/>
          <w:i w:val="0"/>
          <w:sz w:val="24"/>
          <w:szCs w:val="24"/>
        </w:rPr>
        <w:fldChar w:fldCharType="separate"/>
      </w:r>
      <w:r>
        <w:rPr>
          <w:rFonts w:ascii="Times New Roman" w:hAnsi="Times New Roman"/>
          <w:i w:val="0"/>
          <w:sz w:val="24"/>
          <w:szCs w:val="24"/>
        </w:rPr>
        <w:t>45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"_Toc181381599" </w:instrText>
      </w:r>
      <w:r>
        <w:fldChar w:fldCharType="separate"/>
      </w:r>
      <w:r>
        <w:rPr>
          <w:rStyle w:val="44"/>
          <w:rFonts w:ascii="Times New Roman" w:hAnsi="Times New Roman" w:cs="Times New Roman"/>
          <w:i w:val="0"/>
          <w:sz w:val="24"/>
          <w:szCs w:val="24"/>
        </w:rPr>
        <w:t>2.6 水库淹没和工程占地</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_Toc181381599 \h </w:instrText>
      </w:r>
      <w:r>
        <w:rPr>
          <w:rFonts w:ascii="Times New Roman" w:hAnsi="Times New Roman"/>
          <w:i w:val="0"/>
          <w:sz w:val="24"/>
          <w:szCs w:val="24"/>
        </w:rPr>
        <w:fldChar w:fldCharType="separate"/>
      </w:r>
      <w:r>
        <w:rPr>
          <w:rFonts w:ascii="Times New Roman" w:hAnsi="Times New Roman"/>
          <w:i w:val="0"/>
          <w:sz w:val="24"/>
          <w:szCs w:val="24"/>
        </w:rPr>
        <w:t>47</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"_Toc181381600" </w:instrText>
      </w:r>
      <w:r>
        <w:fldChar w:fldCharType="separate"/>
      </w:r>
      <w:r>
        <w:rPr>
          <w:rStyle w:val="44"/>
          <w:rFonts w:ascii="Times New Roman" w:hAnsi="Times New Roman" w:cs="Times New Roman"/>
          <w:i w:val="0"/>
          <w:sz w:val="24"/>
          <w:szCs w:val="24"/>
        </w:rPr>
        <w:t>2.7 移民安置规划</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_Toc181381600 \h </w:instrText>
      </w:r>
      <w:r>
        <w:rPr>
          <w:rFonts w:ascii="Times New Roman" w:hAnsi="Times New Roman"/>
          <w:i w:val="0"/>
          <w:sz w:val="24"/>
          <w:szCs w:val="24"/>
        </w:rPr>
        <w:fldChar w:fldCharType="separate"/>
      </w:r>
      <w:r>
        <w:rPr>
          <w:rFonts w:ascii="Times New Roman" w:hAnsi="Times New Roman"/>
          <w:i w:val="0"/>
          <w:sz w:val="24"/>
          <w:szCs w:val="24"/>
        </w:rPr>
        <w:t>47</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"_Toc181381601" </w:instrText>
      </w:r>
      <w:r>
        <w:fldChar w:fldCharType="separate"/>
      </w:r>
      <w:r>
        <w:rPr>
          <w:rStyle w:val="44"/>
          <w:rFonts w:ascii="Times New Roman" w:hAnsi="Times New Roman" w:cs="Times New Roman"/>
          <w:i w:val="0"/>
          <w:sz w:val="24"/>
          <w:szCs w:val="24"/>
        </w:rPr>
        <w:t>2.9 工程投资</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_Toc181381601 \h </w:instrText>
      </w:r>
      <w:r>
        <w:rPr>
          <w:rFonts w:ascii="Times New Roman" w:hAnsi="Times New Roman"/>
          <w:i w:val="0"/>
          <w:sz w:val="24"/>
          <w:szCs w:val="24"/>
        </w:rPr>
        <w:fldChar w:fldCharType="separate"/>
      </w:r>
      <w:r>
        <w:rPr>
          <w:rFonts w:ascii="Times New Roman" w:hAnsi="Times New Roman"/>
          <w:i w:val="0"/>
          <w:sz w:val="24"/>
          <w:szCs w:val="24"/>
        </w:rPr>
        <w:t>50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"_Toc181381602" </w:instrText>
      </w:r>
      <w:r>
        <w:fldChar w:fldCharType="separate"/>
      </w:r>
      <w:r>
        <w:rPr>
          <w:rStyle w:val="44"/>
          <w:rFonts w:ascii="Times New Roman" w:hAnsi="Times New Roman" w:cs="Times New Roman"/>
          <w:sz w:val="24"/>
          <w:szCs w:val="24"/>
        </w:rPr>
        <w:t>3. 工程分析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_Toc181381602 \h </w:instrText>
      </w:r>
      <w:r>
        <w:rPr>
          <w:rFonts w:ascii="Times New Roman" w:hAnsi="Times New Roman"/>
          <w:sz w:val="24"/>
          <w:szCs w:val="24"/>
        </w:rPr>
        <w:fldChar w:fldCharType="separate"/>
      </w:r>
      <w:r>
        <w:rPr>
          <w:rFonts w:ascii="Times New Roman" w:hAnsi="Times New Roman"/>
          <w:sz w:val="24"/>
          <w:szCs w:val="24"/>
        </w:rPr>
        <w:t>53</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"_Toc181381603" </w:instrText>
      </w:r>
      <w:r>
        <w:fldChar w:fldCharType="separate"/>
      </w:r>
      <w:r>
        <w:rPr>
          <w:rStyle w:val="44"/>
          <w:rFonts w:ascii="Times New Roman" w:hAnsi="Times New Roman" w:cs="Times New Roman"/>
          <w:i w:val="0"/>
          <w:sz w:val="24"/>
          <w:szCs w:val="24"/>
        </w:rPr>
        <w:t>3.1 与相关政策法规符合性分析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_Toc181381603 \h </w:instrText>
      </w:r>
      <w:r>
        <w:rPr>
          <w:rFonts w:ascii="Times New Roman" w:hAnsi="Times New Roman"/>
          <w:i w:val="0"/>
          <w:sz w:val="24"/>
          <w:szCs w:val="24"/>
        </w:rPr>
        <w:fldChar w:fldCharType="separate"/>
      </w:r>
      <w:r>
        <w:rPr>
          <w:rFonts w:ascii="Times New Roman" w:hAnsi="Times New Roman"/>
          <w:i w:val="0"/>
          <w:sz w:val="24"/>
          <w:szCs w:val="24"/>
        </w:rPr>
        <w:t>53</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"_Toc181381604" </w:instrText>
      </w:r>
      <w:r>
        <w:fldChar w:fldCharType="separate"/>
      </w:r>
      <w:r>
        <w:rPr>
          <w:rStyle w:val="44"/>
          <w:rFonts w:ascii="Times New Roman" w:hAnsi="Times New Roman" w:cs="Times New Roman"/>
          <w:i w:val="0"/>
          <w:sz w:val="24"/>
          <w:szCs w:val="24"/>
        </w:rPr>
        <w:t>3.2 工程与区域相关规划符合性分析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_Toc181381604 \h </w:instrText>
      </w:r>
      <w:r>
        <w:rPr>
          <w:rFonts w:ascii="Times New Roman" w:hAnsi="Times New Roman"/>
          <w:i w:val="0"/>
          <w:sz w:val="24"/>
          <w:szCs w:val="24"/>
        </w:rPr>
        <w:fldChar w:fldCharType="separate"/>
      </w:r>
      <w:r>
        <w:rPr>
          <w:rFonts w:ascii="Times New Roman" w:hAnsi="Times New Roman"/>
          <w:i w:val="0"/>
          <w:sz w:val="24"/>
          <w:szCs w:val="24"/>
        </w:rPr>
        <w:t>55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"_Toc181381605" </w:instrText>
      </w:r>
      <w:r>
        <w:fldChar w:fldCharType="separate"/>
      </w:r>
      <w:r>
        <w:rPr>
          <w:rStyle w:val="44"/>
          <w:rFonts w:ascii="Times New Roman" w:hAnsi="Times New Roman" w:cs="Times New Roman"/>
          <w:i w:val="0"/>
          <w:sz w:val="24"/>
          <w:szCs w:val="24"/>
        </w:rPr>
        <w:t>3.3 工程方案环境合理性分析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_Toc181381605 \h </w:instrText>
      </w:r>
      <w:r>
        <w:rPr>
          <w:rFonts w:ascii="Times New Roman" w:hAnsi="Times New Roman"/>
          <w:i w:val="0"/>
          <w:sz w:val="24"/>
          <w:szCs w:val="24"/>
        </w:rPr>
        <w:fldChar w:fldCharType="separate"/>
      </w:r>
      <w:r>
        <w:rPr>
          <w:rFonts w:ascii="Times New Roman" w:hAnsi="Times New Roman"/>
          <w:i w:val="0"/>
          <w:sz w:val="24"/>
          <w:szCs w:val="24"/>
        </w:rPr>
        <w:t>69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"_Toc181381606" </w:instrText>
      </w:r>
      <w:r>
        <w:fldChar w:fldCharType="separate"/>
      </w:r>
      <w:r>
        <w:rPr>
          <w:rStyle w:val="44"/>
          <w:rFonts w:ascii="Times New Roman" w:hAnsi="Times New Roman" w:cs="Times New Roman"/>
          <w:i w:val="0"/>
          <w:sz w:val="24"/>
          <w:szCs w:val="24"/>
        </w:rPr>
        <w:t>3.4 工程分析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_Toc181381606 \h </w:instrText>
      </w:r>
      <w:r>
        <w:rPr>
          <w:rFonts w:ascii="Times New Roman" w:hAnsi="Times New Roman"/>
          <w:i w:val="0"/>
          <w:sz w:val="24"/>
          <w:szCs w:val="24"/>
        </w:rPr>
        <w:fldChar w:fldCharType="separate"/>
      </w:r>
      <w:r>
        <w:rPr>
          <w:rFonts w:ascii="Times New Roman" w:hAnsi="Times New Roman"/>
          <w:i w:val="0"/>
          <w:sz w:val="24"/>
          <w:szCs w:val="24"/>
        </w:rPr>
        <w:t>81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"_Toc181381607" </w:instrText>
      </w:r>
      <w:r>
        <w:fldChar w:fldCharType="separate"/>
      </w:r>
      <w:r>
        <w:rPr>
          <w:rStyle w:val="44"/>
          <w:rFonts w:ascii="Times New Roman" w:hAnsi="Times New Roman" w:cs="Times New Roman"/>
          <w:i w:val="0"/>
          <w:sz w:val="24"/>
          <w:szCs w:val="24"/>
        </w:rPr>
        <w:t>3.5 环境影响识别和重点环境要素的筛选</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_Toc181381607 \h </w:instrText>
      </w:r>
      <w:r>
        <w:rPr>
          <w:rFonts w:ascii="Times New Roman" w:hAnsi="Times New Roman"/>
          <w:i w:val="0"/>
          <w:sz w:val="24"/>
          <w:szCs w:val="24"/>
        </w:rPr>
        <w:fldChar w:fldCharType="separate"/>
      </w:r>
      <w:r>
        <w:rPr>
          <w:rFonts w:ascii="Times New Roman" w:hAnsi="Times New Roman"/>
          <w:i w:val="0"/>
          <w:sz w:val="24"/>
          <w:szCs w:val="24"/>
        </w:rPr>
        <w:t>93</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"_Toc181381608" </w:instrText>
      </w:r>
      <w:r>
        <w:fldChar w:fldCharType="separate"/>
      </w:r>
      <w:r>
        <w:rPr>
          <w:rStyle w:val="44"/>
          <w:rFonts w:ascii="Times New Roman" w:hAnsi="Times New Roman" w:cs="Times New Roman"/>
          <w:sz w:val="24"/>
          <w:szCs w:val="24"/>
        </w:rPr>
        <w:t>4. 环境概况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_Toc181381608 \h </w:instrText>
      </w:r>
      <w:r>
        <w:rPr>
          <w:rFonts w:ascii="Times New Roman" w:hAnsi="Times New Roman"/>
          <w:sz w:val="24"/>
          <w:szCs w:val="24"/>
        </w:rPr>
        <w:fldChar w:fldCharType="separate"/>
      </w:r>
      <w:r>
        <w:rPr>
          <w:rFonts w:ascii="Times New Roman" w:hAnsi="Times New Roman"/>
          <w:sz w:val="24"/>
          <w:szCs w:val="24"/>
        </w:rPr>
        <w:t>95</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"_Toc181381609" </w:instrText>
      </w:r>
      <w:r>
        <w:fldChar w:fldCharType="separate"/>
      </w:r>
      <w:r>
        <w:rPr>
          <w:rStyle w:val="44"/>
          <w:rFonts w:ascii="Times New Roman" w:hAnsi="Times New Roman" w:cs="Times New Roman"/>
          <w:i w:val="0"/>
          <w:sz w:val="24"/>
          <w:szCs w:val="24"/>
        </w:rPr>
        <w:t>4.1 流域环境概况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_Toc181381609 \h </w:instrText>
      </w:r>
      <w:r>
        <w:rPr>
          <w:rFonts w:ascii="Times New Roman" w:hAnsi="Times New Roman"/>
          <w:i w:val="0"/>
          <w:sz w:val="24"/>
          <w:szCs w:val="24"/>
        </w:rPr>
        <w:fldChar w:fldCharType="separate"/>
      </w:r>
      <w:r>
        <w:rPr>
          <w:rFonts w:ascii="Times New Roman" w:hAnsi="Times New Roman"/>
          <w:i w:val="0"/>
          <w:sz w:val="24"/>
          <w:szCs w:val="24"/>
        </w:rPr>
        <w:t>95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"_Toc181381610" </w:instrText>
      </w:r>
      <w:r>
        <w:fldChar w:fldCharType="separate"/>
      </w:r>
      <w:r>
        <w:rPr>
          <w:rStyle w:val="44"/>
          <w:rFonts w:ascii="Times New Roman" w:hAnsi="Times New Roman" w:cs="Times New Roman"/>
          <w:i w:val="0"/>
          <w:sz w:val="24"/>
          <w:szCs w:val="24"/>
        </w:rPr>
        <w:t>4.2 工程影响区环境概况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_Toc181381610 \h </w:instrText>
      </w:r>
      <w:r>
        <w:rPr>
          <w:rFonts w:ascii="Times New Roman" w:hAnsi="Times New Roman"/>
          <w:i w:val="0"/>
          <w:sz w:val="24"/>
          <w:szCs w:val="24"/>
        </w:rPr>
        <w:fldChar w:fldCharType="separate"/>
      </w:r>
      <w:r>
        <w:rPr>
          <w:rFonts w:ascii="Times New Roman" w:hAnsi="Times New Roman"/>
          <w:i w:val="0"/>
          <w:sz w:val="24"/>
          <w:szCs w:val="24"/>
        </w:rPr>
        <w:t>96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"_Toc181381611" </w:instrText>
      </w:r>
      <w:r>
        <w:fldChar w:fldCharType="separate"/>
      </w:r>
      <w:r>
        <w:rPr>
          <w:rStyle w:val="44"/>
          <w:rFonts w:ascii="Times New Roman" w:hAnsi="Times New Roman" w:cs="Times New Roman"/>
          <w:i w:val="0"/>
          <w:sz w:val="24"/>
          <w:szCs w:val="24"/>
        </w:rPr>
        <w:t>4.3 工程影响区存在的主要环境问题</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_Toc181381611 \h </w:instrText>
      </w:r>
      <w:r>
        <w:rPr>
          <w:rFonts w:ascii="Times New Roman" w:hAnsi="Times New Roman"/>
          <w:i w:val="0"/>
          <w:sz w:val="24"/>
          <w:szCs w:val="24"/>
        </w:rPr>
        <w:fldChar w:fldCharType="separate"/>
      </w:r>
      <w:r>
        <w:rPr>
          <w:rFonts w:ascii="Times New Roman" w:hAnsi="Times New Roman"/>
          <w:i w:val="0"/>
          <w:sz w:val="24"/>
          <w:szCs w:val="24"/>
        </w:rPr>
        <w:t>139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"_Toc181381612" </w:instrText>
      </w:r>
      <w:r>
        <w:fldChar w:fldCharType="separate"/>
      </w:r>
      <w:r>
        <w:rPr>
          <w:rStyle w:val="44"/>
          <w:rFonts w:ascii="Times New Roman" w:hAnsi="Times New Roman"/>
          <w:sz w:val="24"/>
          <w:szCs w:val="24"/>
        </w:rPr>
        <w:t>5. 环境影响预测评价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_Toc181381612 \h </w:instrText>
      </w:r>
      <w:r>
        <w:rPr>
          <w:rFonts w:ascii="Times New Roman" w:hAnsi="Times New Roman"/>
          <w:sz w:val="24"/>
          <w:szCs w:val="24"/>
        </w:rPr>
        <w:fldChar w:fldCharType="separate"/>
      </w:r>
      <w:r>
        <w:rPr>
          <w:rFonts w:ascii="Times New Roman" w:hAnsi="Times New Roman"/>
          <w:sz w:val="24"/>
          <w:szCs w:val="24"/>
        </w:rPr>
        <w:t>141</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"_Toc181381613" </w:instrText>
      </w:r>
      <w:r>
        <w:fldChar w:fldCharType="separate"/>
      </w:r>
      <w:r>
        <w:rPr>
          <w:rStyle w:val="44"/>
          <w:rFonts w:ascii="Times New Roman" w:hAnsi="Times New Roman" w:cs="Times New Roman"/>
          <w:i w:val="0"/>
          <w:sz w:val="24"/>
          <w:szCs w:val="24"/>
        </w:rPr>
        <w:t>5.1 对区域水资源配置的影响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_Toc181381613 \h </w:instrText>
      </w:r>
      <w:r>
        <w:rPr>
          <w:rFonts w:ascii="Times New Roman" w:hAnsi="Times New Roman"/>
          <w:i w:val="0"/>
          <w:sz w:val="24"/>
          <w:szCs w:val="24"/>
        </w:rPr>
        <w:fldChar w:fldCharType="separate"/>
      </w:r>
      <w:r>
        <w:rPr>
          <w:rFonts w:ascii="Times New Roman" w:hAnsi="Times New Roman"/>
          <w:i w:val="0"/>
          <w:sz w:val="24"/>
          <w:szCs w:val="24"/>
        </w:rPr>
        <w:t>141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"_Toc181381614" </w:instrText>
      </w:r>
      <w:r>
        <w:fldChar w:fldCharType="separate"/>
      </w:r>
      <w:r>
        <w:rPr>
          <w:rStyle w:val="44"/>
          <w:rFonts w:ascii="Times New Roman" w:hAnsi="Times New Roman" w:cs="Times New Roman"/>
          <w:i w:val="0"/>
          <w:sz w:val="24"/>
          <w:szCs w:val="24"/>
        </w:rPr>
        <w:t>5.2 对水文情势的影响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_Toc181381614 \h </w:instrText>
      </w:r>
      <w:r>
        <w:rPr>
          <w:rFonts w:ascii="Times New Roman" w:hAnsi="Times New Roman"/>
          <w:i w:val="0"/>
          <w:sz w:val="24"/>
          <w:szCs w:val="24"/>
        </w:rPr>
        <w:fldChar w:fldCharType="separate"/>
      </w:r>
      <w:r>
        <w:rPr>
          <w:rFonts w:ascii="Times New Roman" w:hAnsi="Times New Roman"/>
          <w:i w:val="0"/>
          <w:sz w:val="24"/>
          <w:szCs w:val="24"/>
        </w:rPr>
        <w:t>145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"_Toc181381615" </w:instrText>
      </w:r>
      <w:r>
        <w:fldChar w:fldCharType="separate"/>
      </w:r>
      <w:r>
        <w:rPr>
          <w:rStyle w:val="44"/>
          <w:rFonts w:ascii="Times New Roman" w:hAnsi="Times New Roman" w:cs="Times New Roman"/>
          <w:i w:val="0"/>
          <w:sz w:val="24"/>
          <w:szCs w:val="24"/>
        </w:rPr>
        <w:t>5.3 对地表水环境的影响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_Toc181381615 \h </w:instrText>
      </w:r>
      <w:r>
        <w:rPr>
          <w:rFonts w:ascii="Times New Roman" w:hAnsi="Times New Roman"/>
          <w:i w:val="0"/>
          <w:sz w:val="24"/>
          <w:szCs w:val="24"/>
        </w:rPr>
        <w:fldChar w:fldCharType="separate"/>
      </w:r>
      <w:r>
        <w:rPr>
          <w:rFonts w:ascii="Times New Roman" w:hAnsi="Times New Roman"/>
          <w:i w:val="0"/>
          <w:sz w:val="24"/>
          <w:szCs w:val="24"/>
        </w:rPr>
        <w:t>153</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"_Toc181381616" </w:instrText>
      </w:r>
      <w:r>
        <w:fldChar w:fldCharType="separate"/>
      </w:r>
      <w:r>
        <w:rPr>
          <w:rStyle w:val="44"/>
          <w:rFonts w:ascii="Times New Roman" w:hAnsi="Times New Roman" w:cs="Times New Roman"/>
          <w:i w:val="0"/>
          <w:sz w:val="24"/>
          <w:szCs w:val="24"/>
        </w:rPr>
        <w:t>5.4 对地下水环境的影响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_Toc181381616 \h </w:instrText>
      </w:r>
      <w:r>
        <w:rPr>
          <w:rFonts w:ascii="Times New Roman" w:hAnsi="Times New Roman"/>
          <w:i w:val="0"/>
          <w:sz w:val="24"/>
          <w:szCs w:val="24"/>
        </w:rPr>
        <w:fldChar w:fldCharType="separate"/>
      </w:r>
      <w:r>
        <w:rPr>
          <w:rFonts w:ascii="Times New Roman" w:hAnsi="Times New Roman"/>
          <w:i w:val="0"/>
          <w:sz w:val="24"/>
          <w:szCs w:val="24"/>
        </w:rPr>
        <w:t>155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"_Toc181381617" </w:instrText>
      </w:r>
      <w:r>
        <w:fldChar w:fldCharType="separate"/>
      </w:r>
      <w:r>
        <w:rPr>
          <w:rStyle w:val="44"/>
          <w:rFonts w:ascii="Times New Roman" w:hAnsi="Times New Roman" w:cs="Times New Roman"/>
          <w:i w:val="0"/>
          <w:sz w:val="24"/>
          <w:szCs w:val="24"/>
        </w:rPr>
        <w:t>5.5 对陆生生态环境的影响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_Toc181381617 \h </w:instrText>
      </w:r>
      <w:r>
        <w:rPr>
          <w:rFonts w:ascii="Times New Roman" w:hAnsi="Times New Roman"/>
          <w:i w:val="0"/>
          <w:sz w:val="24"/>
          <w:szCs w:val="24"/>
        </w:rPr>
        <w:fldChar w:fldCharType="separate"/>
      </w:r>
      <w:r>
        <w:rPr>
          <w:rFonts w:ascii="Times New Roman" w:hAnsi="Times New Roman"/>
          <w:i w:val="0"/>
          <w:sz w:val="24"/>
          <w:szCs w:val="24"/>
        </w:rPr>
        <w:t>157</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"_Toc181381618" </w:instrText>
      </w:r>
      <w:r>
        <w:fldChar w:fldCharType="separate"/>
      </w:r>
      <w:r>
        <w:rPr>
          <w:rStyle w:val="44"/>
          <w:rFonts w:ascii="Times New Roman" w:hAnsi="Times New Roman" w:cs="Times New Roman"/>
          <w:i w:val="0"/>
          <w:sz w:val="24"/>
          <w:szCs w:val="24"/>
        </w:rPr>
        <w:t>5.6 对生态保护红线的影响分析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_Toc181381618 \h </w:instrText>
      </w:r>
      <w:r>
        <w:rPr>
          <w:rFonts w:ascii="Times New Roman" w:hAnsi="Times New Roman"/>
          <w:i w:val="0"/>
          <w:sz w:val="24"/>
          <w:szCs w:val="24"/>
        </w:rPr>
        <w:fldChar w:fldCharType="separate"/>
      </w:r>
      <w:r>
        <w:rPr>
          <w:rFonts w:ascii="Times New Roman" w:hAnsi="Times New Roman"/>
          <w:i w:val="0"/>
          <w:sz w:val="24"/>
          <w:szCs w:val="24"/>
        </w:rPr>
        <w:t>165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"_Toc181381619" </w:instrText>
      </w:r>
      <w:r>
        <w:fldChar w:fldCharType="separate"/>
      </w:r>
      <w:r>
        <w:rPr>
          <w:rStyle w:val="44"/>
          <w:rFonts w:ascii="Times New Roman" w:hAnsi="Times New Roman" w:cs="Times New Roman"/>
          <w:i w:val="0"/>
          <w:sz w:val="24"/>
          <w:szCs w:val="24"/>
        </w:rPr>
        <w:t>5.7 对水生生态环境影响预测</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_Toc181381619 \h </w:instrText>
      </w:r>
      <w:r>
        <w:rPr>
          <w:rFonts w:ascii="Times New Roman" w:hAnsi="Times New Roman"/>
          <w:i w:val="0"/>
          <w:sz w:val="24"/>
          <w:szCs w:val="24"/>
        </w:rPr>
        <w:fldChar w:fldCharType="separate"/>
      </w:r>
      <w:r>
        <w:rPr>
          <w:rFonts w:ascii="Times New Roman" w:hAnsi="Times New Roman"/>
          <w:i w:val="0"/>
          <w:sz w:val="24"/>
          <w:szCs w:val="24"/>
        </w:rPr>
        <w:t>166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"_Toc181381620" </w:instrText>
      </w:r>
      <w:r>
        <w:fldChar w:fldCharType="separate"/>
      </w:r>
      <w:r>
        <w:rPr>
          <w:rStyle w:val="44"/>
          <w:rFonts w:ascii="Times New Roman" w:hAnsi="Times New Roman" w:cs="Times New Roman"/>
          <w:i w:val="0"/>
          <w:sz w:val="24"/>
          <w:szCs w:val="24"/>
        </w:rPr>
        <w:t>5.8 土壤环境影响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_Toc181381620 \h </w:instrText>
      </w:r>
      <w:r>
        <w:rPr>
          <w:rFonts w:ascii="Times New Roman" w:hAnsi="Times New Roman"/>
          <w:i w:val="0"/>
          <w:sz w:val="24"/>
          <w:szCs w:val="24"/>
        </w:rPr>
        <w:fldChar w:fldCharType="separate"/>
      </w:r>
      <w:r>
        <w:rPr>
          <w:rFonts w:ascii="Times New Roman" w:hAnsi="Times New Roman"/>
          <w:i w:val="0"/>
          <w:sz w:val="24"/>
          <w:szCs w:val="24"/>
        </w:rPr>
        <w:t>168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"_Toc181381621" </w:instrText>
      </w:r>
      <w:r>
        <w:fldChar w:fldCharType="separate"/>
      </w:r>
      <w:r>
        <w:rPr>
          <w:rStyle w:val="44"/>
          <w:rFonts w:ascii="Times New Roman" w:hAnsi="Times New Roman" w:cs="Times New Roman"/>
          <w:i w:val="0"/>
          <w:sz w:val="24"/>
          <w:szCs w:val="24"/>
        </w:rPr>
        <w:t>5.9 工程施工对环境的影响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_Toc181381621 \h </w:instrText>
      </w:r>
      <w:r>
        <w:rPr>
          <w:rFonts w:ascii="Times New Roman" w:hAnsi="Times New Roman"/>
          <w:i w:val="0"/>
          <w:sz w:val="24"/>
          <w:szCs w:val="24"/>
        </w:rPr>
        <w:fldChar w:fldCharType="separate"/>
      </w:r>
      <w:r>
        <w:rPr>
          <w:rFonts w:ascii="Times New Roman" w:hAnsi="Times New Roman"/>
          <w:i w:val="0"/>
          <w:sz w:val="24"/>
          <w:szCs w:val="24"/>
        </w:rPr>
        <w:t>169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"_Toc181381622" </w:instrText>
      </w:r>
      <w:r>
        <w:fldChar w:fldCharType="separate"/>
      </w:r>
      <w:r>
        <w:rPr>
          <w:rStyle w:val="44"/>
          <w:rFonts w:ascii="Times New Roman" w:hAnsi="Times New Roman" w:cs="Times New Roman"/>
          <w:i w:val="0"/>
          <w:sz w:val="24"/>
          <w:szCs w:val="24"/>
        </w:rPr>
        <w:t>5.10 对社会环境的影响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_Toc181381622 \h </w:instrText>
      </w:r>
      <w:r>
        <w:rPr>
          <w:rFonts w:ascii="Times New Roman" w:hAnsi="Times New Roman"/>
          <w:i w:val="0"/>
          <w:sz w:val="24"/>
          <w:szCs w:val="24"/>
        </w:rPr>
        <w:fldChar w:fldCharType="separate"/>
      </w:r>
      <w:r>
        <w:rPr>
          <w:rFonts w:ascii="Times New Roman" w:hAnsi="Times New Roman"/>
          <w:i w:val="0"/>
          <w:sz w:val="24"/>
          <w:szCs w:val="24"/>
        </w:rPr>
        <w:t>176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"_Toc181381623" </w:instrText>
      </w:r>
      <w:r>
        <w:fldChar w:fldCharType="separate"/>
      </w:r>
      <w:r>
        <w:rPr>
          <w:rStyle w:val="44"/>
          <w:rFonts w:ascii="Times New Roman" w:hAnsi="Times New Roman" w:cs="Times New Roman"/>
          <w:sz w:val="24"/>
          <w:szCs w:val="24"/>
        </w:rPr>
        <w:t>6. 环境保护对策措施及其技术经济论证</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_Toc181381623 \h </w:instrText>
      </w:r>
      <w:r>
        <w:rPr>
          <w:rFonts w:ascii="Times New Roman" w:hAnsi="Times New Roman"/>
          <w:sz w:val="24"/>
          <w:szCs w:val="24"/>
        </w:rPr>
        <w:fldChar w:fldCharType="separate"/>
      </w:r>
      <w:r>
        <w:rPr>
          <w:rFonts w:ascii="Times New Roman" w:hAnsi="Times New Roman"/>
          <w:sz w:val="24"/>
          <w:szCs w:val="24"/>
        </w:rPr>
        <w:t>178</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"_Toc181381624" </w:instrText>
      </w:r>
      <w:r>
        <w:fldChar w:fldCharType="separate"/>
      </w:r>
      <w:r>
        <w:rPr>
          <w:rStyle w:val="44"/>
          <w:rFonts w:ascii="Times New Roman" w:hAnsi="Times New Roman" w:cs="Times New Roman"/>
          <w:i w:val="0"/>
          <w:sz w:val="24"/>
          <w:szCs w:val="24"/>
        </w:rPr>
        <w:t>6.1 环境保护措施设计原则及设计标准</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_Toc181381624 \h </w:instrText>
      </w:r>
      <w:r>
        <w:rPr>
          <w:rFonts w:ascii="Times New Roman" w:hAnsi="Times New Roman"/>
          <w:i w:val="0"/>
          <w:sz w:val="24"/>
          <w:szCs w:val="24"/>
        </w:rPr>
        <w:fldChar w:fldCharType="separate"/>
      </w:r>
      <w:r>
        <w:rPr>
          <w:rFonts w:ascii="Times New Roman" w:hAnsi="Times New Roman"/>
          <w:i w:val="0"/>
          <w:sz w:val="24"/>
          <w:szCs w:val="24"/>
        </w:rPr>
        <w:t>178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"_Toc181381625" </w:instrText>
      </w:r>
      <w:r>
        <w:fldChar w:fldCharType="separate"/>
      </w:r>
      <w:r>
        <w:rPr>
          <w:rStyle w:val="44"/>
          <w:rFonts w:ascii="Times New Roman" w:hAnsi="Times New Roman" w:cs="Times New Roman"/>
          <w:i w:val="0"/>
          <w:sz w:val="24"/>
          <w:szCs w:val="24"/>
        </w:rPr>
        <w:t>6.2 环境保护措施总体布置</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_Toc181381625 \h </w:instrText>
      </w:r>
      <w:r>
        <w:rPr>
          <w:rFonts w:ascii="Times New Roman" w:hAnsi="Times New Roman"/>
          <w:i w:val="0"/>
          <w:sz w:val="24"/>
          <w:szCs w:val="24"/>
        </w:rPr>
        <w:fldChar w:fldCharType="separate"/>
      </w:r>
      <w:r>
        <w:rPr>
          <w:rFonts w:ascii="Times New Roman" w:hAnsi="Times New Roman"/>
          <w:i w:val="0"/>
          <w:sz w:val="24"/>
          <w:szCs w:val="24"/>
        </w:rPr>
        <w:t>179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"_Toc181381626" </w:instrText>
      </w:r>
      <w:r>
        <w:fldChar w:fldCharType="separate"/>
      </w:r>
      <w:r>
        <w:rPr>
          <w:rStyle w:val="44"/>
          <w:rFonts w:ascii="Times New Roman" w:hAnsi="Times New Roman" w:cs="Times New Roman"/>
          <w:i w:val="0"/>
          <w:sz w:val="24"/>
          <w:szCs w:val="24"/>
        </w:rPr>
        <w:t>6.3 施工期污染防治及环境保护措施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_Toc181381626 \h </w:instrText>
      </w:r>
      <w:r>
        <w:rPr>
          <w:rFonts w:ascii="Times New Roman" w:hAnsi="Times New Roman"/>
          <w:i w:val="0"/>
          <w:sz w:val="24"/>
          <w:szCs w:val="24"/>
        </w:rPr>
        <w:fldChar w:fldCharType="separate"/>
      </w:r>
      <w:r>
        <w:rPr>
          <w:rFonts w:ascii="Times New Roman" w:hAnsi="Times New Roman"/>
          <w:i w:val="0"/>
          <w:sz w:val="24"/>
          <w:szCs w:val="24"/>
        </w:rPr>
        <w:t>179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"_Toc181381627" </w:instrText>
      </w:r>
      <w:r>
        <w:fldChar w:fldCharType="separate"/>
      </w:r>
      <w:r>
        <w:rPr>
          <w:rStyle w:val="44"/>
          <w:rFonts w:ascii="Times New Roman" w:hAnsi="Times New Roman" w:cs="Times New Roman"/>
          <w:i w:val="0"/>
          <w:sz w:val="24"/>
          <w:szCs w:val="24"/>
        </w:rPr>
        <w:t>6.4 运行期水环境保护措施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_Toc181381627 \h </w:instrText>
      </w:r>
      <w:r>
        <w:rPr>
          <w:rFonts w:ascii="Times New Roman" w:hAnsi="Times New Roman"/>
          <w:i w:val="0"/>
          <w:sz w:val="24"/>
          <w:szCs w:val="24"/>
        </w:rPr>
        <w:fldChar w:fldCharType="separate"/>
      </w:r>
      <w:r>
        <w:rPr>
          <w:rFonts w:ascii="Times New Roman" w:hAnsi="Times New Roman"/>
          <w:i w:val="0"/>
          <w:sz w:val="24"/>
          <w:szCs w:val="24"/>
        </w:rPr>
        <w:t>199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"_Toc181381628" </w:instrText>
      </w:r>
      <w:r>
        <w:fldChar w:fldCharType="separate"/>
      </w:r>
      <w:r>
        <w:rPr>
          <w:rStyle w:val="44"/>
          <w:rFonts w:ascii="Times New Roman" w:hAnsi="Times New Roman" w:cs="Times New Roman"/>
          <w:i w:val="0"/>
          <w:sz w:val="24"/>
          <w:szCs w:val="24"/>
        </w:rPr>
        <w:t>6.5 地下水环境保护措施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_Toc181381628 \h </w:instrText>
      </w:r>
      <w:r>
        <w:rPr>
          <w:rFonts w:ascii="Times New Roman" w:hAnsi="Times New Roman"/>
          <w:i w:val="0"/>
          <w:sz w:val="24"/>
          <w:szCs w:val="24"/>
        </w:rPr>
        <w:fldChar w:fldCharType="separate"/>
      </w:r>
      <w:r>
        <w:rPr>
          <w:rFonts w:ascii="Times New Roman" w:hAnsi="Times New Roman"/>
          <w:i w:val="0"/>
          <w:sz w:val="24"/>
          <w:szCs w:val="24"/>
        </w:rPr>
        <w:t>201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"_Toc181381629" </w:instrText>
      </w:r>
      <w:r>
        <w:fldChar w:fldCharType="separate"/>
      </w:r>
      <w:r>
        <w:rPr>
          <w:rStyle w:val="44"/>
          <w:rFonts w:ascii="Times New Roman" w:hAnsi="Times New Roman" w:cs="Times New Roman"/>
          <w:i w:val="0"/>
          <w:sz w:val="24"/>
          <w:szCs w:val="24"/>
        </w:rPr>
        <w:t>6.6 陆生生态环境保护措施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_Toc181381629 \h </w:instrText>
      </w:r>
      <w:r>
        <w:rPr>
          <w:rFonts w:ascii="Times New Roman" w:hAnsi="Times New Roman"/>
          <w:i w:val="0"/>
          <w:sz w:val="24"/>
          <w:szCs w:val="24"/>
        </w:rPr>
        <w:fldChar w:fldCharType="separate"/>
      </w:r>
      <w:r>
        <w:rPr>
          <w:rFonts w:ascii="Times New Roman" w:hAnsi="Times New Roman"/>
          <w:i w:val="0"/>
          <w:sz w:val="24"/>
          <w:szCs w:val="24"/>
        </w:rPr>
        <w:t>202</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"_Toc181381630" </w:instrText>
      </w:r>
      <w:r>
        <w:fldChar w:fldCharType="separate"/>
      </w:r>
      <w:r>
        <w:rPr>
          <w:rStyle w:val="44"/>
          <w:rFonts w:ascii="Times New Roman" w:hAnsi="Times New Roman" w:cs="Times New Roman"/>
          <w:i w:val="0"/>
          <w:sz w:val="24"/>
          <w:szCs w:val="24"/>
        </w:rPr>
        <w:t>6.7 社会环境保护措施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_Toc181381630 \h </w:instrText>
      </w:r>
      <w:r>
        <w:rPr>
          <w:rFonts w:ascii="Times New Roman" w:hAnsi="Times New Roman"/>
          <w:i w:val="0"/>
          <w:sz w:val="24"/>
          <w:szCs w:val="24"/>
        </w:rPr>
        <w:fldChar w:fldCharType="separate"/>
      </w:r>
      <w:r>
        <w:rPr>
          <w:rFonts w:ascii="Times New Roman" w:hAnsi="Times New Roman"/>
          <w:i w:val="0"/>
          <w:sz w:val="24"/>
          <w:szCs w:val="24"/>
        </w:rPr>
        <w:t>204</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"_Toc181381631" </w:instrText>
      </w:r>
      <w:r>
        <w:fldChar w:fldCharType="separate"/>
      </w:r>
      <w:r>
        <w:rPr>
          <w:rStyle w:val="44"/>
          <w:rFonts w:ascii="Times New Roman" w:hAnsi="Times New Roman" w:cs="Times New Roman"/>
          <w:i w:val="0"/>
          <w:sz w:val="24"/>
          <w:szCs w:val="24"/>
        </w:rPr>
        <w:t>6.8 移民安置环境保护对策措施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_Toc181381631 \h </w:instrText>
      </w:r>
      <w:r>
        <w:rPr>
          <w:rFonts w:ascii="Times New Roman" w:hAnsi="Times New Roman"/>
          <w:i w:val="0"/>
          <w:sz w:val="24"/>
          <w:szCs w:val="24"/>
        </w:rPr>
        <w:fldChar w:fldCharType="separate"/>
      </w:r>
      <w:r>
        <w:rPr>
          <w:rFonts w:ascii="Times New Roman" w:hAnsi="Times New Roman"/>
          <w:i w:val="0"/>
          <w:sz w:val="24"/>
          <w:szCs w:val="24"/>
        </w:rPr>
        <w:t>205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"_Toc181381632" </w:instrText>
      </w:r>
      <w:r>
        <w:fldChar w:fldCharType="separate"/>
      </w:r>
      <w:r>
        <w:rPr>
          <w:rStyle w:val="44"/>
          <w:rFonts w:ascii="Times New Roman" w:hAnsi="Times New Roman" w:cs="Times New Roman"/>
          <w:sz w:val="24"/>
          <w:szCs w:val="24"/>
        </w:rPr>
        <w:t>7. 环境监测与环境管理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_Toc181381632 \h </w:instrText>
      </w:r>
      <w:r>
        <w:rPr>
          <w:rFonts w:ascii="Times New Roman" w:hAnsi="Times New Roman"/>
          <w:sz w:val="24"/>
          <w:szCs w:val="24"/>
        </w:rPr>
        <w:fldChar w:fldCharType="separate"/>
      </w:r>
      <w:r>
        <w:rPr>
          <w:rFonts w:ascii="Times New Roman" w:hAnsi="Times New Roman"/>
          <w:sz w:val="24"/>
          <w:szCs w:val="24"/>
        </w:rPr>
        <w:t>206</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"_Toc181381633" </w:instrText>
      </w:r>
      <w:r>
        <w:fldChar w:fldCharType="separate"/>
      </w:r>
      <w:r>
        <w:rPr>
          <w:rStyle w:val="44"/>
          <w:rFonts w:ascii="Times New Roman" w:hAnsi="Times New Roman" w:cs="Times New Roman"/>
          <w:i w:val="0"/>
          <w:sz w:val="24"/>
          <w:szCs w:val="24"/>
        </w:rPr>
        <w:t>7.1 环境监理</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_Toc181381633 \h </w:instrText>
      </w:r>
      <w:r>
        <w:rPr>
          <w:rFonts w:ascii="Times New Roman" w:hAnsi="Times New Roman"/>
          <w:i w:val="0"/>
          <w:sz w:val="24"/>
          <w:szCs w:val="24"/>
        </w:rPr>
        <w:fldChar w:fldCharType="separate"/>
      </w:r>
      <w:r>
        <w:rPr>
          <w:rFonts w:ascii="Times New Roman" w:hAnsi="Times New Roman"/>
          <w:i w:val="0"/>
          <w:sz w:val="24"/>
          <w:szCs w:val="24"/>
        </w:rPr>
        <w:t>206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"_Toc181381634" </w:instrText>
      </w:r>
      <w:r>
        <w:fldChar w:fldCharType="separate"/>
      </w:r>
      <w:r>
        <w:rPr>
          <w:rStyle w:val="44"/>
          <w:rFonts w:ascii="Times New Roman" w:hAnsi="Times New Roman" w:cs="Times New Roman"/>
          <w:i w:val="0"/>
          <w:sz w:val="24"/>
          <w:szCs w:val="24"/>
        </w:rPr>
        <w:t>7.2 环境监测</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_Toc181381634 \h </w:instrText>
      </w:r>
      <w:r>
        <w:rPr>
          <w:rFonts w:ascii="Times New Roman" w:hAnsi="Times New Roman"/>
          <w:i w:val="0"/>
          <w:sz w:val="24"/>
          <w:szCs w:val="24"/>
        </w:rPr>
        <w:fldChar w:fldCharType="separate"/>
      </w:r>
      <w:r>
        <w:rPr>
          <w:rFonts w:ascii="Times New Roman" w:hAnsi="Times New Roman"/>
          <w:i w:val="0"/>
          <w:sz w:val="24"/>
          <w:szCs w:val="24"/>
        </w:rPr>
        <w:t>208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"_Toc181381635" </w:instrText>
      </w:r>
      <w:r>
        <w:fldChar w:fldCharType="separate"/>
      </w:r>
      <w:r>
        <w:rPr>
          <w:rStyle w:val="44"/>
          <w:rFonts w:ascii="Times New Roman" w:hAnsi="Times New Roman" w:cs="Times New Roman"/>
          <w:i w:val="0"/>
          <w:sz w:val="24"/>
          <w:szCs w:val="24"/>
        </w:rPr>
        <w:t>7.3 环境管理</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_Toc181381635 \h </w:instrText>
      </w:r>
      <w:r>
        <w:rPr>
          <w:rFonts w:ascii="Times New Roman" w:hAnsi="Times New Roman"/>
          <w:i w:val="0"/>
          <w:sz w:val="24"/>
          <w:szCs w:val="24"/>
        </w:rPr>
        <w:fldChar w:fldCharType="separate"/>
      </w:r>
      <w:r>
        <w:rPr>
          <w:rFonts w:ascii="Times New Roman" w:hAnsi="Times New Roman"/>
          <w:i w:val="0"/>
          <w:sz w:val="24"/>
          <w:szCs w:val="24"/>
        </w:rPr>
        <w:t>214</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"_Toc181381636" </w:instrText>
      </w:r>
      <w:r>
        <w:fldChar w:fldCharType="separate"/>
      </w:r>
      <w:r>
        <w:rPr>
          <w:rStyle w:val="44"/>
          <w:rFonts w:ascii="Times New Roman" w:hAnsi="Times New Roman" w:cs="Times New Roman"/>
          <w:i w:val="0"/>
          <w:sz w:val="24"/>
          <w:szCs w:val="24"/>
        </w:rPr>
        <w:t>7.4 环保设施竣工验收</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_Toc181381636 \h </w:instrText>
      </w:r>
      <w:r>
        <w:rPr>
          <w:rFonts w:ascii="Times New Roman" w:hAnsi="Times New Roman"/>
          <w:i w:val="0"/>
          <w:sz w:val="24"/>
          <w:szCs w:val="24"/>
        </w:rPr>
        <w:fldChar w:fldCharType="separate"/>
      </w:r>
      <w:r>
        <w:rPr>
          <w:rFonts w:ascii="Times New Roman" w:hAnsi="Times New Roman"/>
          <w:i w:val="0"/>
          <w:sz w:val="24"/>
          <w:szCs w:val="24"/>
        </w:rPr>
        <w:t>216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"_Toc181381637" </w:instrText>
      </w:r>
      <w:r>
        <w:fldChar w:fldCharType="separate"/>
      </w:r>
      <w:r>
        <w:rPr>
          <w:rStyle w:val="44"/>
          <w:rFonts w:ascii="Times New Roman" w:hAnsi="Times New Roman" w:cs="Times New Roman"/>
          <w:sz w:val="24"/>
          <w:szCs w:val="24"/>
        </w:rPr>
        <w:t>8. 环境保护投资与环境影响经济损益分析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_Toc181381637 \h </w:instrText>
      </w:r>
      <w:r>
        <w:rPr>
          <w:rFonts w:ascii="Times New Roman" w:hAnsi="Times New Roman"/>
          <w:sz w:val="24"/>
          <w:szCs w:val="24"/>
        </w:rPr>
        <w:fldChar w:fldCharType="separate"/>
      </w:r>
      <w:r>
        <w:rPr>
          <w:rFonts w:ascii="Times New Roman" w:hAnsi="Times New Roman"/>
          <w:sz w:val="24"/>
          <w:szCs w:val="24"/>
        </w:rPr>
        <w:t>218</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"_Toc181381638" </w:instrText>
      </w:r>
      <w:r>
        <w:fldChar w:fldCharType="separate"/>
      </w:r>
      <w:r>
        <w:rPr>
          <w:rStyle w:val="44"/>
          <w:rFonts w:ascii="Times New Roman" w:hAnsi="Times New Roman" w:cs="Times New Roman"/>
          <w:i w:val="0"/>
          <w:sz w:val="24"/>
          <w:szCs w:val="24"/>
        </w:rPr>
        <w:t>8.1 环境保护投资</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_Toc181381638 \h </w:instrText>
      </w:r>
      <w:r>
        <w:rPr>
          <w:rFonts w:ascii="Times New Roman" w:hAnsi="Times New Roman"/>
          <w:i w:val="0"/>
          <w:sz w:val="24"/>
          <w:szCs w:val="24"/>
        </w:rPr>
        <w:fldChar w:fldCharType="separate"/>
      </w:r>
      <w:r>
        <w:rPr>
          <w:rFonts w:ascii="Times New Roman" w:hAnsi="Times New Roman"/>
          <w:i w:val="0"/>
          <w:sz w:val="24"/>
          <w:szCs w:val="24"/>
        </w:rPr>
        <w:t>218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"_Toc181381639" </w:instrText>
      </w:r>
      <w:r>
        <w:fldChar w:fldCharType="separate"/>
      </w:r>
      <w:r>
        <w:rPr>
          <w:rStyle w:val="44"/>
          <w:rFonts w:ascii="Times New Roman" w:hAnsi="Times New Roman" w:cs="Times New Roman"/>
          <w:i w:val="0"/>
          <w:sz w:val="24"/>
          <w:szCs w:val="24"/>
        </w:rPr>
        <w:t>8.2 环境影响经济损益简要分析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_Toc181381639 \h </w:instrText>
      </w:r>
      <w:r>
        <w:rPr>
          <w:rFonts w:ascii="Times New Roman" w:hAnsi="Times New Roman"/>
          <w:i w:val="0"/>
          <w:sz w:val="24"/>
          <w:szCs w:val="24"/>
        </w:rPr>
        <w:fldChar w:fldCharType="separate"/>
      </w:r>
      <w:r>
        <w:rPr>
          <w:rFonts w:ascii="Times New Roman" w:hAnsi="Times New Roman"/>
          <w:i w:val="0"/>
          <w:sz w:val="24"/>
          <w:szCs w:val="24"/>
        </w:rPr>
        <w:t>225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"_Toc181381640" </w:instrText>
      </w:r>
      <w:r>
        <w:fldChar w:fldCharType="separate"/>
      </w:r>
      <w:r>
        <w:rPr>
          <w:rStyle w:val="44"/>
          <w:rFonts w:ascii="Times New Roman" w:hAnsi="Times New Roman" w:cs="Times New Roman"/>
          <w:sz w:val="24"/>
          <w:szCs w:val="24"/>
        </w:rPr>
        <w:t>9. 环境风险分析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_Toc181381640 \h </w:instrText>
      </w:r>
      <w:r>
        <w:rPr>
          <w:rFonts w:ascii="Times New Roman" w:hAnsi="Times New Roman"/>
          <w:sz w:val="24"/>
          <w:szCs w:val="24"/>
        </w:rPr>
        <w:fldChar w:fldCharType="separate"/>
      </w:r>
      <w:r>
        <w:rPr>
          <w:rFonts w:ascii="Times New Roman" w:hAnsi="Times New Roman"/>
          <w:sz w:val="24"/>
          <w:szCs w:val="24"/>
        </w:rPr>
        <w:t>228</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"_Toc181381641" </w:instrText>
      </w:r>
      <w:r>
        <w:fldChar w:fldCharType="separate"/>
      </w:r>
      <w:r>
        <w:rPr>
          <w:rStyle w:val="44"/>
          <w:rFonts w:ascii="Times New Roman" w:hAnsi="Times New Roman" w:cs="Times New Roman"/>
          <w:i w:val="0"/>
          <w:sz w:val="24"/>
          <w:szCs w:val="24"/>
        </w:rPr>
        <w:t>9.1 施工期环境风险分析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_Toc181381641 \h </w:instrText>
      </w:r>
      <w:r>
        <w:rPr>
          <w:rFonts w:ascii="Times New Roman" w:hAnsi="Times New Roman"/>
          <w:i w:val="0"/>
          <w:sz w:val="24"/>
          <w:szCs w:val="24"/>
        </w:rPr>
        <w:fldChar w:fldCharType="separate"/>
      </w:r>
      <w:r>
        <w:rPr>
          <w:rFonts w:ascii="Times New Roman" w:hAnsi="Times New Roman"/>
          <w:i w:val="0"/>
          <w:sz w:val="24"/>
          <w:szCs w:val="24"/>
        </w:rPr>
        <w:t>228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"_Toc181381642" </w:instrText>
      </w:r>
      <w:r>
        <w:fldChar w:fldCharType="separate"/>
      </w:r>
      <w:r>
        <w:rPr>
          <w:rStyle w:val="44"/>
          <w:rFonts w:ascii="Times New Roman" w:hAnsi="Times New Roman" w:cs="Times New Roman"/>
          <w:i w:val="0"/>
          <w:sz w:val="24"/>
          <w:szCs w:val="24"/>
        </w:rPr>
        <w:t>9.2 运行期环境风险分析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_Toc181381642 \h </w:instrText>
      </w:r>
      <w:r>
        <w:rPr>
          <w:rFonts w:ascii="Times New Roman" w:hAnsi="Times New Roman"/>
          <w:i w:val="0"/>
          <w:sz w:val="24"/>
          <w:szCs w:val="24"/>
        </w:rPr>
        <w:fldChar w:fldCharType="separate"/>
      </w:r>
      <w:r>
        <w:rPr>
          <w:rFonts w:ascii="Times New Roman" w:hAnsi="Times New Roman"/>
          <w:i w:val="0"/>
          <w:sz w:val="24"/>
          <w:szCs w:val="24"/>
        </w:rPr>
        <w:t>230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0"/>
        <w:tabs>
          <w:tab w:val="right" w:leader="dot" w:pos="8778"/>
        </w:tabs>
        <w:spacing w:line="240" w:lineRule="exact"/>
        <w:ind w:firstLine="402"/>
        <w:rPr>
          <w:rFonts w:ascii="Times New Roman" w:hAnsi="Times New Roman" w:eastAsiaTheme="minorEastAsia" w:cstheme="minorBidi"/>
          <w:b w:val="0"/>
          <w:bCs w:val="0"/>
          <w:sz w:val="24"/>
          <w:szCs w:val="24"/>
        </w:rPr>
      </w:pPr>
      <w:r>
        <w:fldChar w:fldCharType="begin"/>
      </w:r>
      <w:r>
        <w:instrText xml:space="preserve"> HYPERLINK \l "_Toc181381643" </w:instrText>
      </w:r>
      <w:r>
        <w:fldChar w:fldCharType="separate"/>
      </w:r>
      <w:r>
        <w:rPr>
          <w:rStyle w:val="44"/>
          <w:rFonts w:ascii="Times New Roman" w:hAnsi="Times New Roman" w:cs="Times New Roman"/>
          <w:sz w:val="24"/>
          <w:szCs w:val="24"/>
        </w:rPr>
        <w:t>10. 环境影响评价结论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_Toc181381643 \h </w:instrText>
      </w:r>
      <w:r>
        <w:rPr>
          <w:rFonts w:ascii="Times New Roman" w:hAnsi="Times New Roman"/>
          <w:sz w:val="24"/>
          <w:szCs w:val="24"/>
        </w:rPr>
        <w:fldChar w:fldCharType="separate"/>
      </w:r>
      <w:r>
        <w:rPr>
          <w:rFonts w:ascii="Times New Roman" w:hAnsi="Times New Roman"/>
          <w:sz w:val="24"/>
          <w:szCs w:val="24"/>
        </w:rPr>
        <w:t>233</w:t>
      </w:r>
      <w:r>
        <w:rPr>
          <w:rFonts w:ascii="Times New Roman" w:hAnsi="Times New Roman"/>
          <w:sz w:val="24"/>
          <w:szCs w:val="24"/>
        </w:rPr>
        <w:fldChar w:fldCharType="end"/>
      </w:r>
      <w:r>
        <w:rPr>
          <w:rFonts w:ascii="Times New Roman" w:hAnsi="Times New Roman"/>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"_Toc181381644" </w:instrText>
      </w:r>
      <w:r>
        <w:fldChar w:fldCharType="separate"/>
      </w:r>
      <w:r>
        <w:rPr>
          <w:rStyle w:val="44"/>
          <w:rFonts w:ascii="Times New Roman" w:hAnsi="Times New Roman" w:cs="Times New Roman"/>
          <w:i w:val="0"/>
          <w:sz w:val="24"/>
          <w:szCs w:val="24"/>
        </w:rPr>
        <w:t>10.1 流域简况及工程简况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_Toc181381644 \h </w:instrText>
      </w:r>
      <w:r>
        <w:rPr>
          <w:rFonts w:ascii="Times New Roman" w:hAnsi="Times New Roman"/>
          <w:i w:val="0"/>
          <w:sz w:val="24"/>
          <w:szCs w:val="24"/>
        </w:rPr>
        <w:fldChar w:fldCharType="separate"/>
      </w:r>
      <w:r>
        <w:rPr>
          <w:rFonts w:ascii="Times New Roman" w:hAnsi="Times New Roman"/>
          <w:i w:val="0"/>
          <w:sz w:val="24"/>
          <w:szCs w:val="24"/>
        </w:rPr>
        <w:t>233</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"_Toc181381645" </w:instrText>
      </w:r>
      <w:r>
        <w:fldChar w:fldCharType="separate"/>
      </w:r>
      <w:r>
        <w:rPr>
          <w:rStyle w:val="44"/>
          <w:rFonts w:ascii="Times New Roman" w:hAnsi="Times New Roman" w:cs="Times New Roman"/>
          <w:i w:val="0"/>
          <w:sz w:val="24"/>
          <w:szCs w:val="24"/>
        </w:rPr>
        <w:t>10.2环境现状评价结论</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_Toc181381645 \h </w:instrText>
      </w:r>
      <w:r>
        <w:rPr>
          <w:rFonts w:ascii="Times New Roman" w:hAnsi="Times New Roman"/>
          <w:i w:val="0"/>
          <w:sz w:val="24"/>
          <w:szCs w:val="24"/>
        </w:rPr>
        <w:fldChar w:fldCharType="separate"/>
      </w:r>
      <w:r>
        <w:rPr>
          <w:rFonts w:ascii="Times New Roman" w:hAnsi="Times New Roman"/>
          <w:i w:val="0"/>
          <w:sz w:val="24"/>
          <w:szCs w:val="24"/>
        </w:rPr>
        <w:t>235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"_Toc181381646" </w:instrText>
      </w:r>
      <w:r>
        <w:fldChar w:fldCharType="separate"/>
      </w:r>
      <w:r>
        <w:rPr>
          <w:rStyle w:val="44"/>
          <w:rFonts w:ascii="Times New Roman" w:hAnsi="Times New Roman" w:cs="Times New Roman"/>
          <w:i w:val="0"/>
          <w:sz w:val="24"/>
          <w:szCs w:val="24"/>
        </w:rPr>
        <w:t>10.3 工程环境影响预测评价结论</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_Toc181381646 \h </w:instrText>
      </w:r>
      <w:r>
        <w:rPr>
          <w:rFonts w:ascii="Times New Roman" w:hAnsi="Times New Roman"/>
          <w:i w:val="0"/>
          <w:sz w:val="24"/>
          <w:szCs w:val="24"/>
        </w:rPr>
        <w:fldChar w:fldCharType="separate"/>
      </w:r>
      <w:r>
        <w:rPr>
          <w:rFonts w:ascii="Times New Roman" w:hAnsi="Times New Roman"/>
          <w:i w:val="0"/>
          <w:sz w:val="24"/>
          <w:szCs w:val="24"/>
        </w:rPr>
        <w:t>238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"_Toc181381647" </w:instrText>
      </w:r>
      <w:r>
        <w:fldChar w:fldCharType="separate"/>
      </w:r>
      <w:r>
        <w:rPr>
          <w:rStyle w:val="44"/>
          <w:rFonts w:ascii="Times New Roman" w:hAnsi="Times New Roman" w:cs="Times New Roman"/>
          <w:i w:val="0"/>
          <w:sz w:val="24"/>
          <w:szCs w:val="24"/>
        </w:rPr>
        <w:t>10.4 环境保护对策措施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_Toc181381647 \h </w:instrText>
      </w:r>
      <w:r>
        <w:rPr>
          <w:rFonts w:ascii="Times New Roman" w:hAnsi="Times New Roman"/>
          <w:i w:val="0"/>
          <w:sz w:val="24"/>
          <w:szCs w:val="24"/>
        </w:rPr>
        <w:fldChar w:fldCharType="separate"/>
      </w:r>
      <w:r>
        <w:rPr>
          <w:rFonts w:ascii="Times New Roman" w:hAnsi="Times New Roman"/>
          <w:i w:val="0"/>
          <w:sz w:val="24"/>
          <w:szCs w:val="24"/>
        </w:rPr>
        <w:t>245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"_Toc181381648" </w:instrText>
      </w:r>
      <w:r>
        <w:fldChar w:fldCharType="separate"/>
      </w:r>
      <w:r>
        <w:rPr>
          <w:rStyle w:val="44"/>
          <w:rFonts w:ascii="Times New Roman" w:hAnsi="Times New Roman" w:cs="Times New Roman"/>
          <w:i w:val="0"/>
          <w:sz w:val="24"/>
          <w:szCs w:val="24"/>
        </w:rPr>
        <w:t>10.5 环境监测与管理</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_Toc181381648 \h </w:instrText>
      </w:r>
      <w:r>
        <w:rPr>
          <w:rFonts w:ascii="Times New Roman" w:hAnsi="Times New Roman"/>
          <w:i w:val="0"/>
          <w:sz w:val="24"/>
          <w:szCs w:val="24"/>
        </w:rPr>
        <w:fldChar w:fldCharType="separate"/>
      </w:r>
      <w:r>
        <w:rPr>
          <w:rFonts w:ascii="Times New Roman" w:hAnsi="Times New Roman"/>
          <w:i w:val="0"/>
          <w:sz w:val="24"/>
          <w:szCs w:val="24"/>
        </w:rPr>
        <w:t>250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"_Toc181381649" </w:instrText>
      </w:r>
      <w:r>
        <w:fldChar w:fldCharType="separate"/>
      </w:r>
      <w:r>
        <w:rPr>
          <w:rStyle w:val="44"/>
          <w:rFonts w:ascii="Times New Roman" w:hAnsi="Times New Roman" w:cs="Times New Roman"/>
          <w:i w:val="0"/>
          <w:sz w:val="24"/>
          <w:szCs w:val="24"/>
        </w:rPr>
        <w:t>10.6 环境保护措施投资</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_Toc181381649 \h </w:instrText>
      </w:r>
      <w:r>
        <w:rPr>
          <w:rFonts w:ascii="Times New Roman" w:hAnsi="Times New Roman"/>
          <w:i w:val="0"/>
          <w:sz w:val="24"/>
          <w:szCs w:val="24"/>
        </w:rPr>
        <w:fldChar w:fldCharType="separate"/>
      </w:r>
      <w:r>
        <w:rPr>
          <w:rFonts w:ascii="Times New Roman" w:hAnsi="Times New Roman"/>
          <w:i w:val="0"/>
          <w:sz w:val="24"/>
          <w:szCs w:val="24"/>
        </w:rPr>
        <w:t>250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"_Toc181381650" </w:instrText>
      </w:r>
      <w:r>
        <w:fldChar w:fldCharType="separate"/>
      </w:r>
      <w:r>
        <w:rPr>
          <w:rStyle w:val="44"/>
          <w:rFonts w:ascii="Times New Roman" w:hAnsi="Times New Roman" w:cs="Times New Roman"/>
          <w:i w:val="0"/>
          <w:sz w:val="24"/>
          <w:szCs w:val="24"/>
        </w:rPr>
        <w:t>10.7 公众参与</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_Toc181381650 \h </w:instrText>
      </w:r>
      <w:r>
        <w:rPr>
          <w:rFonts w:ascii="Times New Roman" w:hAnsi="Times New Roman"/>
          <w:i w:val="0"/>
          <w:sz w:val="24"/>
          <w:szCs w:val="24"/>
        </w:rPr>
        <w:fldChar w:fldCharType="separate"/>
      </w:r>
      <w:r>
        <w:rPr>
          <w:rFonts w:ascii="Times New Roman" w:hAnsi="Times New Roman"/>
          <w:i w:val="0"/>
          <w:sz w:val="24"/>
          <w:szCs w:val="24"/>
        </w:rPr>
        <w:t>250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"_Toc181381651" </w:instrText>
      </w:r>
      <w:r>
        <w:fldChar w:fldCharType="separate"/>
      </w:r>
      <w:r>
        <w:rPr>
          <w:rStyle w:val="44"/>
          <w:rFonts w:ascii="Times New Roman" w:hAnsi="Times New Roman" w:cs="Times New Roman"/>
          <w:i w:val="0"/>
          <w:sz w:val="24"/>
          <w:szCs w:val="24"/>
        </w:rPr>
        <w:t>10.8 环境风险</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_Toc181381651 \h </w:instrText>
      </w:r>
      <w:r>
        <w:rPr>
          <w:rFonts w:ascii="Times New Roman" w:hAnsi="Times New Roman"/>
          <w:i w:val="0"/>
          <w:sz w:val="24"/>
          <w:szCs w:val="24"/>
        </w:rPr>
        <w:fldChar w:fldCharType="separate"/>
      </w:r>
      <w:r>
        <w:rPr>
          <w:rFonts w:ascii="Times New Roman" w:hAnsi="Times New Roman"/>
          <w:i w:val="0"/>
          <w:sz w:val="24"/>
          <w:szCs w:val="24"/>
        </w:rPr>
        <w:t>251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"_Toc181381652" </w:instrText>
      </w:r>
      <w:r>
        <w:fldChar w:fldCharType="separate"/>
      </w:r>
      <w:r>
        <w:rPr>
          <w:rStyle w:val="44"/>
          <w:rFonts w:ascii="Times New Roman" w:hAnsi="Times New Roman" w:cs="Times New Roman"/>
          <w:i w:val="0"/>
          <w:sz w:val="24"/>
          <w:szCs w:val="24"/>
        </w:rPr>
        <w:t>10.9 综合评价结论</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_Toc181381652 \h </w:instrText>
      </w:r>
      <w:r>
        <w:rPr>
          <w:rFonts w:ascii="Times New Roman" w:hAnsi="Times New Roman"/>
          <w:i w:val="0"/>
          <w:sz w:val="24"/>
          <w:szCs w:val="24"/>
        </w:rPr>
        <w:fldChar w:fldCharType="separate"/>
      </w:r>
      <w:r>
        <w:rPr>
          <w:rFonts w:ascii="Times New Roman" w:hAnsi="Times New Roman"/>
          <w:i w:val="0"/>
          <w:sz w:val="24"/>
          <w:szCs w:val="24"/>
        </w:rPr>
        <w:t>251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34"/>
        <w:tabs>
          <w:tab w:val="right" w:leader="dot" w:pos="8778"/>
        </w:tabs>
        <w:spacing w:line="240" w:lineRule="exact"/>
        <w:ind w:firstLine="400"/>
        <w:rPr>
          <w:rFonts w:ascii="Times New Roman" w:hAnsi="Times New Roman" w:eastAsiaTheme="minorEastAsia" w:cstheme="minorBidi"/>
          <w:i w:val="0"/>
          <w:iCs w:val="0"/>
          <w:sz w:val="24"/>
          <w:szCs w:val="24"/>
        </w:rPr>
      </w:pPr>
      <w:r>
        <w:fldChar w:fldCharType="begin"/>
      </w:r>
      <w:r>
        <w:instrText xml:space="preserve"> HYPERLINK \l "_Toc181381653" </w:instrText>
      </w:r>
      <w:r>
        <w:fldChar w:fldCharType="separate"/>
      </w:r>
      <w:r>
        <w:rPr>
          <w:rStyle w:val="44"/>
          <w:rFonts w:ascii="Times New Roman" w:hAnsi="Times New Roman" w:cs="Times New Roman"/>
          <w:i w:val="0"/>
          <w:sz w:val="24"/>
          <w:szCs w:val="24"/>
        </w:rPr>
        <w:t>10.10 下阶段工作建议</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_Toc181381653 \h </w:instrText>
      </w:r>
      <w:r>
        <w:rPr>
          <w:rFonts w:ascii="Times New Roman" w:hAnsi="Times New Roman"/>
          <w:i w:val="0"/>
          <w:sz w:val="24"/>
          <w:szCs w:val="24"/>
        </w:rPr>
        <w:fldChar w:fldCharType="separate"/>
      </w:r>
      <w:r>
        <w:rPr>
          <w:rFonts w:ascii="Times New Roman" w:hAnsi="Times New Roman"/>
          <w:i w:val="0"/>
          <w:sz w:val="24"/>
          <w:szCs w:val="24"/>
        </w:rPr>
        <w:t>251</w:t>
      </w:r>
      <w:r>
        <w:rPr>
          <w:rFonts w:ascii="Times New Roman" w:hAnsi="Times New Roman"/>
          <w:i w:val="0"/>
          <w:sz w:val="24"/>
          <w:szCs w:val="24"/>
        </w:rPr>
        <w:fldChar w:fldCharType="end"/>
      </w:r>
      <w:r>
        <w:rPr>
          <w:rFonts w:ascii="Times New Roman" w:hAnsi="Times New Roman"/>
          <w:i w:val="0"/>
          <w:sz w:val="24"/>
          <w:szCs w:val="24"/>
        </w:rPr>
        <w:fldChar w:fldCharType="end"/>
      </w:r>
    </w:p>
    <w:p>
      <w:pPr>
        <w:spacing w:line="300" w:lineRule="exact"/>
        <w:ind w:firstLine="0" w:firstLineChars="0"/>
        <w:rPr>
          <w:rFonts w:cs="Times New Roman"/>
        </w:rPr>
      </w:pPr>
      <w:r>
        <w:rPr>
          <w:rFonts w:cs="Times New Roman"/>
          <w:szCs w:val="24"/>
        </w:rPr>
        <w:fldChar w:fldCharType="end"/>
      </w:r>
    </w:p>
    <w:p>
      <w:pPr>
        <w:spacing w:line="240" w:lineRule="exact"/>
        <w:ind w:firstLine="0" w:firstLineChars="0"/>
        <w:rPr>
          <w:rFonts w:cs="Times New Roman"/>
        </w:rPr>
      </w:pPr>
    </w:p>
    <w:p>
      <w:pPr>
        <w:spacing w:line="240" w:lineRule="exact"/>
        <w:ind w:firstLine="0" w:firstLineChars="0"/>
        <w:rPr>
          <w:rFonts w:cs="Times New Roman"/>
        </w:rPr>
      </w:pPr>
    </w:p>
    <w:p>
      <w:pPr>
        <w:ind w:firstLine="199" w:firstLineChars="83"/>
        <w:rPr>
          <w:rFonts w:eastAsia="黑体" w:cs="Times New Roman"/>
        </w:rPr>
      </w:pPr>
      <w:r>
        <w:rPr>
          <w:rFonts w:eastAsia="黑体" w:cs="Times New Roman"/>
        </w:rPr>
        <w:t>附录：</w:t>
      </w:r>
    </w:p>
    <w:p>
      <w:pPr>
        <w:pStyle w:val="89"/>
        <w:numPr>
          <w:ilvl w:val="0"/>
          <w:numId w:val="4"/>
        </w:numPr>
        <w:ind w:firstLineChars="0"/>
        <w:rPr>
          <w:rFonts w:cs="Times New Roman"/>
        </w:rPr>
      </w:pPr>
      <w:r>
        <w:rPr>
          <w:rFonts w:cs="Times New Roman"/>
        </w:rPr>
        <w:t>代尔昆代水库工程调查区陆生动植物名录；</w:t>
      </w:r>
    </w:p>
    <w:p>
      <w:pPr>
        <w:pStyle w:val="89"/>
        <w:numPr>
          <w:ilvl w:val="0"/>
          <w:numId w:val="4"/>
        </w:numPr>
        <w:ind w:firstLineChars="0"/>
        <w:rPr>
          <w:rFonts w:cs="Times New Roman"/>
        </w:rPr>
      </w:pPr>
      <w:r>
        <w:rPr>
          <w:rFonts w:cs="Times New Roman"/>
        </w:rPr>
        <w:t>代尔昆代水库工程调查河段水生生物名录。</w:t>
      </w:r>
    </w:p>
    <w:p>
      <w:pPr>
        <w:ind w:left="480" w:firstLine="0" w:firstLineChars="0"/>
        <w:rPr>
          <w:rFonts w:cs="Times New Roman"/>
        </w:rPr>
      </w:pPr>
    </w:p>
    <w:p>
      <w:pPr>
        <w:ind w:firstLineChars="0"/>
        <w:rPr>
          <w:rFonts w:eastAsia="黑体" w:cs="Times New Roman"/>
        </w:rPr>
      </w:pPr>
      <w:r>
        <w:rPr>
          <w:rFonts w:eastAsia="黑体" w:cs="Times New Roman"/>
        </w:rPr>
        <w:t>附件：</w:t>
      </w:r>
    </w:p>
    <w:p>
      <w:pPr>
        <w:ind w:left="480" w:firstLine="0" w:firstLineChars="0"/>
        <w:rPr>
          <w:rFonts w:cs="Times New Roman"/>
        </w:rPr>
      </w:pPr>
      <w:r>
        <w:rPr>
          <w:rFonts w:cs="Times New Roman"/>
        </w:rPr>
        <w:t>1.环境评价工作委托书；</w:t>
      </w:r>
    </w:p>
    <w:p>
      <w:pPr>
        <w:ind w:left="480" w:firstLine="0" w:firstLineChars="0"/>
        <w:rPr>
          <w:rFonts w:cs="Times New Roman"/>
        </w:rPr>
      </w:pPr>
      <w:r>
        <w:rPr>
          <w:rFonts w:cs="Times New Roman"/>
        </w:rPr>
        <w:t>2.《关于新疆代尔昆代郭勒河流域规划环境影响报告书的审查意见》（哈市环审[2024]1号）；</w:t>
      </w:r>
    </w:p>
    <w:p>
      <w:pPr>
        <w:ind w:left="480" w:firstLine="0" w:firstLineChars="0"/>
        <w:rPr>
          <w:rFonts w:cs="Times New Roman"/>
        </w:rPr>
      </w:pPr>
      <w:r>
        <w:rPr>
          <w:rFonts w:cs="Times New Roman"/>
        </w:rPr>
        <w:t>3.环境现状监测报告。</w:t>
      </w:r>
    </w:p>
    <w:p>
      <w:pPr>
        <w:ind w:left="480" w:firstLine="0" w:firstLineChars="0"/>
        <w:rPr>
          <w:rFonts w:cs="Times New Roman"/>
        </w:rPr>
      </w:pPr>
    </w:p>
    <w:p>
      <w:pPr>
        <w:ind w:firstLineChars="0"/>
        <w:rPr>
          <w:rFonts w:eastAsia="黑体" w:cs="Times New Roman"/>
        </w:rPr>
      </w:pPr>
      <w:r>
        <w:rPr>
          <w:rFonts w:eastAsia="黑体" w:cs="Times New Roman"/>
        </w:rPr>
        <w:t>附图：</w:t>
      </w:r>
    </w:p>
    <w:p>
      <w:pPr>
        <w:ind w:left="480" w:firstLine="0" w:firstLineChars="0"/>
        <w:rPr>
          <w:rFonts w:cs="Times New Roman"/>
        </w:rPr>
      </w:pPr>
      <w:r>
        <w:rPr>
          <w:rFonts w:cs="Times New Roman"/>
        </w:rPr>
        <w:t>1、代尔昆代水库工程地理位置示意图；</w:t>
      </w:r>
    </w:p>
    <w:p>
      <w:pPr>
        <w:ind w:left="480" w:firstLine="0" w:firstLineChars="0"/>
        <w:rPr>
          <w:rFonts w:cs="Times New Roman"/>
        </w:rPr>
      </w:pPr>
      <w:r>
        <w:rPr>
          <w:rFonts w:cs="Times New Roman"/>
        </w:rPr>
        <w:t>2、代尔昆代水库工程总平面布置图；</w:t>
      </w:r>
    </w:p>
    <w:p>
      <w:pPr>
        <w:ind w:left="480" w:firstLine="0" w:firstLineChars="0"/>
        <w:rPr>
          <w:rFonts w:cs="Times New Roman"/>
        </w:rPr>
      </w:pPr>
      <w:r>
        <w:rPr>
          <w:rFonts w:cs="Times New Roman"/>
        </w:rPr>
        <w:t>3、代尔昆代水库工程施工总平面布置图；</w:t>
      </w:r>
    </w:p>
    <w:p>
      <w:pPr>
        <w:ind w:left="480" w:firstLine="0" w:firstLineChars="0"/>
        <w:rPr>
          <w:rFonts w:cs="Times New Roman"/>
        </w:rPr>
      </w:pPr>
      <w:r>
        <w:rPr>
          <w:rFonts w:cs="Times New Roman"/>
        </w:rPr>
        <w:t>4、代尔昆代水库工程水系及水环境功能区划示意图；</w:t>
      </w:r>
    </w:p>
    <w:p>
      <w:pPr>
        <w:ind w:left="480" w:firstLine="0" w:firstLineChars="0"/>
        <w:rPr>
          <w:rFonts w:cs="Times New Roman"/>
        </w:rPr>
      </w:pPr>
      <w:r>
        <w:rPr>
          <w:rFonts w:cs="Times New Roman"/>
        </w:rPr>
        <w:t>5、代尔昆代水库工程区遥感影像、生态评价范围与外环境关系图；</w:t>
      </w:r>
    </w:p>
    <w:p>
      <w:pPr>
        <w:ind w:left="480" w:firstLine="0" w:firstLineChars="0"/>
        <w:rPr>
          <w:rFonts w:cs="Times New Roman"/>
        </w:rPr>
      </w:pPr>
      <w:r>
        <w:rPr>
          <w:rFonts w:cs="Times New Roman"/>
        </w:rPr>
        <w:t>6、代尔昆代水库环境现状监测布点示意图；</w:t>
      </w:r>
    </w:p>
    <w:p>
      <w:pPr>
        <w:ind w:left="480" w:firstLine="0" w:firstLineChars="0"/>
        <w:rPr>
          <w:rFonts w:cs="Times New Roman"/>
        </w:rPr>
      </w:pPr>
      <w:r>
        <w:rPr>
          <w:rFonts w:cs="Times New Roman"/>
        </w:rPr>
        <w:t>7、代尔昆代水库工程评价区土地利用现状图；</w:t>
      </w:r>
    </w:p>
    <w:p>
      <w:pPr>
        <w:ind w:left="480" w:firstLine="0" w:firstLineChars="0"/>
        <w:rPr>
          <w:rFonts w:cs="Times New Roman"/>
        </w:rPr>
      </w:pPr>
      <w:r>
        <w:rPr>
          <w:rFonts w:cs="Times New Roman"/>
        </w:rPr>
        <w:t>8、代尔昆代水库工程评价区植被类型样方布点示意图；</w:t>
      </w:r>
    </w:p>
    <w:p>
      <w:pPr>
        <w:ind w:left="480" w:firstLine="0" w:firstLineChars="0"/>
        <w:rPr>
          <w:rFonts w:cs="Times New Roman"/>
        </w:rPr>
      </w:pPr>
      <w:r>
        <w:rPr>
          <w:rFonts w:cs="Times New Roman"/>
        </w:rPr>
        <w:t>9、代尔昆代水库工程评价区植被类型图；</w:t>
      </w:r>
    </w:p>
    <w:p>
      <w:pPr>
        <w:ind w:left="480" w:firstLine="0" w:firstLineChars="0"/>
        <w:rPr>
          <w:rFonts w:cs="Times New Roman"/>
        </w:rPr>
      </w:pPr>
      <w:r>
        <w:rPr>
          <w:rFonts w:cs="Times New Roman"/>
        </w:rPr>
        <w:t>10、代尔昆代水库工程评价区土壤类型图；</w:t>
      </w:r>
    </w:p>
    <w:p>
      <w:pPr>
        <w:ind w:left="480" w:firstLine="0" w:firstLineChars="0"/>
        <w:rPr>
          <w:rFonts w:cs="Times New Roman"/>
        </w:rPr>
      </w:pPr>
      <w:r>
        <w:rPr>
          <w:rFonts w:cs="Times New Roman"/>
        </w:rPr>
        <w:t>11、代尔昆代水库工程评价区土地利用变化图；</w:t>
      </w:r>
    </w:p>
    <w:p>
      <w:pPr>
        <w:ind w:left="480" w:firstLine="0" w:firstLineChars="0"/>
        <w:rPr>
          <w:rFonts w:cs="Times New Roman"/>
        </w:rPr>
      </w:pPr>
      <w:r>
        <w:rPr>
          <w:rFonts w:cs="Times New Roman"/>
        </w:rPr>
        <w:t>12、代尔昆代水库工程环保措施总体布局图；</w:t>
      </w:r>
    </w:p>
    <w:p>
      <w:pPr>
        <w:ind w:left="480" w:firstLine="0" w:firstLineChars="0"/>
        <w:rPr>
          <w:rFonts w:cs="Times New Roman"/>
        </w:rPr>
      </w:pPr>
      <w:r>
        <w:rPr>
          <w:rFonts w:cs="Times New Roman"/>
        </w:rPr>
        <w:t>13、代尔昆代水库工程施工期环境监测布点示意图；</w:t>
      </w:r>
    </w:p>
    <w:p>
      <w:pPr>
        <w:ind w:left="480" w:firstLine="0" w:firstLineChars="0"/>
        <w:rPr>
          <w:rFonts w:cs="Times New Roman"/>
        </w:rPr>
      </w:pPr>
      <w:r>
        <w:rPr>
          <w:rFonts w:cs="Times New Roman"/>
        </w:rPr>
        <w:t>14、代尔昆代水库工程运行期环境监测布点示意图。</w:t>
      </w:r>
    </w:p>
    <w:p>
      <w:pPr>
        <w:ind w:firstLine="480"/>
        <w:rPr>
          <w:rFonts w:cs="Times New Roman"/>
        </w:rPr>
      </w:pPr>
    </w:p>
    <w:p>
      <w:pPr>
        <w:ind w:firstLine="48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18" w:right="1559" w:bottom="1418" w:left="1559" w:header="851" w:footer="992" w:gutter="0"/>
          <w:pgNumType w:fmt="upperRoman" w:start="1"/>
          <w:cols w:space="425" w:num="1"/>
          <w:docGrid w:linePitch="312" w:charSpace="0"/>
        </w:sectPr>
      </w:pPr>
    </w:p>
    <w:p>
      <w:pPr>
        <w:pStyle w:val="2"/>
        <w:rPr>
          <w:rFonts w:cs="Times New Roman"/>
          <w:b/>
        </w:rPr>
      </w:pPr>
      <w:bookmarkStart w:id="1" w:name="_Toc181381584"/>
      <w:r>
        <w:rPr>
          <w:rFonts w:cs="Times New Roman"/>
          <w:b/>
        </w:rPr>
        <w:t>前 言</w:t>
      </w:r>
      <w:bookmarkEnd w:id="1"/>
    </w:p>
    <w:p>
      <w:pPr>
        <w:ind w:firstLine="480"/>
        <w:rPr>
          <w:rFonts w:cs="Times New Roman"/>
        </w:rPr>
      </w:pPr>
      <w:r>
        <w:rPr>
          <w:rFonts w:cs="Times New Roman"/>
        </w:rPr>
        <w:t>代尔昆代郭勒河位于哈密市伊吾县吐葫芦乡境内，属于山溪性河流，发源于东天山末端喀尔里克山北坡，由阿腊萨拉和亚喀萨拉两支流汇合形成。河流整体流向自西南向东北，出山后流经广袤的下马崖戈壁，在下马崖乡折向北流，最终消失在茫茫戈壁滩。天然状况下河道径流因沿程下渗和蒸发而损失贻尽，其中下渗的水量大多转化为地下水，部分在伊吾县东南部约46km处的下马崖乡政府一带以泉水的形式出露。流域面积1412km</w:t>
      </w:r>
      <w:r>
        <w:rPr>
          <w:rFonts w:cs="Times New Roman"/>
          <w:vertAlign w:val="superscript"/>
        </w:rPr>
        <w:t>2</w:t>
      </w:r>
      <w:r>
        <w:rPr>
          <w:rFonts w:cs="Times New Roman"/>
        </w:rPr>
        <w:t>，河长总计142km，流域平均海拔高程为2728m，多年平均年径流量834万m³，多年平均流量0.26m³/s。</w:t>
      </w:r>
    </w:p>
    <w:p>
      <w:pPr>
        <w:ind w:firstLine="480"/>
        <w:rPr>
          <w:rFonts w:cs="Times New Roman"/>
        </w:rPr>
      </w:pPr>
      <w:r>
        <w:rPr>
          <w:rFonts w:cs="Times New Roman"/>
        </w:rPr>
        <w:t>代尔昆代郭勒河主要由季节性融雪水、夏季降雨补给为主，受季节因素影响水资源时空分布极不均衡，现状代尔昆代郭勒河无控制性水利工程，水资源基本处于原生状态，地表水未被开发利用。伊吾县地处东疆干旱地区，属“少、边、穷”山区，是国家扶贫开发工作重点县，贫困人口多，县域气候干燥少雨、水资源十分贫乏，且水资源时空分布极不均衡，</w:t>
      </w:r>
      <w:r>
        <w:rPr>
          <w:rFonts w:cs="Times New Roman"/>
          <w:color w:val="000000" w:themeColor="text1"/>
          <w14:textFill>
            <w14:solidFill>
              <w14:schemeClr w14:val="tx1"/>
            </w14:solidFill>
          </w14:textFill>
        </w:rPr>
        <w:t>农业生产主要依靠人工灌溉，形成了“荒漠绿洲、灌溉农业”的生态环境和社会经济体系。</w:t>
      </w:r>
      <w:r>
        <w:rPr>
          <w:rFonts w:cs="Times New Roman"/>
        </w:rPr>
        <w:t>县域内的</w:t>
      </w:r>
      <w:r>
        <w:rPr>
          <w:rFonts w:cs="Times New Roman"/>
          <w:color w:val="000000" w:themeColor="text1"/>
          <w14:textFill>
            <w14:solidFill>
              <w14:schemeClr w14:val="tx1"/>
            </w14:solidFill>
          </w14:textFill>
        </w:rPr>
        <w:t>淖毛湖区</w:t>
      </w:r>
      <w:r>
        <w:rPr>
          <w:rFonts w:cs="Times New Roman"/>
          <w:color w:val="FF0000"/>
        </w:rPr>
        <w:t>，</w:t>
      </w:r>
      <w:r>
        <w:rPr>
          <w:rFonts w:cs="Times New Roman"/>
        </w:rPr>
        <w:t>地表水供水水源只有峡沟水库，该水库为小I型水库，总库容964.57万m</w:t>
      </w:r>
      <w:r>
        <w:rPr>
          <w:rFonts w:cs="Times New Roman"/>
          <w:vertAlign w:val="superscript"/>
        </w:rPr>
        <w:t>3</w:t>
      </w:r>
      <w:r>
        <w:rPr>
          <w:rFonts w:cs="Times New Roman"/>
        </w:rPr>
        <w:t>，兴利库容565.30万m</w:t>
      </w:r>
      <w:r>
        <w:rPr>
          <w:rFonts w:cs="Times New Roman"/>
          <w:vertAlign w:val="superscript"/>
        </w:rPr>
        <w:t>3</w:t>
      </w:r>
      <w:r>
        <w:rPr>
          <w:rFonts w:cs="Times New Roman"/>
        </w:rPr>
        <w:t>，蓄水来自伊吾河，系伊吾河控制性骨干调蓄工程，是一座具有工业供水、农业灌溉、防洪、生态保护等多目标综合利用的水利枢纽。近年来，随着伊吾县尤其是淖毛湖镇经济的不断发展，人口不断增加，旅游季节和哈密瓜成熟采摘季节，淖毛湖镇流动人口达到3万人，致使生活用水量增加；灌溉季节5-9月淖毛湖镇各业争水严重，季节性供需矛盾日益突出，而峡沟水库的规模有限，调蓄能力有限，无法保证淖毛湖镇5-9月各业需求要求。致使农业和公益林不得不抽取地下水灌溉，导致地下水开采量超指标。</w:t>
      </w:r>
    </w:p>
    <w:p>
      <w:pPr>
        <w:ind w:firstLine="480"/>
        <w:rPr>
          <w:rFonts w:cs="Times New Roman"/>
        </w:rPr>
      </w:pPr>
      <w:r>
        <w:rPr>
          <w:rFonts w:cs="Times New Roman"/>
        </w:rPr>
        <w:t>根据《新疆维吾尔自治区“十四五”水安全保障规划》《哈密市“十四五”水安全保障规划》《伊吾县国民经济和社会发展第十四个五年规划和2035年远景目标纲要》和《伊吾县国土空间总体规划》，代尔昆代水库工程定位是实现与峡沟水库联调，为下游淖毛湖区域用水进行补水。同时，代尔昆代水库被列入《新疆维吾尔自治区“十四五”水安全保障规划》中拟建的47座小型水库之一。《哈密市“十四五”水资源配置规划》提出，“十四五”时期开发伊吾县代尔昆代郭勒流域地表水潜力，</w:t>
      </w:r>
      <w:r>
        <w:rPr>
          <w:rFonts w:hint="eastAsia" w:cs="Times New Roman"/>
          <w:lang w:eastAsia="zh-CN"/>
        </w:rPr>
        <w:t>将</w:t>
      </w:r>
      <w:r>
        <w:rPr>
          <w:rFonts w:cs="Times New Roman"/>
        </w:rPr>
        <w:t>代尔昆代郭勒流域的地表水通过引水工程引至淖毛湖区域，实现与峡沟水库联调，为淖毛湖区域人、畜饮水和下游灌溉用水进行补水。</w:t>
      </w:r>
    </w:p>
    <w:p>
      <w:pPr>
        <w:ind w:firstLine="480"/>
        <w:rPr>
          <w:rFonts w:cs="Times New Roman"/>
        </w:rPr>
      </w:pPr>
      <w:r>
        <w:rPr>
          <w:rFonts w:cs="Times New Roman"/>
          <w:color w:val="000000" w:themeColor="text1"/>
          <w14:textFill>
            <w14:solidFill>
              <w14:schemeClr w14:val="tx1"/>
            </w14:solidFill>
          </w14:textFill>
        </w:rPr>
        <w:t>为保障淖毛湖镇社会经济可持续发展，缓解其水资源供需矛盾；同时考虑到</w:t>
      </w:r>
      <w:r>
        <w:rPr>
          <w:rFonts w:cs="Times New Roman"/>
          <w:szCs w:val="24"/>
        </w:rPr>
        <w:t>代尔昆代郭勒流域现状地表水未被开发利用，仍处于天然状态，存在开发潜力，2023年伊吾县水管总站组织编制了《伊吾县代尔昆代郭勒流域综合规划》，</w:t>
      </w:r>
      <w:r>
        <w:rPr>
          <w:rFonts w:cs="Times New Roman"/>
        </w:rPr>
        <w:t>2024年10月10日哈密市水利局以哈市水字[2024]157号文出具了该规划审查意见</w:t>
      </w:r>
      <w:r>
        <w:rPr>
          <w:rFonts w:cs="Times New Roman"/>
          <w:szCs w:val="24"/>
        </w:rPr>
        <w:t>。规划</w:t>
      </w:r>
      <w:r>
        <w:rPr>
          <w:rFonts w:cs="Times New Roman"/>
        </w:rPr>
        <w:t>结合代尔昆代郭勒河流域的自然条件和社会经济发展状况，针对代尔昆代郭勒河流域水资源开发利用存状况，考虑淖毛湖镇综合需水的迫切要求，提出建设代尔昆代水库工程，承担伊吾县淖毛湖镇的10万居民及3万流动人口及6.3万头牲畜的人畜饮水，淖毛湖镇0.47万亩公益林的灌溉用水，安排于近期水平年建设实施。伊吾县水管总站委托新疆绿境天宸环保科技有限公司完成《伊吾县代尔昆代郭勒流域综合规划环境影响报告书》，2024年9月，哈密市生态环境局以哈市环审[2024]1号文提出了规划环评审查意见。目前哈密托实水利水电勘测设计有限责任公司编制完成代尔昆代水库可行性研究报告，根据可研方案，代尔昆代水库建成后，通过对代尔昆代郭勒河天然径流进行拦蓄，实现与峡沟水库联调，可解决淖毛湖镇人畜饮水和公益林灌溉缺水现象，促进当地经济发展。</w:t>
      </w:r>
    </w:p>
    <w:p>
      <w:pPr>
        <w:ind w:firstLine="480"/>
        <w:rPr>
          <w:rFonts w:cs="Times New Roman"/>
        </w:rPr>
      </w:pPr>
      <w:r>
        <w:rPr>
          <w:rFonts w:cs="Times New Roman"/>
        </w:rPr>
        <w:t>为贯彻国家相关环保法律、法规要求，2024年9月伊吾县水管总站委托我公司承担伊吾县代尔昆代水库环境影响评价工作。接受委托后，立即组织人员于2024年9月对工程影响区进行了踏勘，开展了工程影响区现场调查和走访调查，并进行了详细的生态环境现场调查工作；同时，委托核工业二一六大队检测研究院开展了工程区地表水、地下水、声环境、土壤现状监测；并进行工程影响区环境质量现状、水资源利用现状、生态环境现状评价；开展了工程水环境影响专项研究，委托新疆绿水新缘生态科技有限公司开展了工程水生态影响专题研究。</w:t>
      </w:r>
    </w:p>
    <w:p>
      <w:pPr>
        <w:ind w:firstLine="480"/>
        <w:rPr>
          <w:rFonts w:cs="Times New Roman"/>
        </w:rPr>
      </w:pPr>
      <w:r>
        <w:rPr>
          <w:rFonts w:cs="Times New Roman"/>
        </w:rPr>
        <w:t>在以上工作基础上，依据现行法律法规、规程规范、相关评价技术导则，编制完成本环境影响报告书。</w:t>
      </w:r>
    </w:p>
    <w:p>
      <w:pPr>
        <w:ind w:firstLine="480"/>
        <w:rPr>
          <w:rFonts w:cs="Times New Roman"/>
        </w:rPr>
      </w:pPr>
      <w:r>
        <w:rPr>
          <w:rFonts w:cs="Times New Roman"/>
        </w:rPr>
        <w:t>本次环评过程中，分析了水文情势及水环境变化对下游河段下马崖乡地下水的影响，关注了工程实施对其泉群的影响；并有针对性地提出了各类环境影响的减缓措施。</w:t>
      </w:r>
    </w:p>
    <w:p>
      <w:pPr>
        <w:ind w:firstLine="480"/>
        <w:rPr>
          <w:rFonts w:cs="Times New Roman"/>
        </w:rPr>
      </w:pPr>
      <w:r>
        <w:rPr>
          <w:rFonts w:cs="Times New Roman"/>
        </w:rPr>
        <w:t>经评价，代尔昆代水库是代尔昆代郭勒河流域水资源控制性的重要工程。设计水平年，代尔昆代郭勒河流域通过落实最严格水资源管理制度，实施供水区高效节水及用水总量控制，确保供水区总水量较现状年减少并控制于“三条红线”用水总量指标范围内，以此为基础，代尔昆代水库建成后，通过有效控制和分配水资源，调蓄增加地表水供水水量，改善公益林灌溉供水条件，提供人畜饮供水；保证水库坝址断面下泄生态流量，一定程度上缓解了河流断流状况，减缓其拦蓄水对下游地下水水位的影响。对环境的不利影响主要表现在：相比现状，代尔昆代水库拦蓄河水，下游地下水补给量</w:t>
      </w:r>
      <w:r>
        <w:rPr>
          <w:rFonts w:hint="eastAsia" w:cs="Times New Roman"/>
          <w:lang w:eastAsia="zh-CN"/>
        </w:rPr>
        <w:t>将</w:t>
      </w:r>
      <w:r>
        <w:rPr>
          <w:rFonts w:cs="Times New Roman"/>
        </w:rPr>
        <w:t>减少、施工期影响。</w:t>
      </w:r>
    </w:p>
    <w:p>
      <w:pPr>
        <w:ind w:firstLine="480"/>
        <w:rPr>
          <w:rFonts w:cs="Times New Roman"/>
        </w:rPr>
        <w:sectPr>
          <w:pgSz w:w="11906" w:h="16838"/>
          <w:pgMar w:top="1418" w:right="1559" w:bottom="1418" w:left="1559" w:header="851" w:footer="992" w:gutter="0"/>
          <w:pgNumType w:fmt="upperRoman" w:start="1"/>
          <w:cols w:space="425" w:num="1"/>
          <w:docGrid w:linePitch="312" w:charSpace="0"/>
        </w:sectPr>
      </w:pPr>
      <w:r>
        <w:rPr>
          <w:rFonts w:cs="Times New Roman"/>
        </w:rPr>
        <w:t>本次环评提出：实施最严格的水资源管理制度，扎实推进和落实高效节水实施方案，严格控制供水区社会经济用水总量，保证河道生态流量；对施工期“三废”及噪声采取措施进行防治。根据预测评价结论和环保措施布局制定了环境监理、各环境要素监测方案。在采取相应的环境保护措施后，可使工程建设的不利影响得以减缓，使环境影响降低在自然与社会环境可承受的限度内。从环境角度分析，只要认真落实各项环境保护措施和环境监测方案，加强环境保护管理和监督，在建设和运行过程中注重对自然生态环境的保护，本工程无重大环境制约因素，建设是可行的。</w:t>
      </w:r>
    </w:p>
    <w:p>
      <w:pPr>
        <w:pStyle w:val="2"/>
        <w:rPr>
          <w:rFonts w:cs="Times New Roman"/>
          <w:b/>
        </w:rPr>
      </w:pPr>
      <w:bookmarkStart w:id="2" w:name="_Toc181381585"/>
      <w:r>
        <w:rPr>
          <w:rFonts w:cs="Times New Roman"/>
          <w:b/>
        </w:rPr>
        <w:t>1. 总 则</w:t>
      </w:r>
      <w:bookmarkEnd w:id="0"/>
      <w:bookmarkEnd w:id="2"/>
    </w:p>
    <w:p>
      <w:pPr>
        <w:pStyle w:val="3"/>
        <w:jc w:val="both"/>
        <w:rPr>
          <w:rFonts w:cs="Times New Roman"/>
          <w:sz w:val="32"/>
        </w:rPr>
      </w:pPr>
      <w:bookmarkStart w:id="3" w:name="_Toc181381586"/>
      <w:bookmarkStart w:id="4" w:name="_Toc136263275"/>
      <w:r>
        <w:rPr>
          <w:rFonts w:cs="Times New Roman"/>
          <w:sz w:val="32"/>
        </w:rPr>
        <w:t>1.1 编制目的</w:t>
      </w:r>
      <w:bookmarkEnd w:id="3"/>
      <w:bookmarkEnd w:id="4"/>
    </w:p>
    <w:p>
      <w:pPr>
        <w:ind w:firstLine="480"/>
        <w:rPr>
          <w:rFonts w:cs="Times New Roman" w:eastAsiaTheme="minorEastAsia"/>
        </w:rPr>
      </w:pPr>
      <w:r>
        <w:rPr>
          <w:rFonts w:cs="Times New Roman" w:eastAsiaTheme="minorEastAsia"/>
        </w:rPr>
        <w:t>（1）开展工程建设区和影响区环境现状调查，评价工程影响区域环境现状并分析发展趋势，提出存在的主要环境问题，确定环境保护目标。</w:t>
      </w:r>
    </w:p>
    <w:p>
      <w:pPr>
        <w:ind w:firstLine="480"/>
        <w:rPr>
          <w:rFonts w:cs="Times New Roman" w:eastAsiaTheme="minorEastAsia"/>
        </w:rPr>
      </w:pPr>
      <w:r>
        <w:rPr>
          <w:rFonts w:cs="Times New Roman" w:eastAsiaTheme="minorEastAsia"/>
        </w:rPr>
        <w:t>（2）分析判定工程规模、枢纽建筑物布置、工程选址等与国家和地方有关环境保护法律法规、标准、规范、流域规划环境影响评价及审查意见的符合性，并开展工程与自治区及地州“三线一单”</w:t>
      </w:r>
      <w:r>
        <w:rPr>
          <w:rFonts w:cs="Times New Roman" w:eastAsiaTheme="minorEastAsia"/>
          <w:szCs w:val="24"/>
        </w:rPr>
        <w:t>生态环境分</w:t>
      </w:r>
      <w:r>
        <w:rPr>
          <w:rFonts w:cs="Times New Roman" w:eastAsiaTheme="minorEastAsia"/>
        </w:rPr>
        <w:t>区管控</w:t>
      </w:r>
      <w:r>
        <w:rPr>
          <w:rFonts w:cs="Times New Roman" w:eastAsiaTheme="minorEastAsia"/>
          <w:szCs w:val="24"/>
        </w:rPr>
        <w:t>要求、国土空间规划、区域相关经济社会发展规划、最严格水资源管理制度等的符合性分析；分析工程建设与上位规划的协调性；以此作为</w:t>
      </w:r>
      <w:r>
        <w:rPr>
          <w:rFonts w:cs="Times New Roman" w:eastAsiaTheme="minorEastAsia"/>
        </w:rPr>
        <w:t>开展本工程环境影响评价工作的前提和基础。</w:t>
      </w:r>
    </w:p>
    <w:p>
      <w:pPr>
        <w:ind w:firstLine="480"/>
        <w:rPr>
          <w:rFonts w:cs="Times New Roman" w:eastAsiaTheme="minorEastAsia"/>
        </w:rPr>
      </w:pPr>
      <w:r>
        <w:rPr>
          <w:rFonts w:cs="Times New Roman" w:eastAsiaTheme="minorEastAsia"/>
        </w:rPr>
        <w:t>（3）依据相关环境保护法律法规、技术规程规范要求，结合工程确定的水资源配置方案、工程设计及运行方案、施工组织设计方案等，全面系统地分析工程施工过程中和投入运行后对环境可能产生的影响。</w:t>
      </w:r>
    </w:p>
    <w:p>
      <w:pPr>
        <w:ind w:firstLine="480"/>
        <w:rPr>
          <w:rFonts w:cs="Times New Roman" w:eastAsiaTheme="minorEastAsia"/>
        </w:rPr>
      </w:pPr>
      <w:r>
        <w:rPr>
          <w:rFonts w:cs="Times New Roman" w:eastAsiaTheme="minorEastAsia"/>
        </w:rPr>
        <w:t>（4）提出预防或减轻不利环境影响的对策措施，提出施工期环境监理、施工期及运行期环境监测与环境管理计划。</w:t>
      </w:r>
    </w:p>
    <w:p>
      <w:pPr>
        <w:ind w:firstLine="480"/>
        <w:rPr>
          <w:rFonts w:cs="Times New Roman" w:eastAsiaTheme="minorEastAsia"/>
        </w:rPr>
      </w:pPr>
      <w:r>
        <w:rPr>
          <w:rFonts w:cs="Times New Roman" w:eastAsiaTheme="minorEastAsia"/>
        </w:rPr>
        <w:t>（5）从生态环境保护角度论证工程兴建的可行性，为工程的环境管理和项目决策提供科学依据。</w:t>
      </w:r>
    </w:p>
    <w:p>
      <w:pPr>
        <w:ind w:firstLine="480"/>
        <w:rPr>
          <w:rFonts w:cs="Times New Roman" w:eastAsiaTheme="minorEastAsia"/>
        </w:rPr>
      </w:pPr>
    </w:p>
    <w:p>
      <w:pPr>
        <w:pStyle w:val="3"/>
        <w:jc w:val="both"/>
        <w:rPr>
          <w:rFonts w:cs="Times New Roman"/>
          <w:sz w:val="32"/>
        </w:rPr>
      </w:pPr>
      <w:bookmarkStart w:id="5" w:name="_Toc181381587"/>
      <w:bookmarkStart w:id="6" w:name="_Toc136263276"/>
      <w:r>
        <w:rPr>
          <w:rFonts w:cs="Times New Roman"/>
          <w:sz w:val="32"/>
        </w:rPr>
        <w:t>1.2 编制依据</w:t>
      </w:r>
      <w:bookmarkEnd w:id="5"/>
      <w:bookmarkEnd w:id="6"/>
    </w:p>
    <w:p>
      <w:pPr>
        <w:pStyle w:val="4"/>
        <w:rPr>
          <w:rFonts w:cs="Times New Roman"/>
        </w:rPr>
      </w:pPr>
      <w:r>
        <w:rPr>
          <w:rFonts w:cs="Times New Roman"/>
        </w:rPr>
        <w:t>1.2.1 法律</w:t>
      </w:r>
    </w:p>
    <w:p>
      <w:pPr>
        <w:ind w:firstLine="480"/>
        <w:rPr>
          <w:rFonts w:cs="Times New Roman" w:eastAsiaTheme="minorEastAsia"/>
          <w:szCs w:val="24"/>
        </w:rPr>
      </w:pPr>
      <w:bookmarkStart w:id="7" w:name="_Toc136263277"/>
      <w:r>
        <w:rPr>
          <w:rFonts w:cs="Times New Roman" w:eastAsiaTheme="minorEastAsia"/>
          <w:szCs w:val="24"/>
        </w:rPr>
        <w:t>（1）《中华人民共和国环境保护法》（2015年1月）；</w:t>
      </w:r>
    </w:p>
    <w:p>
      <w:pPr>
        <w:ind w:firstLine="480"/>
        <w:rPr>
          <w:rFonts w:cs="Times New Roman" w:eastAsiaTheme="minorEastAsia"/>
          <w:szCs w:val="24"/>
        </w:rPr>
      </w:pPr>
      <w:r>
        <w:rPr>
          <w:rFonts w:cs="Times New Roman" w:eastAsiaTheme="minorEastAsia"/>
          <w:szCs w:val="24"/>
        </w:rPr>
        <w:t>（2）《中华人民共和国环境影响评价法》（2018年12月）；</w:t>
      </w:r>
    </w:p>
    <w:p>
      <w:pPr>
        <w:ind w:firstLine="480"/>
        <w:rPr>
          <w:rFonts w:cs="Times New Roman" w:eastAsiaTheme="minorEastAsia"/>
          <w:szCs w:val="24"/>
        </w:rPr>
      </w:pPr>
      <w:r>
        <w:rPr>
          <w:rFonts w:cs="Times New Roman" w:eastAsiaTheme="minorEastAsia"/>
          <w:szCs w:val="24"/>
        </w:rPr>
        <w:t>（3）《中华人民共和国水法》（2016年07月）；</w:t>
      </w:r>
    </w:p>
    <w:p>
      <w:pPr>
        <w:ind w:firstLine="480"/>
        <w:rPr>
          <w:rFonts w:cs="Times New Roman" w:eastAsiaTheme="minorEastAsia"/>
          <w:szCs w:val="24"/>
        </w:rPr>
      </w:pPr>
      <w:r>
        <w:rPr>
          <w:rFonts w:cs="Times New Roman" w:eastAsiaTheme="minorEastAsia"/>
          <w:szCs w:val="24"/>
        </w:rPr>
        <w:t>（4）《中华人民共和国水污染防治法》（2017年06月）；</w:t>
      </w:r>
    </w:p>
    <w:p>
      <w:pPr>
        <w:ind w:firstLine="480"/>
        <w:rPr>
          <w:rFonts w:cs="Times New Roman" w:eastAsiaTheme="minorEastAsia"/>
          <w:szCs w:val="24"/>
        </w:rPr>
      </w:pPr>
      <w:r>
        <w:rPr>
          <w:rFonts w:cs="Times New Roman" w:eastAsiaTheme="minorEastAsia"/>
          <w:szCs w:val="24"/>
        </w:rPr>
        <w:t>（5）《中华人民共和国水土保持法》（2011年03月）；</w:t>
      </w:r>
    </w:p>
    <w:p>
      <w:pPr>
        <w:ind w:firstLine="480"/>
        <w:rPr>
          <w:rFonts w:cs="Times New Roman" w:eastAsiaTheme="minorEastAsia"/>
          <w:szCs w:val="24"/>
        </w:rPr>
      </w:pPr>
      <w:r>
        <w:rPr>
          <w:rFonts w:cs="Times New Roman" w:eastAsiaTheme="minorEastAsia"/>
          <w:szCs w:val="24"/>
        </w:rPr>
        <w:t>（6）《中华人民共和国土地管理法》（2019年8月）；</w:t>
      </w:r>
    </w:p>
    <w:p>
      <w:pPr>
        <w:ind w:firstLine="480"/>
        <w:rPr>
          <w:rFonts w:cs="Times New Roman" w:eastAsiaTheme="minorEastAsia"/>
          <w:szCs w:val="24"/>
        </w:rPr>
      </w:pPr>
      <w:r>
        <w:rPr>
          <w:rFonts w:cs="Times New Roman" w:eastAsiaTheme="minorEastAsia"/>
          <w:szCs w:val="24"/>
        </w:rPr>
        <w:t>（7）《中华人民共和国防洪法》（2016年07月）；</w:t>
      </w:r>
    </w:p>
    <w:p>
      <w:pPr>
        <w:ind w:firstLine="480"/>
        <w:rPr>
          <w:rFonts w:cs="Times New Roman" w:eastAsiaTheme="minorEastAsia"/>
          <w:szCs w:val="24"/>
        </w:rPr>
      </w:pPr>
      <w:r>
        <w:rPr>
          <w:rFonts w:cs="Times New Roman" w:eastAsiaTheme="minorEastAsia"/>
          <w:szCs w:val="24"/>
        </w:rPr>
        <w:t>（8）《中华人民共和国草原法》（2021年4月）；</w:t>
      </w:r>
    </w:p>
    <w:p>
      <w:pPr>
        <w:ind w:firstLine="480"/>
        <w:rPr>
          <w:rFonts w:cs="Times New Roman" w:eastAsiaTheme="minorEastAsia"/>
          <w:szCs w:val="24"/>
        </w:rPr>
      </w:pPr>
      <w:r>
        <w:rPr>
          <w:rFonts w:cs="Times New Roman" w:eastAsiaTheme="minorEastAsia"/>
          <w:szCs w:val="24"/>
        </w:rPr>
        <w:t>（9）《中华人民共和国森林法》（2020年7月）；</w:t>
      </w:r>
    </w:p>
    <w:p>
      <w:pPr>
        <w:ind w:firstLine="480"/>
        <w:rPr>
          <w:rFonts w:cs="Times New Roman" w:eastAsiaTheme="minorEastAsia"/>
          <w:szCs w:val="24"/>
        </w:rPr>
      </w:pPr>
      <w:r>
        <w:rPr>
          <w:rFonts w:cs="Times New Roman" w:eastAsiaTheme="minorEastAsia"/>
          <w:szCs w:val="24"/>
        </w:rPr>
        <w:t>（10）《中华人民共和国野生动物保护法》（2022年12月）；</w:t>
      </w:r>
    </w:p>
    <w:p>
      <w:pPr>
        <w:ind w:firstLine="480"/>
        <w:rPr>
          <w:rFonts w:cs="Times New Roman" w:eastAsiaTheme="minorEastAsia"/>
          <w:szCs w:val="24"/>
        </w:rPr>
      </w:pPr>
      <w:r>
        <w:rPr>
          <w:rFonts w:cs="Times New Roman" w:eastAsiaTheme="minorEastAsia"/>
          <w:szCs w:val="24"/>
        </w:rPr>
        <w:t>（11）《中华人民共和国渔业法》（2013年12月）；</w:t>
      </w:r>
    </w:p>
    <w:p>
      <w:pPr>
        <w:ind w:firstLine="480"/>
        <w:rPr>
          <w:rFonts w:cs="Times New Roman" w:eastAsiaTheme="minorEastAsia"/>
          <w:szCs w:val="24"/>
        </w:rPr>
      </w:pPr>
      <w:r>
        <w:rPr>
          <w:rFonts w:cs="Times New Roman" w:eastAsiaTheme="minorEastAsia"/>
          <w:szCs w:val="24"/>
        </w:rPr>
        <w:t>（12）《中华人民共和国防沙治沙法》（2018年10月）；</w:t>
      </w:r>
    </w:p>
    <w:p>
      <w:pPr>
        <w:ind w:firstLine="480"/>
        <w:rPr>
          <w:rFonts w:cs="Times New Roman" w:eastAsiaTheme="minorEastAsia"/>
          <w:szCs w:val="24"/>
        </w:rPr>
      </w:pPr>
      <w:r>
        <w:rPr>
          <w:rFonts w:cs="Times New Roman" w:eastAsiaTheme="minorEastAsia"/>
          <w:szCs w:val="24"/>
        </w:rPr>
        <w:t>（13）《中华人民共和国湿地保护法》（2022年6月）；</w:t>
      </w:r>
    </w:p>
    <w:p>
      <w:pPr>
        <w:ind w:firstLine="480"/>
        <w:rPr>
          <w:rFonts w:cs="Times New Roman" w:eastAsiaTheme="minorEastAsia"/>
          <w:szCs w:val="24"/>
        </w:rPr>
      </w:pPr>
      <w:r>
        <w:rPr>
          <w:rFonts w:cs="Times New Roman" w:eastAsiaTheme="minorEastAsia"/>
          <w:szCs w:val="24"/>
        </w:rPr>
        <w:t>（14）《中华人民共和国大气污染防治法》（2018年10月)；</w:t>
      </w:r>
    </w:p>
    <w:p>
      <w:pPr>
        <w:ind w:firstLine="480"/>
        <w:rPr>
          <w:rFonts w:cs="Times New Roman" w:eastAsiaTheme="minorEastAsia"/>
          <w:szCs w:val="24"/>
        </w:rPr>
      </w:pPr>
      <w:r>
        <w:rPr>
          <w:rFonts w:cs="Times New Roman" w:eastAsiaTheme="minorEastAsia"/>
          <w:szCs w:val="24"/>
        </w:rPr>
        <w:t>（15）《中华人民共和国噪声污染防治法》(2021年12月）；</w:t>
      </w:r>
    </w:p>
    <w:p>
      <w:pPr>
        <w:ind w:firstLine="480"/>
        <w:rPr>
          <w:rFonts w:cs="Times New Roman" w:eastAsiaTheme="minorEastAsia"/>
          <w:szCs w:val="24"/>
        </w:rPr>
      </w:pPr>
      <w:r>
        <w:rPr>
          <w:rFonts w:cs="Times New Roman" w:eastAsiaTheme="minorEastAsia"/>
          <w:szCs w:val="24"/>
        </w:rPr>
        <w:t>（16）《中华人民共和国固体废物污染环境防治法》（2020年4月）；</w:t>
      </w:r>
    </w:p>
    <w:p>
      <w:pPr>
        <w:ind w:firstLine="480"/>
        <w:rPr>
          <w:rFonts w:cs="Times New Roman" w:eastAsiaTheme="minorEastAsia"/>
          <w:szCs w:val="24"/>
        </w:rPr>
      </w:pPr>
      <w:r>
        <w:rPr>
          <w:rFonts w:cs="Times New Roman" w:eastAsiaTheme="minorEastAsia"/>
          <w:szCs w:val="24"/>
        </w:rPr>
        <w:t>（17）《中华人民共和国土壤污染防治法》（2018年8月）。</w:t>
      </w:r>
    </w:p>
    <w:p>
      <w:pPr>
        <w:pStyle w:val="4"/>
        <w:rPr>
          <w:rFonts w:cs="Times New Roman"/>
        </w:rPr>
      </w:pPr>
      <w:r>
        <w:rPr>
          <w:rFonts w:cs="Times New Roman"/>
        </w:rPr>
        <w:t>1.2.2 行政法规及规范性文件</w:t>
      </w:r>
    </w:p>
    <w:p>
      <w:pPr>
        <w:ind w:firstLine="480"/>
        <w:rPr>
          <w:rFonts w:cs="Times New Roman" w:eastAsiaTheme="minorEastAsia"/>
          <w:szCs w:val="24"/>
        </w:rPr>
      </w:pPr>
      <w:bookmarkStart w:id="8" w:name="_Toc125741710"/>
      <w:bookmarkStart w:id="9" w:name="_Toc126401282"/>
      <w:r>
        <w:rPr>
          <w:rFonts w:cs="Times New Roman" w:eastAsiaTheme="minorEastAsia"/>
          <w:szCs w:val="24"/>
        </w:rPr>
        <w:t>（1）《建设项目环境保护管理条例》（2017年7月）；</w:t>
      </w:r>
    </w:p>
    <w:p>
      <w:pPr>
        <w:ind w:firstLine="480"/>
        <w:rPr>
          <w:rFonts w:cs="Times New Roman" w:eastAsiaTheme="minorEastAsia"/>
          <w:szCs w:val="24"/>
        </w:rPr>
      </w:pPr>
      <w:r>
        <w:rPr>
          <w:rFonts w:cs="Times New Roman" w:eastAsiaTheme="minorEastAsia"/>
          <w:szCs w:val="24"/>
        </w:rPr>
        <w:t>（2）《中华人民共和国森林法实施条例》（2018年3月）；</w:t>
      </w:r>
    </w:p>
    <w:p>
      <w:pPr>
        <w:ind w:firstLine="480"/>
        <w:rPr>
          <w:rFonts w:cs="Times New Roman" w:eastAsiaTheme="minorEastAsia"/>
          <w:szCs w:val="24"/>
        </w:rPr>
      </w:pPr>
      <w:r>
        <w:rPr>
          <w:rFonts w:cs="Times New Roman" w:eastAsiaTheme="minorEastAsia"/>
          <w:szCs w:val="24"/>
        </w:rPr>
        <w:t>（3）《中华人民共和国野生植物保护条例》（2017年10月）；</w:t>
      </w:r>
    </w:p>
    <w:p>
      <w:pPr>
        <w:ind w:firstLine="480"/>
        <w:rPr>
          <w:rFonts w:cs="Times New Roman" w:eastAsiaTheme="minorEastAsia"/>
          <w:szCs w:val="24"/>
        </w:rPr>
      </w:pPr>
      <w:r>
        <w:rPr>
          <w:rFonts w:cs="Times New Roman" w:eastAsiaTheme="minorEastAsia"/>
          <w:szCs w:val="24"/>
        </w:rPr>
        <w:t>（4）《中华人民共和国陆生野生动物保护实施条例》（2017年10月）；</w:t>
      </w:r>
    </w:p>
    <w:p>
      <w:pPr>
        <w:ind w:firstLine="480"/>
        <w:rPr>
          <w:rFonts w:cs="Times New Roman" w:eastAsiaTheme="minorEastAsia"/>
          <w:szCs w:val="24"/>
        </w:rPr>
      </w:pPr>
      <w:r>
        <w:rPr>
          <w:rFonts w:cs="Times New Roman" w:eastAsiaTheme="minorEastAsia"/>
          <w:szCs w:val="24"/>
        </w:rPr>
        <w:t>（5）《中华人民共和国水生野生动物保护实施条例》（2013年12月）；</w:t>
      </w:r>
    </w:p>
    <w:p>
      <w:pPr>
        <w:ind w:firstLine="480"/>
        <w:rPr>
          <w:rFonts w:cs="Times New Roman" w:eastAsiaTheme="minorEastAsia"/>
          <w:szCs w:val="24"/>
        </w:rPr>
      </w:pPr>
      <w:r>
        <w:rPr>
          <w:rFonts w:cs="Times New Roman" w:eastAsiaTheme="minorEastAsia"/>
          <w:szCs w:val="24"/>
        </w:rPr>
        <w:t>（6）《中华人民共和国河道管理条例》（2017年10月）；</w:t>
      </w:r>
    </w:p>
    <w:p>
      <w:pPr>
        <w:ind w:firstLine="480"/>
        <w:rPr>
          <w:rFonts w:cs="Times New Roman" w:eastAsiaTheme="minorEastAsia"/>
          <w:szCs w:val="24"/>
        </w:rPr>
      </w:pPr>
      <w:r>
        <w:rPr>
          <w:rFonts w:cs="Times New Roman" w:eastAsiaTheme="minorEastAsia"/>
          <w:szCs w:val="24"/>
        </w:rPr>
        <w:t>（7）《中华人民共和国自然保护区条例》（2017年10月）；</w:t>
      </w:r>
    </w:p>
    <w:p>
      <w:pPr>
        <w:ind w:firstLine="480"/>
        <w:rPr>
          <w:rFonts w:cs="Times New Roman" w:eastAsiaTheme="minorEastAsia"/>
          <w:szCs w:val="24"/>
        </w:rPr>
      </w:pPr>
      <w:r>
        <w:rPr>
          <w:rFonts w:cs="Times New Roman" w:eastAsiaTheme="minorEastAsia"/>
          <w:szCs w:val="24"/>
        </w:rPr>
        <w:t>（8）《地下水管理条例》（国务院令第748号，2021年10月）；</w:t>
      </w:r>
    </w:p>
    <w:p>
      <w:pPr>
        <w:ind w:firstLine="480"/>
        <w:rPr>
          <w:rFonts w:cs="Times New Roman" w:eastAsiaTheme="minorEastAsia"/>
          <w:szCs w:val="24"/>
        </w:rPr>
      </w:pPr>
      <w:r>
        <w:rPr>
          <w:rFonts w:cs="Times New Roman" w:eastAsiaTheme="minorEastAsia"/>
          <w:szCs w:val="24"/>
        </w:rPr>
        <w:t>（9）《节约用水条例》（国务院令第776号，2024年3月）；</w:t>
      </w:r>
    </w:p>
    <w:p>
      <w:pPr>
        <w:ind w:firstLine="480"/>
        <w:rPr>
          <w:rFonts w:cs="Times New Roman" w:eastAsiaTheme="minorEastAsia"/>
          <w:szCs w:val="24"/>
        </w:rPr>
      </w:pPr>
      <w:r>
        <w:rPr>
          <w:rFonts w:cs="Times New Roman" w:eastAsiaTheme="minorEastAsia"/>
          <w:szCs w:val="24"/>
        </w:rPr>
        <w:t>（10）《国务院关于实行最严格水资源管理制度的意见》（国发〔2012〕3号，2012年1月）；</w:t>
      </w:r>
    </w:p>
    <w:p>
      <w:pPr>
        <w:ind w:firstLine="480"/>
        <w:rPr>
          <w:rFonts w:cs="Times New Roman" w:eastAsiaTheme="minorEastAsia"/>
          <w:szCs w:val="24"/>
        </w:rPr>
      </w:pPr>
      <w:r>
        <w:rPr>
          <w:rFonts w:cs="Times New Roman" w:eastAsiaTheme="minorEastAsia"/>
          <w:szCs w:val="24"/>
        </w:rPr>
        <w:t>（11）《国务院关于印发水污染防治行动计划的通知》（国发〔2015〕17号，2015年4月）；</w:t>
      </w:r>
    </w:p>
    <w:p>
      <w:pPr>
        <w:ind w:firstLine="480"/>
        <w:rPr>
          <w:rFonts w:cs="Times New Roman" w:eastAsiaTheme="minorEastAsia"/>
          <w:szCs w:val="24"/>
        </w:rPr>
      </w:pPr>
      <w:r>
        <w:rPr>
          <w:rFonts w:cs="Times New Roman" w:eastAsiaTheme="minorEastAsia"/>
          <w:szCs w:val="24"/>
        </w:rPr>
        <w:t>（12）《关于划定并严守生态保护红线的若干意见》（中共中央办公厅、国务院办公厅，2017年2月）；</w:t>
      </w:r>
    </w:p>
    <w:p>
      <w:pPr>
        <w:ind w:firstLine="480"/>
        <w:rPr>
          <w:rFonts w:cs="Times New Roman" w:eastAsiaTheme="minorEastAsia"/>
          <w:szCs w:val="24"/>
        </w:rPr>
      </w:pPr>
      <w:r>
        <w:rPr>
          <w:rFonts w:cs="Times New Roman" w:eastAsiaTheme="minorEastAsia"/>
          <w:szCs w:val="24"/>
        </w:rPr>
        <w:t>（13）《关于进一步加强生物多样性保护的意见》（中共中央办公厅、国务院办公厅、2021年10月）；</w:t>
      </w:r>
    </w:p>
    <w:p>
      <w:pPr>
        <w:ind w:firstLine="480"/>
        <w:rPr>
          <w:rFonts w:cs="Times New Roman" w:eastAsiaTheme="minorEastAsia"/>
          <w:szCs w:val="24"/>
        </w:rPr>
      </w:pPr>
      <w:r>
        <w:rPr>
          <w:rFonts w:cs="Times New Roman" w:eastAsiaTheme="minorEastAsia"/>
          <w:szCs w:val="24"/>
        </w:rPr>
        <w:t>（14）</w:t>
      </w:r>
      <w:r>
        <w:rPr>
          <w:rFonts w:cs="Times New Roman" w:eastAsiaTheme="minorEastAsia"/>
          <w:color w:val="FF0000"/>
          <w:kern w:val="0"/>
          <w:szCs w:val="24"/>
        </w:rPr>
        <w:t>《关于建立国土空间规划体系并监督实施的若干意见》（</w:t>
      </w:r>
      <w:r>
        <w:rPr>
          <w:rFonts w:cs="Times New Roman" w:eastAsiaTheme="minorEastAsia"/>
          <w:color w:val="FF0000"/>
          <w:kern w:val="0"/>
        </w:rPr>
        <w:t>中发[2019]18号）（中共中央 国务院，</w:t>
      </w:r>
      <w:r>
        <w:rPr>
          <w:rFonts w:cs="Times New Roman" w:eastAsiaTheme="minorEastAsia"/>
          <w:color w:val="FF0000"/>
          <w:kern w:val="0"/>
          <w:szCs w:val="24"/>
        </w:rPr>
        <w:t>2019年</w:t>
      </w:r>
      <w:r>
        <w:rPr>
          <w:rFonts w:cs="Times New Roman" w:eastAsiaTheme="minorEastAsia"/>
          <w:color w:val="FF0000"/>
          <w:kern w:val="0"/>
        </w:rPr>
        <w:t>5</w:t>
      </w:r>
      <w:r>
        <w:rPr>
          <w:rFonts w:cs="Times New Roman" w:eastAsiaTheme="minorEastAsia"/>
          <w:color w:val="FF0000"/>
          <w:kern w:val="0"/>
          <w:szCs w:val="24"/>
        </w:rPr>
        <w:t>月</w:t>
      </w:r>
      <w:r>
        <w:rPr>
          <w:rFonts w:cs="Times New Roman" w:eastAsiaTheme="minorEastAsia"/>
          <w:color w:val="FF0000"/>
          <w:kern w:val="0"/>
        </w:rPr>
        <w:t>）；</w:t>
      </w:r>
    </w:p>
    <w:p>
      <w:pPr>
        <w:ind w:firstLine="480"/>
        <w:rPr>
          <w:rFonts w:cs="Times New Roman" w:eastAsiaTheme="minorEastAsia"/>
          <w:szCs w:val="24"/>
        </w:rPr>
      </w:pPr>
      <w:r>
        <w:rPr>
          <w:rFonts w:cs="Times New Roman" w:eastAsiaTheme="minorEastAsia"/>
          <w:szCs w:val="24"/>
        </w:rPr>
        <w:t>（15）《关于加强生态环境分区管控的意见》（中共中央办公厅、国务院办公厅，2024年3月）。</w:t>
      </w:r>
    </w:p>
    <w:p>
      <w:pPr>
        <w:ind w:firstLine="480"/>
        <w:rPr>
          <w:rFonts w:cs="Times New Roman" w:eastAsiaTheme="minorEastAsia"/>
          <w:color w:val="00B050"/>
          <w:szCs w:val="24"/>
        </w:rPr>
      </w:pPr>
      <w:r>
        <w:rPr>
          <w:rFonts w:cs="Times New Roman" w:eastAsiaTheme="minorEastAsia"/>
          <w:color w:val="00B050"/>
          <w:szCs w:val="24"/>
        </w:rPr>
        <w:t>（16）《全国主体功能区划》(国发[2010]46号)。</w:t>
      </w:r>
    </w:p>
    <w:p>
      <w:pPr>
        <w:pStyle w:val="4"/>
        <w:rPr>
          <w:rFonts w:cs="Times New Roman"/>
        </w:rPr>
      </w:pPr>
      <w:bookmarkStart w:id="10" w:name="_Toc153189774"/>
      <w:r>
        <w:rPr>
          <w:rFonts w:cs="Times New Roman"/>
        </w:rPr>
        <w:t>1.2.3 部委规章</w:t>
      </w:r>
      <w:bookmarkEnd w:id="8"/>
      <w:bookmarkEnd w:id="9"/>
      <w:bookmarkEnd w:id="10"/>
      <w:r>
        <w:rPr>
          <w:rFonts w:cs="Times New Roman"/>
        </w:rPr>
        <w:t>及地方性法规</w:t>
      </w:r>
    </w:p>
    <w:p>
      <w:pPr>
        <w:ind w:firstLine="480"/>
        <w:rPr>
          <w:rFonts w:cs="Times New Roman" w:eastAsiaTheme="minorEastAsia"/>
          <w:szCs w:val="24"/>
        </w:rPr>
      </w:pPr>
      <w:r>
        <w:rPr>
          <w:rFonts w:cs="Times New Roman" w:eastAsiaTheme="minorEastAsia"/>
          <w:szCs w:val="24"/>
        </w:rPr>
        <w:t>（1）《关于印发&lt;国家级自然公园管理办法（试行）&gt;的通知》（林保规[2023]4号）（国家林业和草原局，2023年10月）；</w:t>
      </w:r>
    </w:p>
    <w:p>
      <w:pPr>
        <w:ind w:firstLine="480"/>
        <w:rPr>
          <w:rFonts w:cs="Times New Roman" w:eastAsiaTheme="minorEastAsia"/>
          <w:szCs w:val="24"/>
        </w:rPr>
      </w:pPr>
      <w:r>
        <w:rPr>
          <w:rFonts w:cs="Times New Roman" w:eastAsiaTheme="minorEastAsia"/>
          <w:szCs w:val="24"/>
        </w:rPr>
        <w:t>（2）《全国生态功能区划（修编版）》（生态环境部，公告2015年第61号）；</w:t>
      </w:r>
    </w:p>
    <w:p>
      <w:pPr>
        <w:ind w:firstLine="480"/>
        <w:rPr>
          <w:rFonts w:cs="Times New Roman" w:eastAsiaTheme="minorEastAsia"/>
          <w:color w:val="00B050"/>
          <w:szCs w:val="24"/>
        </w:rPr>
      </w:pPr>
      <w:r>
        <w:rPr>
          <w:rFonts w:cs="Times New Roman"/>
          <w:color w:val="00B050"/>
        </w:rPr>
        <w:t>（3）《全国主体功能区划》(国发[2010]46号)；</w:t>
      </w:r>
    </w:p>
    <w:p>
      <w:pPr>
        <w:ind w:firstLine="480"/>
        <w:rPr>
          <w:rFonts w:cs="Times New Roman" w:eastAsiaTheme="minorEastAsia"/>
          <w:color w:val="00B050"/>
          <w:szCs w:val="24"/>
        </w:rPr>
      </w:pPr>
      <w:r>
        <w:rPr>
          <w:rFonts w:cs="Times New Roman" w:eastAsiaTheme="minorEastAsia"/>
          <w:color w:val="00B050"/>
          <w:szCs w:val="24"/>
        </w:rPr>
        <w:t>（4）《国家重点保护野生动物名录》（国家林业和草原局、农业农村部公告，2021年第3号）；</w:t>
      </w:r>
    </w:p>
    <w:p>
      <w:pPr>
        <w:ind w:firstLine="480"/>
        <w:rPr>
          <w:rFonts w:cs="Times New Roman" w:eastAsiaTheme="minorEastAsia"/>
          <w:color w:val="00B050"/>
          <w:szCs w:val="24"/>
        </w:rPr>
      </w:pPr>
      <w:r>
        <w:rPr>
          <w:rFonts w:cs="Times New Roman" w:eastAsiaTheme="minorEastAsia"/>
          <w:color w:val="00B050"/>
          <w:szCs w:val="24"/>
        </w:rPr>
        <w:t>（5）《国家重点保护野生植物名录》（国家林业和草原局、农业农村部公告，2021年第15号；</w:t>
      </w:r>
    </w:p>
    <w:p>
      <w:pPr>
        <w:ind w:firstLine="480"/>
        <w:rPr>
          <w:rFonts w:cs="Times New Roman" w:eastAsiaTheme="minorEastAsia"/>
          <w:szCs w:val="24"/>
        </w:rPr>
      </w:pPr>
      <w:r>
        <w:rPr>
          <w:rFonts w:cs="Times New Roman" w:eastAsiaTheme="minorEastAsia"/>
          <w:color w:val="00B050"/>
          <w:szCs w:val="24"/>
        </w:rPr>
        <w:t>（6）</w:t>
      </w:r>
      <w:r>
        <w:rPr>
          <w:rFonts w:cs="Times New Roman" w:eastAsiaTheme="minorEastAsia"/>
          <w:szCs w:val="24"/>
        </w:rPr>
        <w:t>《关于进一步加强水利规划环境影响评价工作的通知》（环发〔2014〕43号）；</w:t>
      </w:r>
    </w:p>
    <w:p>
      <w:pPr>
        <w:ind w:firstLine="480"/>
        <w:rPr>
          <w:rFonts w:cs="Times New Roman" w:eastAsiaTheme="minorEastAsia"/>
          <w:color w:val="00B050"/>
          <w:szCs w:val="24"/>
        </w:rPr>
      </w:pPr>
      <w:r>
        <w:rPr>
          <w:rFonts w:cs="Times New Roman" w:eastAsiaTheme="minorEastAsia"/>
          <w:color w:val="00B050"/>
          <w:szCs w:val="24"/>
        </w:rPr>
        <w:t>（7）《关于加强规划环境影响评价与建设项目环境影响评价联动工作的意见》（环发〔2015〕178号，2015年2月）；</w:t>
      </w:r>
    </w:p>
    <w:p>
      <w:pPr>
        <w:ind w:firstLine="480"/>
        <w:rPr>
          <w:rFonts w:cs="Times New Roman" w:eastAsiaTheme="minorEastAsia"/>
          <w:color w:val="00B050"/>
          <w:szCs w:val="24"/>
        </w:rPr>
      </w:pPr>
      <w:r>
        <w:rPr>
          <w:rFonts w:cs="Times New Roman" w:eastAsiaTheme="minorEastAsia"/>
          <w:color w:val="00B050"/>
          <w:szCs w:val="24"/>
        </w:rPr>
        <w:t>（8）《建设项目环境影响评价分类管理名录（2021年版）》（</w:t>
      </w:r>
      <w:r>
        <w:rPr>
          <w:rFonts w:hint="eastAsia" w:cs="Times New Roman" w:eastAsiaTheme="minorEastAsia"/>
          <w:color w:val="00B050"/>
          <w:szCs w:val="24"/>
          <w:lang w:val="en-US" w:eastAsia="zh-CN"/>
        </w:rPr>
        <w:t>环保</w:t>
      </w:r>
      <w:r>
        <w:rPr>
          <w:rFonts w:cs="Times New Roman" w:eastAsiaTheme="minorEastAsia"/>
          <w:color w:val="00B050"/>
          <w:szCs w:val="24"/>
        </w:rPr>
        <w:t>部令第16号）；</w:t>
      </w:r>
    </w:p>
    <w:p>
      <w:pPr>
        <w:ind w:firstLine="480"/>
        <w:rPr>
          <w:rFonts w:cs="Times New Roman" w:eastAsiaTheme="minorEastAsia"/>
          <w:szCs w:val="24"/>
        </w:rPr>
      </w:pPr>
      <w:r>
        <w:rPr>
          <w:rFonts w:cs="Times New Roman" w:eastAsiaTheme="minorEastAsia"/>
          <w:color w:val="00B050"/>
          <w:szCs w:val="24"/>
        </w:rPr>
        <w:t>（9）</w:t>
      </w:r>
      <w:r>
        <w:rPr>
          <w:rFonts w:cs="Times New Roman" w:eastAsiaTheme="minorEastAsia"/>
          <w:szCs w:val="24"/>
        </w:rPr>
        <w:t>《关于规划环境影响评价加强空间管制、总量管控和环境准入的指导意见（试行）》（环办环评〔2016〕14号）；</w:t>
      </w:r>
    </w:p>
    <w:p>
      <w:pPr>
        <w:ind w:firstLine="480"/>
        <w:rPr>
          <w:rFonts w:cs="Times New Roman" w:eastAsiaTheme="minorEastAsia"/>
          <w:szCs w:val="24"/>
        </w:rPr>
      </w:pPr>
      <w:r>
        <w:rPr>
          <w:rFonts w:cs="Times New Roman" w:eastAsiaTheme="minorEastAsia"/>
          <w:color w:val="00B050"/>
          <w:szCs w:val="24"/>
        </w:rPr>
        <w:t>（10）</w:t>
      </w:r>
      <w:r>
        <w:rPr>
          <w:rFonts w:cs="Times New Roman" w:eastAsiaTheme="minorEastAsia"/>
          <w:szCs w:val="24"/>
        </w:rPr>
        <w:t>《关于加强资源环境生态红线管控的指导意见》（发改环资〔2016〕1162号）；</w:t>
      </w:r>
    </w:p>
    <w:p>
      <w:pPr>
        <w:ind w:firstLine="480"/>
        <w:rPr>
          <w:rFonts w:cs="Times New Roman" w:eastAsiaTheme="minorEastAsia"/>
          <w:szCs w:val="24"/>
        </w:rPr>
      </w:pPr>
      <w:r>
        <w:rPr>
          <w:rFonts w:cs="Times New Roman" w:eastAsiaTheme="minorEastAsia"/>
          <w:color w:val="00B050"/>
          <w:szCs w:val="24"/>
        </w:rPr>
        <w:t>（11）</w:t>
      </w:r>
      <w:r>
        <w:rPr>
          <w:rFonts w:cs="Times New Roman" w:eastAsiaTheme="minorEastAsia"/>
          <w:szCs w:val="24"/>
        </w:rPr>
        <w:t>《生态保护红线生态环境监督办法（试行）》（国环规生[2022]2号）；</w:t>
      </w:r>
    </w:p>
    <w:p>
      <w:pPr>
        <w:ind w:firstLine="480"/>
        <w:rPr>
          <w:rFonts w:cs="Times New Roman" w:eastAsiaTheme="minorEastAsia"/>
          <w:szCs w:val="24"/>
        </w:rPr>
      </w:pPr>
      <w:r>
        <w:rPr>
          <w:rFonts w:cs="Times New Roman" w:eastAsiaTheme="minorEastAsia"/>
          <w:color w:val="00B050"/>
          <w:szCs w:val="24"/>
        </w:rPr>
        <w:t>（12）</w:t>
      </w:r>
      <w:r>
        <w:rPr>
          <w:rFonts w:cs="Times New Roman" w:eastAsiaTheme="minorEastAsia"/>
          <w:szCs w:val="24"/>
        </w:rPr>
        <w:t>《关于加强生态保护红线管理的通知（试行）》（自然资发[2022]142号，2022年8月）；</w:t>
      </w:r>
    </w:p>
    <w:p>
      <w:pPr>
        <w:ind w:firstLine="480"/>
        <w:rPr>
          <w:rFonts w:cs="Times New Roman" w:eastAsiaTheme="minorEastAsia"/>
          <w:szCs w:val="24"/>
        </w:rPr>
      </w:pPr>
      <w:r>
        <w:rPr>
          <w:rFonts w:cs="Times New Roman" w:eastAsiaTheme="minorEastAsia"/>
          <w:color w:val="00B050"/>
          <w:szCs w:val="24"/>
        </w:rPr>
        <w:t>（13）</w:t>
      </w:r>
      <w:r>
        <w:rPr>
          <w:rFonts w:cs="Times New Roman" w:eastAsiaTheme="minorEastAsia"/>
          <w:szCs w:val="24"/>
        </w:rPr>
        <w:t>《“十四五”节水型社会建设规划》（发改环资〔2021〕1516号，2021年10月）；</w:t>
      </w:r>
    </w:p>
    <w:p>
      <w:pPr>
        <w:ind w:firstLine="480"/>
        <w:rPr>
          <w:rFonts w:cs="Times New Roman" w:eastAsiaTheme="minorEastAsia"/>
          <w:szCs w:val="24"/>
        </w:rPr>
      </w:pPr>
      <w:r>
        <w:rPr>
          <w:rFonts w:cs="Times New Roman" w:eastAsiaTheme="minorEastAsia"/>
          <w:color w:val="00B050"/>
          <w:szCs w:val="24"/>
        </w:rPr>
        <w:t>（14）</w:t>
      </w:r>
      <w:r>
        <w:rPr>
          <w:rFonts w:cs="Times New Roman" w:eastAsiaTheme="minorEastAsia"/>
          <w:szCs w:val="24"/>
        </w:rPr>
        <w:t>《国家发展改革委等部门关于进一步加强水资源节约集约利用的意见》（发改环资[2023]1193号）；</w:t>
      </w:r>
    </w:p>
    <w:p>
      <w:pPr>
        <w:ind w:firstLine="480"/>
        <w:rPr>
          <w:rFonts w:cs="Times New Roman" w:eastAsiaTheme="minorEastAsia"/>
          <w:szCs w:val="24"/>
        </w:rPr>
      </w:pPr>
      <w:r>
        <w:rPr>
          <w:rFonts w:cs="Times New Roman" w:eastAsiaTheme="minorEastAsia"/>
          <w:color w:val="00B050"/>
          <w:szCs w:val="24"/>
        </w:rPr>
        <w:t>（15）</w:t>
      </w:r>
      <w:r>
        <w:rPr>
          <w:rFonts w:cs="Times New Roman" w:eastAsiaTheme="minorEastAsia"/>
          <w:szCs w:val="24"/>
        </w:rPr>
        <w:t>《关于印发生态环境分区管控管理暂行规定的通知》（环环评[2024]41号）（2024年7月6日，生态环境部）；</w:t>
      </w:r>
    </w:p>
    <w:p>
      <w:pPr>
        <w:ind w:firstLine="480"/>
        <w:rPr>
          <w:rFonts w:cs="Times New Roman" w:eastAsiaTheme="minorEastAsia"/>
          <w:color w:val="00B050"/>
          <w:szCs w:val="24"/>
        </w:rPr>
      </w:pPr>
      <w:r>
        <w:rPr>
          <w:rFonts w:cs="Times New Roman" w:eastAsiaTheme="minorEastAsia"/>
          <w:color w:val="00B050"/>
          <w:szCs w:val="24"/>
        </w:rPr>
        <w:t>（16）《关于印发水电水利建设项目河道生态用水、低温水和过鱼设施环境影响评价技术指南(试行)的函》（环评函〔2006〕4号，2006年1月）；</w:t>
      </w:r>
    </w:p>
    <w:p>
      <w:pPr>
        <w:ind w:firstLine="480"/>
        <w:rPr>
          <w:rFonts w:cs="Times New Roman" w:eastAsiaTheme="minorEastAsia"/>
          <w:szCs w:val="24"/>
        </w:rPr>
      </w:pPr>
      <w:r>
        <w:rPr>
          <w:rFonts w:cs="Times New Roman" w:eastAsiaTheme="minorEastAsia"/>
          <w:color w:val="00B050"/>
          <w:szCs w:val="24"/>
        </w:rPr>
        <w:t>（17）</w:t>
      </w:r>
      <w:r>
        <w:rPr>
          <w:rFonts w:cs="Times New Roman" w:eastAsiaTheme="minorEastAsia"/>
          <w:szCs w:val="24"/>
        </w:rPr>
        <w:t>《新疆维吾尔自治区环境保护条例》（新疆维吾尔自治区十二届人大常委会第25次会议第二次修订，2017年1月1日起施行）；</w:t>
      </w:r>
    </w:p>
    <w:p>
      <w:pPr>
        <w:ind w:firstLine="480"/>
        <w:rPr>
          <w:rFonts w:cs="Times New Roman" w:eastAsiaTheme="minorEastAsia"/>
          <w:szCs w:val="24"/>
        </w:rPr>
      </w:pPr>
      <w:r>
        <w:rPr>
          <w:rFonts w:cs="Times New Roman" w:eastAsiaTheme="minorEastAsia"/>
          <w:color w:val="00B050"/>
          <w:szCs w:val="24"/>
        </w:rPr>
        <w:t>（18）</w:t>
      </w:r>
      <w:r>
        <w:rPr>
          <w:rFonts w:cs="Times New Roman" w:eastAsiaTheme="minorEastAsia"/>
          <w:szCs w:val="24"/>
        </w:rPr>
        <w:t>《新疆维吾尔自治区野生植物保护条例》（新疆维吾尔自治区人民代表大会常务委员会，2018年9月21日第二次修订）；</w:t>
      </w:r>
    </w:p>
    <w:p>
      <w:pPr>
        <w:ind w:firstLine="480"/>
        <w:rPr>
          <w:rFonts w:cs="Times New Roman" w:eastAsiaTheme="minorEastAsia"/>
          <w:color w:val="00B050"/>
          <w:szCs w:val="24"/>
        </w:rPr>
      </w:pPr>
      <w:r>
        <w:rPr>
          <w:rFonts w:cs="Times New Roman" w:eastAsiaTheme="minorEastAsia"/>
          <w:color w:val="00B050"/>
          <w:szCs w:val="24"/>
        </w:rPr>
        <w:t>（19）《新疆维吾尔自治区重点保护野生动物名录（修订）》（2022年9月）；</w:t>
      </w:r>
    </w:p>
    <w:p>
      <w:pPr>
        <w:ind w:firstLine="480"/>
        <w:rPr>
          <w:rFonts w:cs="Times New Roman" w:eastAsiaTheme="minorEastAsia"/>
          <w:color w:val="00B050"/>
          <w:szCs w:val="24"/>
        </w:rPr>
      </w:pPr>
      <w:r>
        <w:rPr>
          <w:rFonts w:cs="Times New Roman" w:eastAsiaTheme="minorEastAsia"/>
          <w:color w:val="00B050"/>
          <w:szCs w:val="24"/>
        </w:rPr>
        <w:t>（20）《新疆维吾尔自治区重点保护野生植物名录》（新政办发〔2023〕年63号）；</w:t>
      </w:r>
    </w:p>
    <w:p>
      <w:pPr>
        <w:ind w:firstLine="480"/>
        <w:rPr>
          <w:rFonts w:cs="Times New Roman" w:eastAsiaTheme="minorEastAsia"/>
          <w:szCs w:val="24"/>
        </w:rPr>
      </w:pPr>
      <w:r>
        <w:rPr>
          <w:rFonts w:cs="Times New Roman" w:eastAsiaTheme="minorEastAsia"/>
          <w:color w:val="00B050"/>
          <w:szCs w:val="24"/>
        </w:rPr>
        <w:t>（21）</w:t>
      </w:r>
      <w:r>
        <w:rPr>
          <w:rFonts w:cs="Times New Roman" w:eastAsiaTheme="minorEastAsia"/>
          <w:szCs w:val="24"/>
        </w:rPr>
        <w:t>《关于印发新疆维吾尔自治区水污染防治工作方案的通知》，（新政发〔2016〕21号）；</w:t>
      </w:r>
    </w:p>
    <w:p>
      <w:pPr>
        <w:ind w:firstLine="480"/>
        <w:rPr>
          <w:rFonts w:cs="Times New Roman" w:eastAsiaTheme="minorEastAsia"/>
          <w:szCs w:val="24"/>
        </w:rPr>
      </w:pPr>
      <w:r>
        <w:rPr>
          <w:rFonts w:cs="Times New Roman" w:eastAsiaTheme="minorEastAsia"/>
          <w:color w:val="00B050"/>
          <w:szCs w:val="24"/>
        </w:rPr>
        <w:t>（22）</w:t>
      </w:r>
      <w:r>
        <w:rPr>
          <w:rFonts w:cs="Times New Roman" w:eastAsiaTheme="minorEastAsia"/>
          <w:szCs w:val="24"/>
        </w:rPr>
        <w:t>《新疆生态功能区划》（新疆维吾尔自治区环境保护厅，2005年7月14日）；</w:t>
      </w:r>
    </w:p>
    <w:p>
      <w:pPr>
        <w:ind w:firstLine="480"/>
        <w:rPr>
          <w:rFonts w:cs="Times New Roman" w:eastAsiaTheme="minorEastAsia"/>
          <w:szCs w:val="24"/>
        </w:rPr>
      </w:pPr>
      <w:r>
        <w:rPr>
          <w:rFonts w:cs="Times New Roman" w:eastAsiaTheme="minorEastAsia"/>
          <w:color w:val="00B050"/>
          <w:szCs w:val="24"/>
        </w:rPr>
        <w:t>（23）</w:t>
      </w:r>
      <w:r>
        <w:rPr>
          <w:rFonts w:cs="Times New Roman" w:eastAsiaTheme="minorEastAsia"/>
          <w:szCs w:val="24"/>
        </w:rPr>
        <w:t>《新疆水环境功能区划》（新疆维吾尔自治区环境保护厅，2003年10月）；</w:t>
      </w:r>
    </w:p>
    <w:p>
      <w:pPr>
        <w:ind w:firstLine="480"/>
        <w:rPr>
          <w:rFonts w:cs="Times New Roman" w:eastAsiaTheme="minorEastAsia"/>
          <w:szCs w:val="24"/>
        </w:rPr>
      </w:pPr>
      <w:r>
        <w:rPr>
          <w:rFonts w:cs="Times New Roman" w:eastAsiaTheme="minorEastAsia"/>
          <w:color w:val="00B050"/>
          <w:szCs w:val="24"/>
        </w:rPr>
        <w:t>（24）</w:t>
      </w:r>
      <w:r>
        <w:rPr>
          <w:rFonts w:cs="Times New Roman" w:eastAsiaTheme="minorEastAsia"/>
          <w:szCs w:val="24"/>
        </w:rPr>
        <w:t>《新疆维吾尔自治区主体功能区划》（新政发〔2012〕107号）；</w:t>
      </w:r>
    </w:p>
    <w:p>
      <w:pPr>
        <w:ind w:firstLine="480"/>
        <w:rPr>
          <w:rFonts w:cs="Times New Roman" w:eastAsiaTheme="minorEastAsia"/>
          <w:szCs w:val="24"/>
        </w:rPr>
      </w:pPr>
      <w:r>
        <w:rPr>
          <w:rFonts w:cs="Times New Roman" w:eastAsiaTheme="minorEastAsia"/>
          <w:color w:val="00B050"/>
          <w:szCs w:val="24"/>
        </w:rPr>
        <w:t>（25）</w:t>
      </w:r>
      <w:r>
        <w:rPr>
          <w:rFonts w:cs="Times New Roman" w:eastAsiaTheme="minorEastAsia"/>
          <w:szCs w:val="24"/>
        </w:rPr>
        <w:t>《新疆维吾尔自治区“三线一单”生态环境分区管控方案》（新政发〔2021〕18号）；</w:t>
      </w:r>
    </w:p>
    <w:p>
      <w:pPr>
        <w:ind w:firstLine="480"/>
        <w:rPr>
          <w:rFonts w:cs="Times New Roman" w:eastAsiaTheme="minorEastAsia"/>
          <w:szCs w:val="24"/>
        </w:rPr>
      </w:pPr>
      <w:r>
        <w:rPr>
          <w:rFonts w:cs="Times New Roman" w:eastAsiaTheme="minorEastAsia"/>
          <w:color w:val="00B050"/>
          <w:szCs w:val="24"/>
        </w:rPr>
        <w:t>（26）《</w:t>
      </w:r>
      <w:r>
        <w:rPr>
          <w:rFonts w:cs="Times New Roman" w:eastAsiaTheme="minorEastAsia"/>
          <w:szCs w:val="24"/>
        </w:rPr>
        <w:t>新疆维吾尔自治区七大片区“三线一单”生态环境分区管控要求（2021版）》（新环环评发〔2021〕162号）；</w:t>
      </w:r>
    </w:p>
    <w:p>
      <w:pPr>
        <w:ind w:firstLine="480"/>
        <w:rPr>
          <w:rFonts w:cs="Times New Roman" w:eastAsiaTheme="minorEastAsia"/>
          <w:szCs w:val="24"/>
        </w:rPr>
      </w:pPr>
      <w:r>
        <w:rPr>
          <w:rFonts w:cs="Times New Roman" w:eastAsiaTheme="minorEastAsia"/>
          <w:color w:val="00B050"/>
          <w:szCs w:val="24"/>
        </w:rPr>
        <w:t>（27）</w:t>
      </w:r>
      <w:r>
        <w:rPr>
          <w:rFonts w:cs="Times New Roman" w:eastAsiaTheme="minorEastAsia"/>
          <w:szCs w:val="24"/>
        </w:rPr>
        <w:t>《新疆维吾尔自治区实施〈中华人民共和国水污染防治法〉办法》（新疆维吾尔自治区第十四届人民代表大会常务委员会公告（第一号），2023年3月）；</w:t>
      </w:r>
    </w:p>
    <w:p>
      <w:pPr>
        <w:ind w:firstLine="480"/>
        <w:rPr>
          <w:rFonts w:cs="Times New Roman" w:eastAsiaTheme="minorEastAsia"/>
          <w:szCs w:val="24"/>
        </w:rPr>
      </w:pPr>
      <w:r>
        <w:rPr>
          <w:rFonts w:cs="Times New Roman" w:eastAsiaTheme="minorEastAsia"/>
          <w:color w:val="00B050"/>
          <w:szCs w:val="24"/>
        </w:rPr>
        <w:t>（28）</w:t>
      </w:r>
      <w:r>
        <w:rPr>
          <w:rFonts w:cs="Times New Roman" w:eastAsiaTheme="minorEastAsia"/>
          <w:szCs w:val="24"/>
        </w:rPr>
        <w:t>《关于加强自治区生态保护红线管理的通知（试行）》（2023年8月）；</w:t>
      </w:r>
    </w:p>
    <w:p>
      <w:pPr>
        <w:ind w:firstLine="480"/>
        <w:rPr>
          <w:rFonts w:cs="Times New Roman" w:eastAsiaTheme="minorEastAsia"/>
          <w:szCs w:val="24"/>
        </w:rPr>
      </w:pPr>
      <w:r>
        <w:rPr>
          <w:rFonts w:cs="Times New Roman" w:eastAsiaTheme="minorEastAsia"/>
          <w:color w:val="00B050"/>
          <w:szCs w:val="24"/>
        </w:rPr>
        <w:t>（29）</w:t>
      </w:r>
      <w:r>
        <w:rPr>
          <w:rFonts w:cs="Times New Roman" w:eastAsiaTheme="minorEastAsia"/>
          <w:szCs w:val="24"/>
        </w:rPr>
        <w:t>《哈密市“三线一单”生态环境分区管控方案》（哈政办发〔2021〕37号）；</w:t>
      </w:r>
    </w:p>
    <w:p>
      <w:pPr>
        <w:ind w:firstLine="480"/>
        <w:rPr>
          <w:rFonts w:cs="Times New Roman" w:eastAsiaTheme="minorEastAsia"/>
          <w:szCs w:val="24"/>
        </w:rPr>
      </w:pPr>
      <w:r>
        <w:rPr>
          <w:rFonts w:cs="Times New Roman" w:eastAsiaTheme="minorEastAsia"/>
          <w:color w:val="00B050"/>
          <w:szCs w:val="24"/>
        </w:rPr>
        <w:t>（30）</w:t>
      </w:r>
      <w:r>
        <w:rPr>
          <w:rFonts w:cs="Times New Roman" w:eastAsiaTheme="minorEastAsia"/>
          <w:szCs w:val="24"/>
        </w:rPr>
        <w:t>《关于进一步深化环境影响评价改革的通知》（环环评[2024]65号）。</w:t>
      </w:r>
    </w:p>
    <w:p>
      <w:pPr>
        <w:pStyle w:val="4"/>
        <w:rPr>
          <w:rFonts w:cs="Times New Roman"/>
        </w:rPr>
      </w:pPr>
      <w:bookmarkStart w:id="11" w:name="_Toc126401283"/>
      <w:bookmarkStart w:id="12" w:name="_Toc125741711"/>
      <w:bookmarkStart w:id="13" w:name="_Toc153189775"/>
      <w:r>
        <w:rPr>
          <w:rFonts w:cs="Times New Roman"/>
        </w:rPr>
        <w:t>1.2.4 技术规程、规范</w:t>
      </w:r>
      <w:bookmarkEnd w:id="11"/>
      <w:bookmarkEnd w:id="12"/>
      <w:bookmarkEnd w:id="13"/>
    </w:p>
    <w:p>
      <w:pPr>
        <w:ind w:firstLine="480"/>
        <w:rPr>
          <w:rFonts w:cs="Times New Roman" w:eastAsiaTheme="minorEastAsia"/>
          <w:szCs w:val="24"/>
        </w:rPr>
      </w:pPr>
      <w:r>
        <w:rPr>
          <w:rFonts w:cs="Times New Roman" w:eastAsiaTheme="minorEastAsia"/>
          <w:szCs w:val="24"/>
        </w:rPr>
        <w:t>（1）《建设项目环境影响评价技术导则 总纲》（HJ2.1-2016）；</w:t>
      </w:r>
    </w:p>
    <w:p>
      <w:pPr>
        <w:ind w:firstLine="480"/>
        <w:rPr>
          <w:rFonts w:cs="Times New Roman" w:eastAsiaTheme="minorEastAsia"/>
          <w:szCs w:val="24"/>
        </w:rPr>
      </w:pPr>
      <w:r>
        <w:rPr>
          <w:rFonts w:cs="Times New Roman" w:eastAsiaTheme="minorEastAsia"/>
          <w:szCs w:val="24"/>
        </w:rPr>
        <w:t>（2）《环境影响评价技术导则 水利水电工程》（HJ/T 88-2003）；</w:t>
      </w:r>
    </w:p>
    <w:p>
      <w:pPr>
        <w:ind w:firstLine="480"/>
        <w:rPr>
          <w:rFonts w:cs="Times New Roman" w:eastAsiaTheme="minorEastAsia"/>
          <w:szCs w:val="24"/>
        </w:rPr>
      </w:pPr>
      <w:r>
        <w:rPr>
          <w:rFonts w:cs="Times New Roman" w:eastAsiaTheme="minorEastAsia"/>
          <w:szCs w:val="24"/>
        </w:rPr>
        <w:t>（3）《环境影响评价技术导则 地表水环境》（HJ 4.2-2018）；</w:t>
      </w:r>
    </w:p>
    <w:p>
      <w:pPr>
        <w:ind w:firstLine="480"/>
        <w:rPr>
          <w:rFonts w:cs="Times New Roman" w:eastAsiaTheme="minorEastAsia"/>
          <w:szCs w:val="24"/>
        </w:rPr>
      </w:pPr>
      <w:r>
        <w:rPr>
          <w:rFonts w:cs="Times New Roman" w:eastAsiaTheme="minorEastAsia"/>
          <w:szCs w:val="24"/>
        </w:rPr>
        <w:t>（4）《环境影响评价技术导则 生态影响》（HJ 19-2022）；</w:t>
      </w:r>
    </w:p>
    <w:p>
      <w:pPr>
        <w:ind w:firstLine="480"/>
        <w:rPr>
          <w:rFonts w:cs="Times New Roman" w:eastAsiaTheme="minorEastAsia"/>
          <w:szCs w:val="24"/>
        </w:rPr>
      </w:pPr>
      <w:r>
        <w:rPr>
          <w:rFonts w:cs="Times New Roman" w:eastAsiaTheme="minorEastAsia"/>
          <w:szCs w:val="24"/>
        </w:rPr>
        <w:t>（5）《环境影响评价技术导则 地下水环境》（HJ 610-2016）；</w:t>
      </w:r>
    </w:p>
    <w:p>
      <w:pPr>
        <w:ind w:firstLine="480"/>
        <w:rPr>
          <w:rFonts w:cs="Times New Roman" w:eastAsiaTheme="minorEastAsia"/>
          <w:szCs w:val="24"/>
        </w:rPr>
      </w:pPr>
      <w:r>
        <w:rPr>
          <w:rFonts w:cs="Times New Roman" w:eastAsiaTheme="minorEastAsia"/>
          <w:szCs w:val="24"/>
        </w:rPr>
        <w:t>（6）《环境影响评价技术导则 声环境》（HJ2.4-2021）；</w:t>
      </w:r>
    </w:p>
    <w:p>
      <w:pPr>
        <w:ind w:firstLine="480"/>
        <w:rPr>
          <w:rFonts w:cs="Times New Roman" w:eastAsiaTheme="minorEastAsia"/>
          <w:szCs w:val="24"/>
        </w:rPr>
      </w:pPr>
      <w:r>
        <w:rPr>
          <w:rFonts w:cs="Times New Roman" w:eastAsiaTheme="minorEastAsia"/>
          <w:szCs w:val="24"/>
        </w:rPr>
        <w:t>（7）《环境影响评价技术导则 大气环境》（HJ2.2-2018）；</w:t>
      </w:r>
    </w:p>
    <w:p>
      <w:pPr>
        <w:ind w:firstLine="480"/>
        <w:rPr>
          <w:rFonts w:cs="Times New Roman" w:eastAsiaTheme="minorEastAsia"/>
          <w:szCs w:val="24"/>
        </w:rPr>
      </w:pPr>
      <w:r>
        <w:rPr>
          <w:rFonts w:cs="Times New Roman" w:eastAsiaTheme="minorEastAsia"/>
          <w:szCs w:val="24"/>
        </w:rPr>
        <w:t>（8）《环境影响评价技术导则 土壤环境（试行）》（HJ964-2018）；</w:t>
      </w:r>
    </w:p>
    <w:p>
      <w:pPr>
        <w:ind w:firstLine="480"/>
        <w:rPr>
          <w:rFonts w:cs="Times New Roman" w:eastAsiaTheme="minorEastAsia"/>
          <w:szCs w:val="24"/>
        </w:rPr>
      </w:pPr>
      <w:r>
        <w:rPr>
          <w:rFonts w:cs="Times New Roman" w:eastAsiaTheme="minorEastAsia"/>
          <w:szCs w:val="24"/>
        </w:rPr>
        <w:t>（9）《生态环境状况评价技术规范》（HJ 192-2015）；</w:t>
      </w:r>
    </w:p>
    <w:p>
      <w:pPr>
        <w:ind w:firstLine="480"/>
        <w:rPr>
          <w:rFonts w:cs="Times New Roman" w:eastAsiaTheme="minorEastAsia"/>
          <w:szCs w:val="24"/>
        </w:rPr>
      </w:pPr>
      <w:r>
        <w:rPr>
          <w:rFonts w:cs="Times New Roman" w:eastAsiaTheme="minorEastAsia"/>
          <w:szCs w:val="24"/>
        </w:rPr>
        <w:t>（10）《水利水电工程生态流量计算与泄放设计规范》（SL/T820-2023）;</w:t>
      </w:r>
    </w:p>
    <w:p>
      <w:pPr>
        <w:ind w:firstLine="480"/>
        <w:rPr>
          <w:rFonts w:cs="Times New Roman" w:eastAsiaTheme="minorEastAsia"/>
          <w:szCs w:val="24"/>
        </w:rPr>
      </w:pPr>
      <w:r>
        <w:rPr>
          <w:rFonts w:cs="Times New Roman" w:eastAsiaTheme="minorEastAsia"/>
          <w:szCs w:val="24"/>
        </w:rPr>
        <w:t>（11）《区域生物多样性评价标准》（HJ623-2011）；</w:t>
      </w:r>
    </w:p>
    <w:p>
      <w:pPr>
        <w:ind w:firstLine="480"/>
        <w:rPr>
          <w:rFonts w:cs="Times New Roman" w:eastAsiaTheme="minorEastAsia"/>
          <w:szCs w:val="24"/>
        </w:rPr>
      </w:pPr>
      <w:r>
        <w:rPr>
          <w:rFonts w:cs="Times New Roman" w:eastAsiaTheme="minorEastAsia"/>
          <w:szCs w:val="24"/>
        </w:rPr>
        <w:t>（12）《生物多样性观测技术导则》（HJ710-2014）；</w:t>
      </w:r>
    </w:p>
    <w:p>
      <w:pPr>
        <w:ind w:firstLine="480"/>
        <w:rPr>
          <w:rFonts w:cs="Times New Roman" w:eastAsiaTheme="minorEastAsia"/>
        </w:rPr>
      </w:pPr>
      <w:r>
        <w:rPr>
          <w:rFonts w:cs="Times New Roman" w:eastAsiaTheme="minorEastAsia"/>
        </w:rPr>
        <w:t>（13）《水生态监测技术指南 河流水生生物监测与评价（试行）》（HJ 1295-2023）；</w:t>
      </w:r>
    </w:p>
    <w:p>
      <w:pPr>
        <w:ind w:firstLine="480"/>
        <w:rPr>
          <w:rFonts w:cs="Times New Roman" w:eastAsiaTheme="minorEastAsia"/>
          <w:szCs w:val="24"/>
        </w:rPr>
      </w:pPr>
      <w:r>
        <w:rPr>
          <w:rFonts w:cs="Times New Roman" w:eastAsiaTheme="minorEastAsia"/>
          <w:szCs w:val="24"/>
        </w:rPr>
        <w:t>（14）《全国生态状况调查评估技术规范——生态系统遥感解译与野外核查》（HJ1166-2021）；</w:t>
      </w:r>
    </w:p>
    <w:p>
      <w:pPr>
        <w:ind w:firstLine="480"/>
        <w:rPr>
          <w:rFonts w:cs="Times New Roman" w:eastAsiaTheme="minorEastAsia"/>
          <w:szCs w:val="24"/>
        </w:rPr>
      </w:pPr>
      <w:r>
        <w:rPr>
          <w:rFonts w:cs="Times New Roman" w:eastAsiaTheme="minorEastAsia"/>
          <w:szCs w:val="24"/>
        </w:rPr>
        <w:t>（15）《全国生态状况调查评估技术规范——生态系统服务功能评估》（HJ1173-2021）；</w:t>
      </w:r>
    </w:p>
    <w:p>
      <w:pPr>
        <w:ind w:firstLine="480"/>
        <w:rPr>
          <w:rFonts w:cs="Times New Roman" w:eastAsiaTheme="minorEastAsia"/>
          <w:szCs w:val="24"/>
        </w:rPr>
      </w:pPr>
      <w:r>
        <w:rPr>
          <w:rFonts w:cs="Times New Roman" w:eastAsiaTheme="minorEastAsia"/>
          <w:szCs w:val="24"/>
        </w:rPr>
        <w:t>（16）《“生态保护红线、环境质量底线、资源利用上线和环境准入负面清单”编制技术指南（试行）》（2017年12月）；</w:t>
      </w:r>
    </w:p>
    <w:p>
      <w:pPr>
        <w:ind w:firstLine="480"/>
        <w:rPr>
          <w:rFonts w:cs="Times New Roman" w:eastAsiaTheme="minorEastAsia"/>
          <w:szCs w:val="24"/>
        </w:rPr>
      </w:pPr>
      <w:r>
        <w:rPr>
          <w:rFonts w:cs="Times New Roman" w:eastAsiaTheme="minorEastAsia"/>
          <w:szCs w:val="24"/>
        </w:rPr>
        <w:t>（17）《关于印发水电水利建设项目河道生态用水、低温水和过鱼设施环境影响评价技术指南(试行)的函》（环评函[2006]4号）；</w:t>
      </w:r>
    </w:p>
    <w:p>
      <w:pPr>
        <w:ind w:firstLine="480"/>
        <w:rPr>
          <w:rFonts w:cs="Times New Roman" w:eastAsiaTheme="minorEastAsia"/>
          <w:szCs w:val="24"/>
        </w:rPr>
      </w:pPr>
      <w:r>
        <w:rPr>
          <w:rFonts w:cs="Times New Roman" w:eastAsiaTheme="minorEastAsia"/>
          <w:szCs w:val="24"/>
        </w:rPr>
        <w:t>（18）《关于印发&lt;水工程规划设计生态指标体系与应用的指导意见&gt;的通知》（水总环移〔2010〕248号）。</w:t>
      </w:r>
    </w:p>
    <w:p>
      <w:pPr>
        <w:pStyle w:val="4"/>
        <w:rPr>
          <w:rFonts w:cs="Times New Roman"/>
        </w:rPr>
      </w:pPr>
      <w:bookmarkStart w:id="14" w:name="_Toc126401284"/>
      <w:bookmarkStart w:id="15" w:name="_Toc153189776"/>
      <w:bookmarkStart w:id="16" w:name="_Toc125741712"/>
      <w:r>
        <w:rPr>
          <w:rFonts w:cs="Times New Roman"/>
        </w:rPr>
        <w:t>1.2.5 设计文件</w:t>
      </w:r>
      <w:bookmarkEnd w:id="14"/>
      <w:bookmarkEnd w:id="15"/>
      <w:bookmarkEnd w:id="16"/>
    </w:p>
    <w:p>
      <w:pPr>
        <w:ind w:firstLine="480"/>
        <w:rPr>
          <w:rFonts w:cs="Times New Roman" w:eastAsiaTheme="minorEastAsia"/>
        </w:rPr>
      </w:pPr>
      <w:r>
        <w:rPr>
          <w:rFonts w:cs="Times New Roman" w:eastAsiaTheme="minorEastAsia"/>
        </w:rPr>
        <w:t>（1）环境影响评价工作委托书；</w:t>
      </w:r>
    </w:p>
    <w:p>
      <w:pPr>
        <w:ind w:firstLine="480"/>
        <w:rPr>
          <w:rFonts w:cs="Times New Roman" w:eastAsiaTheme="minorEastAsia"/>
          <w:color w:val="FF0000"/>
          <w:szCs w:val="24"/>
        </w:rPr>
      </w:pPr>
      <w:r>
        <w:rPr>
          <w:rFonts w:cs="Times New Roman" w:eastAsiaTheme="minorEastAsia"/>
          <w:color w:val="FF0000"/>
          <w:szCs w:val="24"/>
        </w:rPr>
        <w:t>（2）《伊吾县代尔昆代郭勒河流域综合规划》；</w:t>
      </w:r>
    </w:p>
    <w:p>
      <w:pPr>
        <w:ind w:firstLine="480"/>
        <w:rPr>
          <w:rFonts w:cs="Times New Roman" w:eastAsiaTheme="minorEastAsia"/>
          <w:color w:val="FF0000"/>
          <w:szCs w:val="24"/>
        </w:rPr>
      </w:pPr>
      <w:r>
        <w:rPr>
          <w:rFonts w:cs="Times New Roman" w:eastAsiaTheme="minorEastAsia"/>
          <w:color w:val="FF0000"/>
          <w:szCs w:val="24"/>
        </w:rPr>
        <w:t>（3）《伊吾县代尔昆代郭勒河流域综合规划环境影响报告书》，自治区生态环境厅出具的《关于&lt;伊吾县代尔昆代郭勒河流域综合规划环境影响报告书&gt;的审查意见》（新环审[2024]15号），2023年12月；</w:t>
      </w:r>
    </w:p>
    <w:p>
      <w:pPr>
        <w:ind w:firstLine="480"/>
        <w:rPr>
          <w:rFonts w:cs="Times New Roman" w:eastAsiaTheme="minorEastAsia"/>
        </w:rPr>
      </w:pPr>
      <w:r>
        <w:rPr>
          <w:rFonts w:cs="Times New Roman" w:eastAsiaTheme="minorEastAsia"/>
          <w:szCs w:val="24"/>
        </w:rPr>
        <w:t>（4）</w:t>
      </w:r>
      <w:r>
        <w:rPr>
          <w:rFonts w:cs="Times New Roman" w:eastAsiaTheme="minorEastAsia"/>
        </w:rPr>
        <w:t>《伊吾县代尔昆代水库工程可行性研究报告》。</w:t>
      </w:r>
    </w:p>
    <w:p>
      <w:pPr>
        <w:ind w:firstLine="480"/>
        <w:rPr>
          <w:rFonts w:cs="Times New Roman" w:eastAsiaTheme="minorEastAsia"/>
        </w:rPr>
      </w:pPr>
    </w:p>
    <w:p>
      <w:pPr>
        <w:pStyle w:val="3"/>
        <w:jc w:val="both"/>
        <w:rPr>
          <w:rFonts w:cs="Times New Roman"/>
          <w:sz w:val="32"/>
        </w:rPr>
      </w:pPr>
      <w:bookmarkStart w:id="17" w:name="_Toc181381588"/>
      <w:r>
        <w:rPr>
          <w:rFonts w:cs="Times New Roman"/>
          <w:sz w:val="32"/>
        </w:rPr>
        <w:t>1.3评价标准</w:t>
      </w:r>
      <w:bookmarkEnd w:id="7"/>
      <w:bookmarkEnd w:id="17"/>
    </w:p>
    <w:p>
      <w:pPr>
        <w:pStyle w:val="4"/>
        <w:rPr>
          <w:rFonts w:cs="Times New Roman"/>
        </w:rPr>
      </w:pPr>
      <w:r>
        <w:rPr>
          <w:rFonts w:cs="Times New Roman"/>
        </w:rPr>
        <w:t>1.3.1 地表水环境</w:t>
      </w:r>
    </w:p>
    <w:p>
      <w:pPr>
        <w:ind w:firstLine="480"/>
        <w:rPr>
          <w:rFonts w:cs="Times New Roman" w:eastAsiaTheme="minorEastAsia"/>
        </w:rPr>
      </w:pPr>
      <w:r>
        <w:rPr>
          <w:rFonts w:cs="Times New Roman" w:eastAsiaTheme="minorEastAsia"/>
        </w:rPr>
        <w:t>（1）环境质量标准</w:t>
      </w:r>
    </w:p>
    <w:p>
      <w:pPr>
        <w:ind w:firstLine="480"/>
        <w:rPr>
          <w:rFonts w:cs="Times New Roman" w:eastAsiaTheme="minorEastAsia"/>
        </w:rPr>
      </w:pPr>
      <w:r>
        <w:rPr>
          <w:rFonts w:cs="Times New Roman" w:eastAsiaTheme="minorEastAsia"/>
          <w:color w:val="000000" w:themeColor="text1"/>
          <w14:textFill>
            <w14:solidFill>
              <w14:schemeClr w14:val="tx1"/>
            </w14:solidFill>
          </w14:textFill>
        </w:rPr>
        <w:t>《中国新疆水环境功能区划》、</w:t>
      </w:r>
      <w:r>
        <w:rPr>
          <w:rFonts w:cs="Times New Roman" w:eastAsiaTheme="minorEastAsia"/>
          <w:kern w:val="0"/>
          <w:szCs w:val="24"/>
          <w:lang w:val="zh-CN" w:eastAsia="zh-CN"/>
        </w:rPr>
        <w:t>《新疆维吾尔自治区“三线一单”生态环境分区管控方案》（新政发〔2021〕18号）</w:t>
      </w:r>
      <w:r>
        <w:rPr>
          <w:rFonts w:cs="Times New Roman" w:eastAsiaTheme="minorEastAsia"/>
          <w:kern w:val="0"/>
          <w:szCs w:val="24"/>
          <w:lang w:val="zh-CN"/>
        </w:rPr>
        <w:t>均</w:t>
      </w:r>
      <w:r>
        <w:rPr>
          <w:rFonts w:cs="Times New Roman" w:eastAsiaTheme="minorEastAsia"/>
          <w:color w:val="000000" w:themeColor="text1"/>
          <w14:textFill>
            <w14:solidFill>
              <w14:schemeClr w14:val="tx1"/>
            </w14:solidFill>
          </w14:textFill>
        </w:rPr>
        <w:t>未对代尔昆代郭勒河进行水环境功能区划。考虑到代尔昆代水库供水对象为淖毛湖镇人畜饮水及公益林灌溉补水，依据《地表水环境质量标准》（GB3838-2002）中的水域功能和标准分类，从供水对象对水质目标要求出发，本次评价提出代尔昆代郭勒河水质目标为Ⅱ类。</w:t>
      </w:r>
    </w:p>
    <w:p>
      <w:pPr>
        <w:ind w:firstLine="480"/>
        <w:rPr>
          <w:rFonts w:cs="Times New Roman" w:eastAsiaTheme="minorEastAsia"/>
          <w:szCs w:val="24"/>
        </w:rPr>
      </w:pPr>
      <w:r>
        <w:rPr>
          <w:rFonts w:cs="Times New Roman" w:eastAsiaTheme="minorEastAsia"/>
          <w:lang w:val="zh-CN"/>
        </w:rPr>
        <w:t>依据《地表水环境质量标准》(GB3838-2002)，</w:t>
      </w:r>
      <w:r>
        <w:rPr>
          <w:rFonts w:cs="Times New Roman"/>
        </w:rPr>
        <w:t>以目标水质对应标准作为水质评价标准，则</w:t>
      </w:r>
      <w:r>
        <w:rPr>
          <w:rFonts w:cs="Times New Roman" w:eastAsiaTheme="minorEastAsia"/>
          <w:lang w:val="zh-CN"/>
        </w:rPr>
        <w:t>本次评价代尔昆代郭勒河水质</w:t>
      </w:r>
      <w:r>
        <w:rPr>
          <w:rFonts w:cs="Times New Roman" w:eastAsiaTheme="minorEastAsia"/>
          <w:szCs w:val="24"/>
        </w:rPr>
        <w:t>评价标准见表1.3-1。</w:t>
      </w:r>
    </w:p>
    <w:p>
      <w:pPr>
        <w:pStyle w:val="137"/>
        <w:spacing w:before="48"/>
      </w:pPr>
      <w:r>
        <w:t>表1.3-1                       地表水水质评价标准               单位：mg/L</w:t>
      </w:r>
    </w:p>
    <w:tbl>
      <w:tblPr>
        <w:tblStyle w:val="40"/>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4524"/>
        <w:gridCol w:w="3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exact"/>
          <w:tblHeader/>
          <w:jc w:val="center"/>
        </w:trPr>
        <w:tc>
          <w:tcPr>
            <w:tcW w:w="526" w:type="pct"/>
            <w:vMerge w:val="restart"/>
            <w:tcMar>
              <w:left w:w="0" w:type="dxa"/>
              <w:right w:w="0" w:type="dxa"/>
            </w:tcMar>
            <w:vAlign w:val="center"/>
          </w:tcPr>
          <w:p>
            <w:pPr>
              <w:pStyle w:val="136"/>
              <w:rPr>
                <w:b/>
              </w:rPr>
            </w:pPr>
            <w:r>
              <w:t>序号</w:t>
            </w:r>
          </w:p>
        </w:tc>
        <w:tc>
          <w:tcPr>
            <w:tcW w:w="2497" w:type="pct"/>
            <w:vMerge w:val="restart"/>
            <w:tcMar>
              <w:left w:w="0" w:type="dxa"/>
              <w:right w:w="0" w:type="dxa"/>
            </w:tcMar>
            <w:vAlign w:val="center"/>
          </w:tcPr>
          <w:p>
            <w:pPr>
              <w:pStyle w:val="136"/>
              <w:rPr>
                <w:b/>
              </w:rPr>
            </w:pPr>
            <w:r>
              <w:t>指标</w:t>
            </w:r>
          </w:p>
        </w:tc>
        <w:tc>
          <w:tcPr>
            <w:tcW w:w="1977" w:type="pct"/>
            <w:vAlign w:val="center"/>
          </w:tcPr>
          <w:p>
            <w:pPr>
              <w:pStyle w:val="136"/>
              <w:rPr>
                <w:b/>
              </w:rPr>
            </w:pPr>
            <w:r>
              <w:t>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blHeader/>
          <w:jc w:val="center"/>
        </w:trPr>
        <w:tc>
          <w:tcPr>
            <w:tcW w:w="526" w:type="pct"/>
            <w:vMerge w:val="continue"/>
            <w:tcMar>
              <w:left w:w="0" w:type="dxa"/>
              <w:right w:w="0" w:type="dxa"/>
            </w:tcMar>
            <w:vAlign w:val="center"/>
          </w:tcPr>
          <w:p>
            <w:pPr>
              <w:pStyle w:val="136"/>
              <w:rPr>
                <w:b/>
              </w:rPr>
            </w:pPr>
          </w:p>
        </w:tc>
        <w:tc>
          <w:tcPr>
            <w:tcW w:w="2497" w:type="pct"/>
            <w:vMerge w:val="continue"/>
            <w:tcMar>
              <w:left w:w="0" w:type="dxa"/>
              <w:right w:w="0" w:type="dxa"/>
            </w:tcMar>
            <w:vAlign w:val="center"/>
          </w:tcPr>
          <w:p>
            <w:pPr>
              <w:pStyle w:val="136"/>
              <w:rPr>
                <w:b/>
              </w:rPr>
            </w:pPr>
          </w:p>
        </w:tc>
        <w:tc>
          <w:tcPr>
            <w:tcW w:w="1977" w:type="pct"/>
            <w:tcMar>
              <w:left w:w="0" w:type="dxa"/>
              <w:right w:w="0" w:type="dxa"/>
            </w:tcMar>
            <w:vAlign w:val="center"/>
          </w:tcPr>
          <w:p>
            <w:pPr>
              <w:pStyle w:val="136"/>
              <w:rPr>
                <w:b/>
              </w:rPr>
            </w:pPr>
            <w:r>
              <w:t>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w:t>
            </w:r>
          </w:p>
        </w:tc>
        <w:tc>
          <w:tcPr>
            <w:tcW w:w="2497" w:type="pct"/>
            <w:tcMar>
              <w:left w:w="0" w:type="dxa"/>
              <w:right w:w="0" w:type="dxa"/>
            </w:tcMar>
            <w:vAlign w:val="center"/>
          </w:tcPr>
          <w:p>
            <w:pPr>
              <w:pStyle w:val="136"/>
              <w:rPr>
                <w:b/>
              </w:rPr>
            </w:pPr>
            <w:r>
              <w:t>pH值（无量纲）</w:t>
            </w:r>
          </w:p>
        </w:tc>
        <w:tc>
          <w:tcPr>
            <w:tcW w:w="1977" w:type="pct"/>
            <w:vAlign w:val="center"/>
          </w:tcPr>
          <w:p>
            <w:pPr>
              <w:pStyle w:val="136"/>
              <w:rPr>
                <w:b/>
              </w:rPr>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2</w:t>
            </w:r>
          </w:p>
        </w:tc>
        <w:tc>
          <w:tcPr>
            <w:tcW w:w="2497" w:type="pct"/>
            <w:tcMar>
              <w:left w:w="0" w:type="dxa"/>
              <w:right w:w="0" w:type="dxa"/>
            </w:tcMar>
            <w:vAlign w:val="center"/>
          </w:tcPr>
          <w:p>
            <w:pPr>
              <w:pStyle w:val="136"/>
              <w:rPr>
                <w:b/>
              </w:rPr>
            </w:pPr>
            <w:r>
              <w:t>溶解氧≥</w:t>
            </w:r>
          </w:p>
        </w:tc>
        <w:tc>
          <w:tcPr>
            <w:tcW w:w="1977" w:type="pct"/>
            <w:tcMar>
              <w:left w:w="0" w:type="dxa"/>
              <w:right w:w="0" w:type="dxa"/>
            </w:tcMar>
            <w:vAlign w:val="center"/>
          </w:tcPr>
          <w:p>
            <w:pPr>
              <w:pStyle w:val="136"/>
              <w:rPr>
                <w:b/>
              </w:rP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3</w:t>
            </w:r>
          </w:p>
        </w:tc>
        <w:tc>
          <w:tcPr>
            <w:tcW w:w="2497" w:type="pct"/>
            <w:tcMar>
              <w:left w:w="0" w:type="dxa"/>
              <w:right w:w="0" w:type="dxa"/>
            </w:tcMar>
            <w:vAlign w:val="center"/>
          </w:tcPr>
          <w:p>
            <w:pPr>
              <w:pStyle w:val="136"/>
              <w:rPr>
                <w:b/>
              </w:rPr>
            </w:pPr>
            <w:r>
              <w:t>高锰酸盐指数≤</w:t>
            </w:r>
          </w:p>
        </w:tc>
        <w:tc>
          <w:tcPr>
            <w:tcW w:w="1977" w:type="pct"/>
            <w:tcMar>
              <w:left w:w="0" w:type="dxa"/>
              <w:right w:w="0" w:type="dxa"/>
            </w:tcMar>
            <w:vAlign w:val="center"/>
          </w:tcPr>
          <w:p>
            <w:pPr>
              <w:pStyle w:val="136"/>
              <w:rPr>
                <w:b/>
              </w:rPr>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4</w:t>
            </w:r>
          </w:p>
        </w:tc>
        <w:tc>
          <w:tcPr>
            <w:tcW w:w="2497" w:type="pct"/>
            <w:tcMar>
              <w:left w:w="0" w:type="dxa"/>
              <w:right w:w="0" w:type="dxa"/>
            </w:tcMar>
            <w:vAlign w:val="center"/>
          </w:tcPr>
          <w:p>
            <w:pPr>
              <w:pStyle w:val="136"/>
              <w:rPr>
                <w:b/>
              </w:rPr>
            </w:pPr>
            <w:r>
              <w:t>化学需氧量（COD）≤</w:t>
            </w:r>
          </w:p>
        </w:tc>
        <w:tc>
          <w:tcPr>
            <w:tcW w:w="1977" w:type="pct"/>
            <w:tcMar>
              <w:left w:w="0" w:type="dxa"/>
              <w:right w:w="0" w:type="dxa"/>
            </w:tcMar>
            <w:vAlign w:val="center"/>
          </w:tcPr>
          <w:p>
            <w:pPr>
              <w:pStyle w:val="136"/>
              <w:rPr>
                <w:b/>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5</w:t>
            </w:r>
          </w:p>
        </w:tc>
        <w:tc>
          <w:tcPr>
            <w:tcW w:w="2497" w:type="pct"/>
            <w:tcMar>
              <w:left w:w="0" w:type="dxa"/>
              <w:right w:w="0" w:type="dxa"/>
            </w:tcMar>
            <w:vAlign w:val="center"/>
          </w:tcPr>
          <w:p>
            <w:pPr>
              <w:pStyle w:val="136"/>
              <w:rPr>
                <w:b/>
              </w:rPr>
            </w:pPr>
            <w:r>
              <w:t>五日生化需氧量（BOD</w:t>
            </w:r>
            <w:r>
              <w:rPr>
                <w:vertAlign w:val="subscript"/>
              </w:rPr>
              <w:t>5</w:t>
            </w:r>
            <w:r>
              <w:t>）≤</w:t>
            </w:r>
          </w:p>
        </w:tc>
        <w:tc>
          <w:tcPr>
            <w:tcW w:w="1977" w:type="pct"/>
            <w:tcMar>
              <w:left w:w="0" w:type="dxa"/>
              <w:right w:w="0" w:type="dxa"/>
            </w:tcMar>
            <w:vAlign w:val="center"/>
          </w:tcPr>
          <w:p>
            <w:pPr>
              <w:pStyle w:val="136"/>
              <w:rPr>
                <w:b/>
              </w:rPr>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6</w:t>
            </w:r>
          </w:p>
        </w:tc>
        <w:tc>
          <w:tcPr>
            <w:tcW w:w="2497" w:type="pct"/>
            <w:tcMar>
              <w:left w:w="0" w:type="dxa"/>
              <w:right w:w="0" w:type="dxa"/>
            </w:tcMar>
            <w:vAlign w:val="center"/>
          </w:tcPr>
          <w:p>
            <w:pPr>
              <w:pStyle w:val="136"/>
              <w:rPr>
                <w:b/>
              </w:rPr>
            </w:pPr>
            <w:r>
              <w:t>氨氮（NH</w:t>
            </w:r>
            <w:r>
              <w:rPr>
                <w:vertAlign w:val="subscript"/>
              </w:rPr>
              <w:t>3</w:t>
            </w:r>
            <w:r>
              <w:t>-N）≤</w:t>
            </w:r>
          </w:p>
        </w:tc>
        <w:tc>
          <w:tcPr>
            <w:tcW w:w="1977" w:type="pct"/>
            <w:tcMar>
              <w:left w:w="0" w:type="dxa"/>
              <w:right w:w="0" w:type="dxa"/>
            </w:tcMar>
            <w:vAlign w:val="center"/>
          </w:tcPr>
          <w:p>
            <w:pPr>
              <w:pStyle w:val="136"/>
              <w:rPr>
                <w:b/>
              </w:rP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7</w:t>
            </w:r>
          </w:p>
        </w:tc>
        <w:tc>
          <w:tcPr>
            <w:tcW w:w="2497" w:type="pct"/>
            <w:tcMar>
              <w:left w:w="0" w:type="dxa"/>
              <w:right w:w="0" w:type="dxa"/>
            </w:tcMar>
            <w:vAlign w:val="center"/>
          </w:tcPr>
          <w:p>
            <w:pPr>
              <w:pStyle w:val="136"/>
              <w:rPr>
                <w:b/>
              </w:rPr>
            </w:pPr>
            <w:r>
              <w:t>总磷（以P计）≤</w:t>
            </w:r>
          </w:p>
        </w:tc>
        <w:tc>
          <w:tcPr>
            <w:tcW w:w="1977" w:type="pct"/>
            <w:tcMar>
              <w:left w:w="0" w:type="dxa"/>
              <w:right w:w="0" w:type="dxa"/>
            </w:tcMar>
            <w:vAlign w:val="center"/>
          </w:tcPr>
          <w:p>
            <w:pPr>
              <w:pStyle w:val="136"/>
              <w:rPr>
                <w:b/>
              </w:rPr>
            </w:pPr>
            <w:r>
              <w:t>0.1（湖、库0.025）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8</w:t>
            </w:r>
          </w:p>
        </w:tc>
        <w:tc>
          <w:tcPr>
            <w:tcW w:w="2497" w:type="pct"/>
            <w:tcMar>
              <w:left w:w="0" w:type="dxa"/>
              <w:right w:w="0" w:type="dxa"/>
            </w:tcMar>
            <w:vAlign w:val="center"/>
          </w:tcPr>
          <w:p>
            <w:pPr>
              <w:pStyle w:val="136"/>
              <w:rPr>
                <w:b/>
              </w:rPr>
            </w:pPr>
            <w:r>
              <w:rPr>
                <w:kern w:val="0"/>
              </w:rPr>
              <w:t>铜</w:t>
            </w:r>
            <w:r>
              <w:t>≤</w:t>
            </w:r>
          </w:p>
        </w:tc>
        <w:tc>
          <w:tcPr>
            <w:tcW w:w="1977" w:type="pct"/>
            <w:tcMar>
              <w:left w:w="0" w:type="dxa"/>
              <w:right w:w="0" w:type="dxa"/>
            </w:tcMar>
            <w:vAlign w:val="center"/>
          </w:tcPr>
          <w:p>
            <w:pPr>
              <w:pStyle w:val="136"/>
              <w:rPr>
                <w:b/>
              </w:rP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9</w:t>
            </w:r>
          </w:p>
        </w:tc>
        <w:tc>
          <w:tcPr>
            <w:tcW w:w="2497" w:type="pct"/>
            <w:tcMar>
              <w:left w:w="0" w:type="dxa"/>
              <w:right w:w="0" w:type="dxa"/>
            </w:tcMar>
            <w:vAlign w:val="center"/>
          </w:tcPr>
          <w:p>
            <w:pPr>
              <w:pStyle w:val="136"/>
              <w:rPr>
                <w:b/>
              </w:rPr>
            </w:pPr>
            <w:r>
              <w:rPr>
                <w:kern w:val="0"/>
              </w:rPr>
              <w:t>锌</w:t>
            </w:r>
            <w:r>
              <w:t>≤</w:t>
            </w:r>
          </w:p>
        </w:tc>
        <w:tc>
          <w:tcPr>
            <w:tcW w:w="1977" w:type="pct"/>
            <w:tcMar>
              <w:left w:w="0" w:type="dxa"/>
              <w:right w:w="0" w:type="dxa"/>
            </w:tcMar>
            <w:vAlign w:val="center"/>
          </w:tcPr>
          <w:p>
            <w:pPr>
              <w:pStyle w:val="136"/>
              <w:rPr>
                <w:b/>
              </w:rP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10</w:t>
            </w:r>
          </w:p>
        </w:tc>
        <w:tc>
          <w:tcPr>
            <w:tcW w:w="2497" w:type="pct"/>
            <w:tcMar>
              <w:left w:w="0" w:type="dxa"/>
              <w:right w:w="0" w:type="dxa"/>
            </w:tcMar>
            <w:vAlign w:val="center"/>
          </w:tcPr>
          <w:p>
            <w:pPr>
              <w:pStyle w:val="136"/>
              <w:rPr>
                <w:b/>
              </w:rPr>
            </w:pPr>
            <w:r>
              <w:t>氟化物（以Fˉ计）≤</w:t>
            </w:r>
          </w:p>
        </w:tc>
        <w:tc>
          <w:tcPr>
            <w:tcW w:w="1977" w:type="pct"/>
            <w:tcMar>
              <w:left w:w="0" w:type="dxa"/>
              <w:right w:w="0" w:type="dxa"/>
            </w:tcMar>
            <w:vAlign w:val="center"/>
          </w:tcPr>
          <w:p>
            <w:pPr>
              <w:pStyle w:val="136"/>
              <w:rPr>
                <w:b/>
              </w:rP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11</w:t>
            </w:r>
          </w:p>
        </w:tc>
        <w:tc>
          <w:tcPr>
            <w:tcW w:w="2497" w:type="pct"/>
            <w:tcMar>
              <w:left w:w="0" w:type="dxa"/>
              <w:right w:w="0" w:type="dxa"/>
            </w:tcMar>
            <w:vAlign w:val="center"/>
          </w:tcPr>
          <w:p>
            <w:pPr>
              <w:pStyle w:val="136"/>
              <w:rPr>
                <w:b/>
              </w:rPr>
            </w:pPr>
            <w:r>
              <w:t>硒≤</w:t>
            </w:r>
          </w:p>
        </w:tc>
        <w:tc>
          <w:tcPr>
            <w:tcW w:w="1977" w:type="pct"/>
            <w:tcMar>
              <w:left w:w="0" w:type="dxa"/>
              <w:right w:w="0" w:type="dxa"/>
            </w:tcMar>
            <w:vAlign w:val="center"/>
          </w:tcPr>
          <w:p>
            <w:pPr>
              <w:pStyle w:val="136"/>
              <w:rPr>
                <w:kern w:val="0"/>
              </w:rPr>
            </w:pPr>
            <w:r>
              <w:rPr>
                <w:kern w:val="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12</w:t>
            </w:r>
          </w:p>
        </w:tc>
        <w:tc>
          <w:tcPr>
            <w:tcW w:w="2497" w:type="pct"/>
            <w:tcMar>
              <w:left w:w="0" w:type="dxa"/>
              <w:right w:w="0" w:type="dxa"/>
            </w:tcMar>
            <w:vAlign w:val="center"/>
          </w:tcPr>
          <w:p>
            <w:pPr>
              <w:pStyle w:val="136"/>
              <w:rPr>
                <w:b/>
              </w:rPr>
            </w:pPr>
            <w:r>
              <w:t>砷≤</w:t>
            </w:r>
          </w:p>
        </w:tc>
        <w:tc>
          <w:tcPr>
            <w:tcW w:w="1977" w:type="pct"/>
            <w:tcMar>
              <w:left w:w="0" w:type="dxa"/>
              <w:right w:w="0" w:type="dxa"/>
            </w:tcMar>
            <w:vAlign w:val="center"/>
          </w:tcPr>
          <w:p>
            <w:pPr>
              <w:pStyle w:val="136"/>
              <w:rPr>
                <w:kern w:val="0"/>
              </w:rPr>
            </w:pPr>
            <w:r>
              <w:rPr>
                <w:kern w:val="0"/>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13</w:t>
            </w:r>
          </w:p>
        </w:tc>
        <w:tc>
          <w:tcPr>
            <w:tcW w:w="2497" w:type="pct"/>
            <w:tcMar>
              <w:left w:w="0" w:type="dxa"/>
              <w:right w:w="0" w:type="dxa"/>
            </w:tcMar>
            <w:vAlign w:val="center"/>
          </w:tcPr>
          <w:p>
            <w:pPr>
              <w:pStyle w:val="136"/>
              <w:rPr>
                <w:b/>
              </w:rPr>
            </w:pPr>
            <w:r>
              <w:t>汞≤</w:t>
            </w:r>
          </w:p>
        </w:tc>
        <w:tc>
          <w:tcPr>
            <w:tcW w:w="1977" w:type="pct"/>
            <w:tcMar>
              <w:left w:w="0" w:type="dxa"/>
              <w:right w:w="0" w:type="dxa"/>
            </w:tcMar>
            <w:vAlign w:val="center"/>
          </w:tcPr>
          <w:p>
            <w:pPr>
              <w:pStyle w:val="136"/>
            </w:pPr>
            <w:r>
              <w:rPr>
                <w:kern w:val="0"/>
              </w:rPr>
              <w:t>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14</w:t>
            </w:r>
          </w:p>
        </w:tc>
        <w:tc>
          <w:tcPr>
            <w:tcW w:w="2497" w:type="pct"/>
            <w:tcMar>
              <w:left w:w="0" w:type="dxa"/>
              <w:right w:w="0" w:type="dxa"/>
            </w:tcMar>
            <w:vAlign w:val="center"/>
          </w:tcPr>
          <w:p>
            <w:pPr>
              <w:pStyle w:val="136"/>
              <w:rPr>
                <w:b/>
              </w:rPr>
            </w:pPr>
            <w:r>
              <w:t>镉≤</w:t>
            </w:r>
          </w:p>
        </w:tc>
        <w:tc>
          <w:tcPr>
            <w:tcW w:w="1977" w:type="pct"/>
            <w:tcMar>
              <w:left w:w="0" w:type="dxa"/>
              <w:right w:w="0" w:type="dxa"/>
            </w:tcMar>
            <w:vAlign w:val="center"/>
          </w:tcPr>
          <w:p>
            <w:pPr>
              <w:pStyle w:val="136"/>
              <w:rPr>
                <w:kern w:val="0"/>
              </w:rPr>
            </w:pPr>
            <w:r>
              <w:rPr>
                <w:kern w:val="0"/>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15</w:t>
            </w:r>
          </w:p>
        </w:tc>
        <w:tc>
          <w:tcPr>
            <w:tcW w:w="2497" w:type="pct"/>
            <w:tcMar>
              <w:left w:w="0" w:type="dxa"/>
              <w:right w:w="0" w:type="dxa"/>
            </w:tcMar>
            <w:vAlign w:val="center"/>
          </w:tcPr>
          <w:p>
            <w:pPr>
              <w:pStyle w:val="136"/>
              <w:rPr>
                <w:b/>
              </w:rPr>
            </w:pPr>
            <w:r>
              <w:t>铬（六价）≤</w:t>
            </w:r>
          </w:p>
        </w:tc>
        <w:tc>
          <w:tcPr>
            <w:tcW w:w="1977" w:type="pct"/>
            <w:tcMar>
              <w:left w:w="0" w:type="dxa"/>
              <w:right w:w="0" w:type="dxa"/>
            </w:tcMar>
            <w:vAlign w:val="center"/>
          </w:tcPr>
          <w:p>
            <w:pPr>
              <w:pStyle w:val="136"/>
              <w:rPr>
                <w:b/>
              </w:rP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16</w:t>
            </w:r>
          </w:p>
        </w:tc>
        <w:tc>
          <w:tcPr>
            <w:tcW w:w="2497" w:type="pct"/>
            <w:tcMar>
              <w:left w:w="0" w:type="dxa"/>
              <w:right w:w="0" w:type="dxa"/>
            </w:tcMar>
            <w:vAlign w:val="center"/>
          </w:tcPr>
          <w:p>
            <w:pPr>
              <w:pStyle w:val="136"/>
              <w:rPr>
                <w:b/>
              </w:rPr>
            </w:pPr>
            <w:r>
              <w:rPr>
                <w:kern w:val="0"/>
              </w:rPr>
              <w:t>铅</w:t>
            </w:r>
            <w:r>
              <w:t>≤</w:t>
            </w:r>
          </w:p>
        </w:tc>
        <w:tc>
          <w:tcPr>
            <w:tcW w:w="1977" w:type="pct"/>
            <w:tcMar>
              <w:left w:w="0" w:type="dxa"/>
              <w:right w:w="0" w:type="dxa"/>
            </w:tcMar>
            <w:vAlign w:val="center"/>
          </w:tcPr>
          <w:p>
            <w:pPr>
              <w:pStyle w:val="136"/>
              <w:rPr>
                <w:kern w:val="0"/>
              </w:rPr>
            </w:pPr>
            <w:r>
              <w:rPr>
                <w:kern w:val="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17</w:t>
            </w:r>
          </w:p>
        </w:tc>
        <w:tc>
          <w:tcPr>
            <w:tcW w:w="2497" w:type="pct"/>
            <w:tcMar>
              <w:left w:w="0" w:type="dxa"/>
              <w:right w:w="0" w:type="dxa"/>
            </w:tcMar>
            <w:vAlign w:val="center"/>
          </w:tcPr>
          <w:p>
            <w:pPr>
              <w:pStyle w:val="136"/>
              <w:rPr>
                <w:b/>
              </w:rPr>
            </w:pPr>
            <w:r>
              <w:t>氰化物≤</w:t>
            </w:r>
          </w:p>
        </w:tc>
        <w:tc>
          <w:tcPr>
            <w:tcW w:w="1977" w:type="pct"/>
            <w:tcMar>
              <w:left w:w="0" w:type="dxa"/>
              <w:right w:w="0" w:type="dxa"/>
            </w:tcMar>
            <w:vAlign w:val="center"/>
          </w:tcPr>
          <w:p>
            <w:pPr>
              <w:pStyle w:val="136"/>
              <w:rPr>
                <w:b/>
              </w:rP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18</w:t>
            </w:r>
          </w:p>
        </w:tc>
        <w:tc>
          <w:tcPr>
            <w:tcW w:w="2497" w:type="pct"/>
            <w:tcMar>
              <w:left w:w="0" w:type="dxa"/>
              <w:right w:w="0" w:type="dxa"/>
            </w:tcMar>
            <w:vAlign w:val="center"/>
          </w:tcPr>
          <w:p>
            <w:pPr>
              <w:pStyle w:val="136"/>
              <w:rPr>
                <w:b/>
              </w:rPr>
            </w:pPr>
            <w:r>
              <w:t>挥发酚≤</w:t>
            </w:r>
          </w:p>
        </w:tc>
        <w:tc>
          <w:tcPr>
            <w:tcW w:w="1977" w:type="pct"/>
            <w:tcMar>
              <w:left w:w="0" w:type="dxa"/>
              <w:right w:w="0" w:type="dxa"/>
            </w:tcMar>
            <w:vAlign w:val="center"/>
          </w:tcPr>
          <w:p>
            <w:pPr>
              <w:pStyle w:val="136"/>
              <w:rPr>
                <w:b/>
              </w:rPr>
            </w:pPr>
            <w: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19</w:t>
            </w:r>
          </w:p>
        </w:tc>
        <w:tc>
          <w:tcPr>
            <w:tcW w:w="2497" w:type="pct"/>
            <w:tcMar>
              <w:left w:w="0" w:type="dxa"/>
              <w:right w:w="0" w:type="dxa"/>
            </w:tcMar>
            <w:vAlign w:val="center"/>
          </w:tcPr>
          <w:p>
            <w:pPr>
              <w:pStyle w:val="136"/>
              <w:rPr>
                <w:b/>
              </w:rPr>
            </w:pPr>
            <w:r>
              <w:t>石油类≤</w:t>
            </w:r>
          </w:p>
        </w:tc>
        <w:tc>
          <w:tcPr>
            <w:tcW w:w="1977" w:type="pct"/>
            <w:tcMar>
              <w:left w:w="0" w:type="dxa"/>
              <w:right w:w="0" w:type="dxa"/>
            </w:tcMar>
            <w:vAlign w:val="center"/>
          </w:tcPr>
          <w:p>
            <w:pPr>
              <w:pStyle w:val="136"/>
              <w:rPr>
                <w:b/>
              </w:rP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26" w:type="pct"/>
            <w:tcMar>
              <w:left w:w="0" w:type="dxa"/>
              <w:right w:w="0" w:type="dxa"/>
            </w:tcMar>
            <w:vAlign w:val="center"/>
          </w:tcPr>
          <w:p>
            <w:pPr>
              <w:pStyle w:val="136"/>
              <w:rPr>
                <w:b/>
              </w:rPr>
            </w:pPr>
            <w:r>
              <w:t>20</w:t>
            </w:r>
          </w:p>
        </w:tc>
        <w:tc>
          <w:tcPr>
            <w:tcW w:w="2497" w:type="pct"/>
            <w:tcMar>
              <w:left w:w="0" w:type="dxa"/>
              <w:right w:w="0" w:type="dxa"/>
            </w:tcMar>
            <w:vAlign w:val="center"/>
          </w:tcPr>
          <w:p>
            <w:pPr>
              <w:pStyle w:val="136"/>
              <w:rPr>
                <w:b/>
              </w:rPr>
            </w:pPr>
            <w:r>
              <w:t>硫化物≤</w:t>
            </w:r>
          </w:p>
        </w:tc>
        <w:tc>
          <w:tcPr>
            <w:tcW w:w="1977" w:type="pct"/>
            <w:tcMar>
              <w:left w:w="0" w:type="dxa"/>
              <w:right w:w="0" w:type="dxa"/>
            </w:tcMar>
            <w:vAlign w:val="center"/>
          </w:tcPr>
          <w:p>
            <w:pPr>
              <w:pStyle w:val="136"/>
              <w:rPr>
                <w:b/>
              </w:rPr>
            </w:pPr>
            <w:r>
              <w:t>0.1</w:t>
            </w:r>
          </w:p>
        </w:tc>
      </w:tr>
    </w:tbl>
    <w:p>
      <w:pPr>
        <w:spacing w:line="240" w:lineRule="auto"/>
        <w:ind w:firstLine="420"/>
        <w:rPr>
          <w:rFonts w:cs="Times New Roman"/>
          <w:sz w:val="21"/>
          <w:szCs w:val="21"/>
        </w:rPr>
      </w:pPr>
    </w:p>
    <w:p>
      <w:pPr>
        <w:ind w:firstLine="480"/>
        <w:rPr>
          <w:rFonts w:cs="Times New Roman" w:eastAsiaTheme="minorEastAsia"/>
        </w:rPr>
      </w:pPr>
      <w:r>
        <w:rPr>
          <w:rFonts w:cs="Times New Roman" w:eastAsiaTheme="minorEastAsia"/>
        </w:rPr>
        <w:t>（2）污染物排放标准</w:t>
      </w:r>
    </w:p>
    <w:p>
      <w:pPr>
        <w:ind w:firstLine="480"/>
        <w:rPr>
          <w:rFonts w:cs="Times New Roman" w:eastAsiaTheme="minorEastAsia"/>
        </w:rPr>
      </w:pPr>
      <w:r>
        <w:rPr>
          <w:rFonts w:cs="Times New Roman" w:eastAsiaTheme="minorEastAsia"/>
        </w:rPr>
        <w:t>工程所在河段为Ⅱ类水体，施工期和运行期产生的生产废水、生活污水不得排入河道，须经处理达标后综合利用，禁止散排漫流。</w:t>
      </w:r>
    </w:p>
    <w:p>
      <w:pPr>
        <w:ind w:firstLine="480"/>
        <w:rPr>
          <w:rFonts w:cs="Times New Roman" w:eastAsiaTheme="minorEastAsia"/>
        </w:rPr>
      </w:pPr>
      <w:r>
        <w:rPr>
          <w:rFonts w:cs="Times New Roman" w:eastAsiaTheme="minorEastAsia"/>
        </w:rPr>
        <w:t>处理后用于施工回用环节或洒水降尘的执行施工用水标准；处理后用于绿化的参照新疆《农村生活污水处理排放标准》（DB654275-2019）中出水用于生态恢复的污染物排放限值（日均值）。运行期代尔昆代水库管理区生活污水处理后冬储夏灌，用于管理区绿化，</w:t>
      </w:r>
      <w:r>
        <w:rPr>
          <w:rFonts w:cs="Times New Roman" w:eastAsiaTheme="minorEastAsia"/>
          <w:kern w:val="0"/>
          <w:szCs w:val="24"/>
          <w:lang w:val="zh-CN"/>
        </w:rPr>
        <w:t>执行《农田灌溉水质标准》（GB5084-2021）旱作标准</w:t>
      </w:r>
      <w:r>
        <w:rPr>
          <w:rFonts w:cs="Times New Roman" w:eastAsiaTheme="minorEastAsia"/>
        </w:rPr>
        <w:t>。具体标准值见表1.3-2。</w:t>
      </w:r>
    </w:p>
    <w:p>
      <w:pPr>
        <w:pStyle w:val="137"/>
        <w:spacing w:before="48"/>
      </w:pPr>
      <w:r>
        <w:t>表1.3-2                   混凝土用水标准（摘录）</w:t>
      </w:r>
    </w:p>
    <w:tbl>
      <w:tblPr>
        <w:tblStyle w:val="4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468"/>
        <w:gridCol w:w="2490"/>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1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项目</w:t>
            </w:r>
          </w:p>
        </w:tc>
        <w:tc>
          <w:tcPr>
            <w:tcW w:w="1468"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单位</w:t>
            </w:r>
          </w:p>
        </w:tc>
        <w:tc>
          <w:tcPr>
            <w:tcW w:w="249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钢筋混凝土</w:t>
            </w:r>
          </w:p>
        </w:tc>
        <w:tc>
          <w:tcPr>
            <w:tcW w:w="2732"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素混凝土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1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pH值</w:t>
            </w:r>
          </w:p>
        </w:tc>
        <w:tc>
          <w:tcPr>
            <w:tcW w:w="1468"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w:t>
            </w:r>
          </w:p>
        </w:tc>
        <w:tc>
          <w:tcPr>
            <w:tcW w:w="249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＞4.5</w:t>
            </w:r>
          </w:p>
        </w:tc>
        <w:tc>
          <w:tcPr>
            <w:tcW w:w="2732"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1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不溶物</w:t>
            </w:r>
          </w:p>
        </w:tc>
        <w:tc>
          <w:tcPr>
            <w:tcW w:w="1468"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mg/L</w:t>
            </w:r>
          </w:p>
        </w:tc>
        <w:tc>
          <w:tcPr>
            <w:tcW w:w="249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＜2000</w:t>
            </w:r>
          </w:p>
        </w:tc>
        <w:tc>
          <w:tcPr>
            <w:tcW w:w="2732"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＜5000</w:t>
            </w:r>
          </w:p>
        </w:tc>
      </w:tr>
    </w:tbl>
    <w:p>
      <w:pPr>
        <w:pStyle w:val="113"/>
        <w:ind w:left="360" w:firstLine="180"/>
      </w:pPr>
      <w:r>
        <w:t>注：摘自《混凝土用水标准》（JGJ63-2006）对混凝土拌和养护用水水质要求。</w:t>
      </w:r>
    </w:p>
    <w:p>
      <w:pPr>
        <w:spacing w:line="240" w:lineRule="auto"/>
        <w:ind w:firstLine="360"/>
        <w:rPr>
          <w:rFonts w:cs="Times New Roman"/>
          <w:sz w:val="18"/>
          <w:szCs w:val="18"/>
        </w:rPr>
      </w:pPr>
    </w:p>
    <w:p>
      <w:pPr>
        <w:pStyle w:val="137"/>
        <w:spacing w:before="48"/>
      </w:pPr>
      <w:r>
        <w:t>续表1.3-2               砂石料加工用水水质标准（摘录）</w:t>
      </w:r>
    </w:p>
    <w:tbl>
      <w:tblPr>
        <w:tblStyle w:val="40"/>
        <w:tblW w:w="5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3697"/>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blHeader/>
          <w:jc w:val="center"/>
        </w:trPr>
        <w:tc>
          <w:tcPr>
            <w:tcW w:w="1550" w:type="pct"/>
            <w:vAlign w:val="center"/>
          </w:tcPr>
          <w:p>
            <w:pPr>
              <w:pStyle w:val="66"/>
              <w:rPr>
                <w:rFonts w:cs="Times New Roman"/>
                <w:sz w:val="18"/>
                <w:szCs w:val="18"/>
              </w:rPr>
            </w:pPr>
            <w:r>
              <w:rPr>
                <w:rFonts w:cs="Times New Roman"/>
                <w:sz w:val="18"/>
                <w:szCs w:val="18"/>
              </w:rPr>
              <w:t>项目</w:t>
            </w:r>
          </w:p>
        </w:tc>
        <w:tc>
          <w:tcPr>
            <w:tcW w:w="1991" w:type="pct"/>
            <w:vAlign w:val="center"/>
          </w:tcPr>
          <w:p>
            <w:pPr>
              <w:pStyle w:val="66"/>
              <w:rPr>
                <w:rFonts w:cs="Times New Roman"/>
                <w:sz w:val="18"/>
                <w:szCs w:val="18"/>
              </w:rPr>
            </w:pPr>
            <w:r>
              <w:rPr>
                <w:rFonts w:cs="Times New Roman"/>
                <w:sz w:val="18"/>
                <w:szCs w:val="18"/>
              </w:rPr>
              <w:t>单位</w:t>
            </w:r>
          </w:p>
        </w:tc>
        <w:tc>
          <w:tcPr>
            <w:tcW w:w="1460" w:type="pct"/>
            <w:vAlign w:val="center"/>
          </w:tcPr>
          <w:p>
            <w:pPr>
              <w:pStyle w:val="66"/>
              <w:rPr>
                <w:rFonts w:cs="Times New Roman"/>
                <w:sz w:val="18"/>
                <w:szCs w:val="18"/>
              </w:rPr>
            </w:pPr>
            <w:r>
              <w:rPr>
                <w:rFonts w:cs="Times New Roman"/>
                <w:sz w:val="18"/>
                <w:szCs w:val="18"/>
              </w:rPr>
              <w:t>预应力混凝土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50" w:type="pct"/>
            <w:vAlign w:val="center"/>
          </w:tcPr>
          <w:p>
            <w:pPr>
              <w:pStyle w:val="66"/>
              <w:rPr>
                <w:rFonts w:cs="Times New Roman"/>
                <w:sz w:val="18"/>
                <w:szCs w:val="18"/>
              </w:rPr>
            </w:pPr>
            <w:r>
              <w:rPr>
                <w:rFonts w:cs="Times New Roman"/>
                <w:sz w:val="18"/>
                <w:szCs w:val="18"/>
              </w:rPr>
              <w:t>pH值</w:t>
            </w:r>
          </w:p>
        </w:tc>
        <w:tc>
          <w:tcPr>
            <w:tcW w:w="1991" w:type="pct"/>
            <w:vAlign w:val="center"/>
          </w:tcPr>
          <w:p>
            <w:pPr>
              <w:pStyle w:val="66"/>
              <w:rPr>
                <w:rFonts w:cs="Times New Roman"/>
                <w:sz w:val="18"/>
                <w:szCs w:val="18"/>
              </w:rPr>
            </w:pPr>
            <w:r>
              <w:rPr>
                <w:rFonts w:cs="Times New Roman"/>
                <w:sz w:val="18"/>
                <w:szCs w:val="18"/>
              </w:rPr>
              <w:t>/</w:t>
            </w:r>
          </w:p>
        </w:tc>
        <w:tc>
          <w:tcPr>
            <w:tcW w:w="1460" w:type="pct"/>
            <w:vAlign w:val="center"/>
          </w:tcPr>
          <w:p>
            <w:pPr>
              <w:pStyle w:val="66"/>
              <w:rPr>
                <w:rFonts w:cs="Times New Roman"/>
                <w:sz w:val="18"/>
                <w:szCs w:val="18"/>
              </w:rPr>
            </w:pPr>
            <w:r>
              <w:rPr>
                <w:rFonts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50" w:type="pct"/>
            <w:vAlign w:val="center"/>
          </w:tcPr>
          <w:p>
            <w:pPr>
              <w:pStyle w:val="66"/>
              <w:rPr>
                <w:rFonts w:cs="Times New Roman"/>
                <w:sz w:val="18"/>
                <w:szCs w:val="18"/>
              </w:rPr>
            </w:pPr>
            <w:r>
              <w:rPr>
                <w:rFonts w:cs="Times New Roman"/>
                <w:sz w:val="18"/>
                <w:szCs w:val="18"/>
              </w:rPr>
              <w:t>不溶物</w:t>
            </w:r>
          </w:p>
        </w:tc>
        <w:tc>
          <w:tcPr>
            <w:tcW w:w="1991" w:type="pct"/>
            <w:vAlign w:val="center"/>
          </w:tcPr>
          <w:p>
            <w:pPr>
              <w:pStyle w:val="66"/>
              <w:rPr>
                <w:rFonts w:cs="Times New Roman"/>
                <w:sz w:val="18"/>
                <w:szCs w:val="18"/>
              </w:rPr>
            </w:pPr>
            <w:r>
              <w:rPr>
                <w:rFonts w:cs="Times New Roman"/>
                <w:sz w:val="18"/>
                <w:szCs w:val="18"/>
              </w:rPr>
              <w:t>mg/L</w:t>
            </w:r>
          </w:p>
        </w:tc>
        <w:tc>
          <w:tcPr>
            <w:tcW w:w="1460" w:type="pct"/>
            <w:vAlign w:val="center"/>
          </w:tcPr>
          <w:p>
            <w:pPr>
              <w:pStyle w:val="66"/>
              <w:rPr>
                <w:rFonts w:cs="Times New Roman"/>
                <w:sz w:val="18"/>
                <w:szCs w:val="18"/>
              </w:rPr>
            </w:pPr>
            <w:r>
              <w:rPr>
                <w:rFonts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00" w:type="pct"/>
            <w:gridSpan w:val="3"/>
            <w:vAlign w:val="center"/>
          </w:tcPr>
          <w:p>
            <w:pPr>
              <w:pStyle w:val="66"/>
              <w:jc w:val="both"/>
              <w:rPr>
                <w:rFonts w:cs="Times New Roman"/>
                <w:sz w:val="18"/>
                <w:szCs w:val="18"/>
              </w:rPr>
            </w:pPr>
            <w:r>
              <w:rPr>
                <w:rFonts w:cs="Times New Roman"/>
                <w:sz w:val="18"/>
                <w:szCs w:val="18"/>
              </w:rPr>
              <w:t>注：符合国家标准的饮用水可作为砂石加工用水，未经处理的工业废水和生活污水不得作为砂石加工用水。</w:t>
            </w:r>
          </w:p>
        </w:tc>
      </w:tr>
    </w:tbl>
    <w:p>
      <w:pPr>
        <w:pStyle w:val="113"/>
        <w:ind w:left="360" w:firstLine="180"/>
      </w:pPr>
      <w:r>
        <w:t>注：摘自《水电工程砂石加工系统设计规范》（DL/T5098-2010）砂石加工用水水质要求。</w:t>
      </w:r>
    </w:p>
    <w:p>
      <w:pPr>
        <w:spacing w:line="240" w:lineRule="auto"/>
        <w:ind w:firstLine="360"/>
        <w:rPr>
          <w:rFonts w:cs="Times New Roman"/>
          <w:sz w:val="18"/>
          <w:szCs w:val="18"/>
        </w:rPr>
      </w:pPr>
    </w:p>
    <w:p>
      <w:pPr>
        <w:pStyle w:val="137"/>
        <w:spacing w:before="48"/>
      </w:pPr>
      <w:r>
        <w:t>续表1.3-2              工程污废水排放控制标准（摘录）             单位：mg/L</w:t>
      </w:r>
    </w:p>
    <w:tbl>
      <w:tblPr>
        <w:tblStyle w:val="40"/>
        <w:tblW w:w="51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2710"/>
        <w:gridCol w:w="1053"/>
        <w:gridCol w:w="602"/>
        <w:gridCol w:w="602"/>
        <w:gridCol w:w="753"/>
        <w:gridCol w:w="1055"/>
        <w:gridCol w:w="1353"/>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jc w:val="center"/>
        </w:trPr>
        <w:tc>
          <w:tcPr>
            <w:tcW w:w="1489" w:type="pct"/>
            <w:tcBorders>
              <w:top w:val="single" w:color="auto" w:sz="4" w:space="0"/>
              <w:left w:val="single" w:color="auto" w:sz="4" w:space="0"/>
              <w:bottom w:val="single" w:color="auto" w:sz="4" w:space="0"/>
              <w:right w:val="single" w:color="auto" w:sz="4" w:space="0"/>
            </w:tcBorders>
            <w:vAlign w:val="center"/>
          </w:tcPr>
          <w:p>
            <w:pPr>
              <w:pStyle w:val="136"/>
              <w:rPr>
                <w:kern w:val="0"/>
              </w:rPr>
            </w:pPr>
            <w:r>
              <w:t>标准名称</w:t>
            </w:r>
          </w:p>
        </w:tc>
        <w:tc>
          <w:tcPr>
            <w:tcW w:w="579"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pH</w:t>
            </w:r>
          </w:p>
          <w:p>
            <w:pPr>
              <w:pStyle w:val="136"/>
              <w:rPr>
                <w:kern w:val="0"/>
              </w:rPr>
            </w:pPr>
            <w:r>
              <w:rPr>
                <w:kern w:val="0"/>
              </w:rPr>
              <w:t>（无量纲）</w:t>
            </w:r>
          </w:p>
        </w:tc>
        <w:tc>
          <w:tcPr>
            <w:tcW w:w="331"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SS</w:t>
            </w:r>
          </w:p>
          <w:p>
            <w:pPr>
              <w:pStyle w:val="136"/>
              <w:rPr>
                <w:kern w:val="0"/>
              </w:rPr>
            </w:pPr>
            <w:r>
              <w:rPr>
                <w:rFonts w:hint="eastAsia" w:ascii="宋体" w:hAnsi="宋体" w:cs="宋体"/>
                <w:kern w:val="0"/>
              </w:rPr>
              <w:t>≦</w:t>
            </w:r>
          </w:p>
        </w:tc>
        <w:tc>
          <w:tcPr>
            <w:tcW w:w="331" w:type="pct"/>
            <w:tcBorders>
              <w:top w:val="single" w:color="auto" w:sz="4" w:space="0"/>
              <w:left w:val="single" w:color="auto" w:sz="4" w:space="0"/>
              <w:bottom w:val="single" w:color="auto" w:sz="4" w:space="0"/>
              <w:right w:val="single" w:color="auto" w:sz="4" w:space="0"/>
            </w:tcBorders>
            <w:vAlign w:val="center"/>
          </w:tcPr>
          <w:p>
            <w:pPr>
              <w:pStyle w:val="136"/>
              <w:rPr>
                <w:kern w:val="0"/>
                <w:vertAlign w:val="subscript"/>
              </w:rPr>
            </w:pPr>
            <w:r>
              <w:rPr>
                <w:kern w:val="0"/>
              </w:rPr>
              <w:t>BOD</w:t>
            </w:r>
            <w:r>
              <w:rPr>
                <w:kern w:val="0"/>
                <w:vertAlign w:val="subscript"/>
              </w:rPr>
              <w:t>5</w:t>
            </w:r>
          </w:p>
          <w:p>
            <w:pPr>
              <w:pStyle w:val="136"/>
              <w:rPr>
                <w:kern w:val="0"/>
              </w:rPr>
            </w:pPr>
            <w:r>
              <w:rPr>
                <w:rFonts w:hint="eastAsia" w:ascii="宋体" w:hAnsi="宋体" w:cs="宋体"/>
                <w:kern w:val="0"/>
              </w:rPr>
              <w:t>≦</w:t>
            </w:r>
          </w:p>
        </w:tc>
        <w:tc>
          <w:tcPr>
            <w:tcW w:w="414" w:type="pct"/>
            <w:tcBorders>
              <w:top w:val="single" w:color="auto" w:sz="4" w:space="0"/>
              <w:left w:val="single" w:color="auto" w:sz="4" w:space="0"/>
              <w:bottom w:val="single" w:color="auto" w:sz="4" w:space="0"/>
              <w:right w:val="single" w:color="auto" w:sz="4" w:space="0"/>
            </w:tcBorders>
            <w:vAlign w:val="center"/>
          </w:tcPr>
          <w:p>
            <w:pPr>
              <w:pStyle w:val="136"/>
              <w:rPr>
                <w:kern w:val="0"/>
                <w:vertAlign w:val="subscript"/>
              </w:rPr>
            </w:pPr>
            <w:r>
              <w:rPr>
                <w:kern w:val="0"/>
              </w:rPr>
              <w:t>COD</w:t>
            </w:r>
            <w:r>
              <w:rPr>
                <w:kern w:val="0"/>
                <w:vertAlign w:val="subscript"/>
              </w:rPr>
              <w:t>cr</w:t>
            </w:r>
          </w:p>
          <w:p>
            <w:pPr>
              <w:pStyle w:val="136"/>
              <w:rPr>
                <w:kern w:val="0"/>
              </w:rPr>
            </w:pPr>
            <w:r>
              <w:rPr>
                <w:rFonts w:hint="eastAsia" w:ascii="宋体" w:hAnsi="宋体" w:cs="宋体"/>
                <w:kern w:val="0"/>
              </w:rPr>
              <w:t>≦</w:t>
            </w:r>
          </w:p>
        </w:tc>
        <w:tc>
          <w:tcPr>
            <w:tcW w:w="580"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阴离子表面活性剂</w:t>
            </w:r>
            <w:r>
              <w:rPr>
                <w:rFonts w:hint="eastAsia" w:ascii="宋体" w:hAnsi="宋体" w:cs="宋体"/>
                <w:kern w:val="0"/>
              </w:rPr>
              <w:t>≦</w:t>
            </w:r>
          </w:p>
        </w:tc>
        <w:tc>
          <w:tcPr>
            <w:tcW w:w="744"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粪大肠菌群（MPN/L）</w:t>
            </w:r>
          </w:p>
        </w:tc>
        <w:tc>
          <w:tcPr>
            <w:tcW w:w="532"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蛔虫卵个数（个/L）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jc w:val="center"/>
        </w:trPr>
        <w:tc>
          <w:tcPr>
            <w:tcW w:w="1489" w:type="pct"/>
            <w:tcBorders>
              <w:top w:val="single" w:color="auto" w:sz="4" w:space="0"/>
              <w:left w:val="single" w:color="auto" w:sz="4" w:space="0"/>
              <w:bottom w:val="single" w:color="auto" w:sz="4" w:space="0"/>
              <w:right w:val="single" w:color="auto" w:sz="4" w:space="0"/>
            </w:tcBorders>
            <w:vAlign w:val="center"/>
          </w:tcPr>
          <w:p>
            <w:pPr>
              <w:pStyle w:val="136"/>
            </w:pPr>
            <w:r>
              <w:t>《农田灌溉水质标准》</w:t>
            </w:r>
          </w:p>
          <w:p>
            <w:pPr>
              <w:pStyle w:val="136"/>
            </w:pPr>
            <w:r>
              <w:t>（GB5084-2021）旱作</w:t>
            </w:r>
          </w:p>
        </w:tc>
        <w:tc>
          <w:tcPr>
            <w:tcW w:w="579"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5.5~8.5</w:t>
            </w:r>
          </w:p>
        </w:tc>
        <w:tc>
          <w:tcPr>
            <w:tcW w:w="331"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100</w:t>
            </w:r>
          </w:p>
        </w:tc>
        <w:tc>
          <w:tcPr>
            <w:tcW w:w="331"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100</w:t>
            </w:r>
          </w:p>
        </w:tc>
        <w:tc>
          <w:tcPr>
            <w:tcW w:w="414"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200</w:t>
            </w:r>
          </w:p>
        </w:tc>
        <w:tc>
          <w:tcPr>
            <w:tcW w:w="580"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8</w:t>
            </w:r>
          </w:p>
        </w:tc>
        <w:tc>
          <w:tcPr>
            <w:tcW w:w="744"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w:t>
            </w:r>
          </w:p>
        </w:tc>
        <w:tc>
          <w:tcPr>
            <w:tcW w:w="532"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jc w:val="center"/>
        </w:trPr>
        <w:tc>
          <w:tcPr>
            <w:tcW w:w="1489" w:type="pct"/>
            <w:tcBorders>
              <w:top w:val="single" w:color="auto" w:sz="4" w:space="0"/>
              <w:left w:val="single" w:color="auto" w:sz="4" w:space="0"/>
              <w:bottom w:val="single" w:color="auto" w:sz="4" w:space="0"/>
              <w:right w:val="single" w:color="auto" w:sz="4" w:space="0"/>
            </w:tcBorders>
            <w:vAlign w:val="center"/>
          </w:tcPr>
          <w:p>
            <w:pPr>
              <w:pStyle w:val="136"/>
            </w:pPr>
            <w:r>
              <w:t>《农村生活污水处理排放标准》</w:t>
            </w:r>
          </w:p>
          <w:p>
            <w:pPr>
              <w:pStyle w:val="136"/>
            </w:pPr>
            <w:r>
              <w:t>（DB654275-2019）B级</w:t>
            </w:r>
          </w:p>
        </w:tc>
        <w:tc>
          <w:tcPr>
            <w:tcW w:w="579"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6~9</w:t>
            </w:r>
          </w:p>
        </w:tc>
        <w:tc>
          <w:tcPr>
            <w:tcW w:w="331"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90</w:t>
            </w:r>
          </w:p>
        </w:tc>
        <w:tc>
          <w:tcPr>
            <w:tcW w:w="331"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w:t>
            </w:r>
          </w:p>
        </w:tc>
        <w:tc>
          <w:tcPr>
            <w:tcW w:w="414"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180</w:t>
            </w:r>
          </w:p>
        </w:tc>
        <w:tc>
          <w:tcPr>
            <w:tcW w:w="580"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w:t>
            </w:r>
          </w:p>
        </w:tc>
        <w:tc>
          <w:tcPr>
            <w:tcW w:w="744"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40000</w:t>
            </w:r>
          </w:p>
        </w:tc>
        <w:tc>
          <w:tcPr>
            <w:tcW w:w="532" w:type="pct"/>
            <w:tcBorders>
              <w:top w:val="single" w:color="auto" w:sz="4" w:space="0"/>
              <w:left w:val="single" w:color="auto" w:sz="4" w:space="0"/>
              <w:bottom w:val="single" w:color="auto" w:sz="4" w:space="0"/>
              <w:right w:val="single" w:color="auto" w:sz="4" w:space="0"/>
            </w:tcBorders>
            <w:vAlign w:val="center"/>
          </w:tcPr>
          <w:p>
            <w:pPr>
              <w:pStyle w:val="136"/>
              <w:rPr>
                <w:kern w:val="0"/>
              </w:rPr>
            </w:pPr>
            <w:r>
              <w:rPr>
                <w:kern w:val="0"/>
              </w:rPr>
              <w:t>2</w:t>
            </w:r>
          </w:p>
        </w:tc>
      </w:tr>
    </w:tbl>
    <w:p>
      <w:pPr>
        <w:spacing w:line="240" w:lineRule="auto"/>
        <w:ind w:firstLine="420"/>
        <w:rPr>
          <w:rFonts w:cs="Times New Roman"/>
          <w:sz w:val="21"/>
          <w:szCs w:val="21"/>
        </w:rPr>
      </w:pPr>
    </w:p>
    <w:p>
      <w:pPr>
        <w:pStyle w:val="4"/>
        <w:rPr>
          <w:rFonts w:cs="Times New Roman"/>
        </w:rPr>
      </w:pPr>
      <w:r>
        <w:rPr>
          <w:rFonts w:cs="Times New Roman"/>
        </w:rPr>
        <w:t>1.3.2 地下水环境</w:t>
      </w:r>
    </w:p>
    <w:p>
      <w:pPr>
        <w:ind w:firstLine="480"/>
        <w:rPr>
          <w:rFonts w:cs="Times New Roman" w:eastAsiaTheme="minorEastAsia"/>
        </w:rPr>
      </w:pPr>
      <w:r>
        <w:rPr>
          <w:rFonts w:cs="Times New Roman" w:eastAsiaTheme="minorEastAsia"/>
        </w:rPr>
        <w:t>执行《地下水质量标准》（GB/T14848-2017）III类标准，指标值见表1.3-3。</w:t>
      </w:r>
    </w:p>
    <w:p>
      <w:pPr>
        <w:pStyle w:val="137"/>
        <w:spacing w:before="48"/>
      </w:pPr>
      <w:bookmarkStart w:id="18" w:name="_Toc518697236"/>
      <w:r>
        <w:t>表1.3-3            工程影响区地下水质量标准</w:t>
      </w:r>
      <w:bookmarkEnd w:id="18"/>
      <w:r>
        <w:t>（摘录）</w:t>
      </w:r>
    </w:p>
    <w:tbl>
      <w:tblPr>
        <w:tblStyle w:val="40"/>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4"/>
        <w:gridCol w:w="993"/>
        <w:gridCol w:w="3509"/>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4" w:type="dxa"/>
            <w:shd w:val="clear" w:color="auto" w:fill="auto"/>
            <w:vAlign w:val="center"/>
          </w:tcPr>
          <w:p>
            <w:pPr>
              <w:pStyle w:val="136"/>
            </w:pPr>
            <w:r>
              <w:t>监测项目</w:t>
            </w:r>
          </w:p>
        </w:tc>
        <w:tc>
          <w:tcPr>
            <w:tcW w:w="993" w:type="dxa"/>
            <w:shd w:val="clear" w:color="auto" w:fill="auto"/>
            <w:vAlign w:val="center"/>
          </w:tcPr>
          <w:p>
            <w:pPr>
              <w:pStyle w:val="136"/>
            </w:pPr>
            <w:r>
              <w:t>标准值</w:t>
            </w:r>
          </w:p>
        </w:tc>
        <w:tc>
          <w:tcPr>
            <w:tcW w:w="3509" w:type="dxa"/>
            <w:shd w:val="clear" w:color="auto" w:fill="auto"/>
            <w:vAlign w:val="center"/>
          </w:tcPr>
          <w:p>
            <w:pPr>
              <w:pStyle w:val="136"/>
            </w:pPr>
            <w:r>
              <w:t>监测项目</w:t>
            </w:r>
          </w:p>
        </w:tc>
        <w:tc>
          <w:tcPr>
            <w:tcW w:w="1190" w:type="dxa"/>
            <w:shd w:val="clear" w:color="auto" w:fill="auto"/>
            <w:vAlign w:val="center"/>
          </w:tcPr>
          <w:p>
            <w:pPr>
              <w:pStyle w:val="136"/>
            </w:pPr>
            <w: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4" w:type="dxa"/>
            <w:shd w:val="clear" w:color="auto" w:fill="auto"/>
            <w:vAlign w:val="center"/>
          </w:tcPr>
          <w:p>
            <w:pPr>
              <w:pStyle w:val="136"/>
            </w:pPr>
            <w:r>
              <w:t>pH（无量纲）</w:t>
            </w:r>
          </w:p>
        </w:tc>
        <w:tc>
          <w:tcPr>
            <w:tcW w:w="993" w:type="dxa"/>
            <w:shd w:val="clear" w:color="auto" w:fill="auto"/>
            <w:vAlign w:val="center"/>
          </w:tcPr>
          <w:p>
            <w:pPr>
              <w:pStyle w:val="136"/>
            </w:pPr>
            <w:r>
              <w:t>6.5~8.5</w:t>
            </w:r>
          </w:p>
        </w:tc>
        <w:tc>
          <w:tcPr>
            <w:tcW w:w="3509" w:type="dxa"/>
            <w:shd w:val="clear" w:color="auto" w:fill="auto"/>
            <w:vAlign w:val="center"/>
          </w:tcPr>
          <w:p>
            <w:pPr>
              <w:pStyle w:val="136"/>
            </w:pPr>
            <w:r>
              <w:t>亚硝酸盐（以N计）（mg/L)</w:t>
            </w:r>
          </w:p>
        </w:tc>
        <w:tc>
          <w:tcPr>
            <w:tcW w:w="1190" w:type="dxa"/>
            <w:shd w:val="clear" w:color="auto" w:fill="auto"/>
            <w:vAlign w:val="center"/>
          </w:tcPr>
          <w:p>
            <w:pPr>
              <w:pStyle w:val="136"/>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4" w:type="dxa"/>
            <w:shd w:val="clear" w:color="auto" w:fill="auto"/>
            <w:vAlign w:val="center"/>
          </w:tcPr>
          <w:p>
            <w:pPr>
              <w:pStyle w:val="136"/>
            </w:pPr>
            <w:r>
              <w:t>总硬度（以CaCO</w:t>
            </w:r>
            <w:r>
              <w:rPr>
                <w:vertAlign w:val="subscript"/>
              </w:rPr>
              <w:t>3</w:t>
            </w:r>
            <w:r>
              <w:t>计，mg/L)</w:t>
            </w:r>
          </w:p>
        </w:tc>
        <w:tc>
          <w:tcPr>
            <w:tcW w:w="993" w:type="dxa"/>
            <w:shd w:val="clear" w:color="auto" w:fill="auto"/>
            <w:vAlign w:val="center"/>
          </w:tcPr>
          <w:p>
            <w:pPr>
              <w:pStyle w:val="136"/>
            </w:pPr>
            <w:r>
              <w:t>≤450</w:t>
            </w:r>
          </w:p>
        </w:tc>
        <w:tc>
          <w:tcPr>
            <w:tcW w:w="3509" w:type="dxa"/>
            <w:shd w:val="clear" w:color="auto" w:fill="auto"/>
            <w:vAlign w:val="center"/>
          </w:tcPr>
          <w:p>
            <w:pPr>
              <w:pStyle w:val="136"/>
            </w:pPr>
            <w:r>
              <w:t>锰（mg/L）</w:t>
            </w:r>
          </w:p>
        </w:tc>
        <w:tc>
          <w:tcPr>
            <w:tcW w:w="1190" w:type="dxa"/>
            <w:shd w:val="clear" w:color="auto" w:fill="auto"/>
            <w:vAlign w:val="center"/>
          </w:tcPr>
          <w:p>
            <w:pPr>
              <w:pStyle w:val="136"/>
            </w:pPr>
            <w: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4" w:type="dxa"/>
            <w:shd w:val="clear" w:color="auto" w:fill="auto"/>
            <w:vAlign w:val="center"/>
          </w:tcPr>
          <w:p>
            <w:pPr>
              <w:pStyle w:val="136"/>
            </w:pPr>
            <w:r>
              <w:t>溶解性总固体（mg/L)</w:t>
            </w:r>
          </w:p>
        </w:tc>
        <w:tc>
          <w:tcPr>
            <w:tcW w:w="993" w:type="dxa"/>
            <w:shd w:val="clear" w:color="auto" w:fill="auto"/>
            <w:vAlign w:val="center"/>
          </w:tcPr>
          <w:p>
            <w:pPr>
              <w:pStyle w:val="136"/>
            </w:pPr>
            <w:r>
              <w:t>≤1000</w:t>
            </w:r>
          </w:p>
        </w:tc>
        <w:tc>
          <w:tcPr>
            <w:tcW w:w="3509" w:type="dxa"/>
            <w:shd w:val="clear" w:color="auto" w:fill="auto"/>
            <w:vAlign w:val="center"/>
          </w:tcPr>
          <w:p>
            <w:pPr>
              <w:pStyle w:val="136"/>
            </w:pPr>
            <w:r>
              <w:t>挥发性酚类（以苯酚计，mg/L）</w:t>
            </w:r>
          </w:p>
        </w:tc>
        <w:tc>
          <w:tcPr>
            <w:tcW w:w="1190" w:type="dxa"/>
            <w:shd w:val="clear" w:color="auto" w:fill="auto"/>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4" w:type="dxa"/>
            <w:shd w:val="clear" w:color="auto" w:fill="auto"/>
            <w:vAlign w:val="center"/>
          </w:tcPr>
          <w:p>
            <w:pPr>
              <w:pStyle w:val="136"/>
            </w:pPr>
            <w:r>
              <w:t>硫酸盐（mg/L)</w:t>
            </w:r>
          </w:p>
        </w:tc>
        <w:tc>
          <w:tcPr>
            <w:tcW w:w="993" w:type="dxa"/>
            <w:shd w:val="clear" w:color="auto" w:fill="auto"/>
            <w:vAlign w:val="center"/>
          </w:tcPr>
          <w:p>
            <w:pPr>
              <w:pStyle w:val="136"/>
            </w:pPr>
            <w:r>
              <w:t>≤250</w:t>
            </w:r>
          </w:p>
        </w:tc>
        <w:tc>
          <w:tcPr>
            <w:tcW w:w="3509" w:type="dxa"/>
            <w:shd w:val="clear" w:color="auto" w:fill="auto"/>
            <w:vAlign w:val="center"/>
          </w:tcPr>
          <w:p>
            <w:pPr>
              <w:pStyle w:val="136"/>
            </w:pPr>
            <w:r>
              <w:t>耗氧量（COD</w:t>
            </w:r>
            <w:r>
              <w:rPr>
                <w:vertAlign w:val="subscript"/>
              </w:rPr>
              <w:t>Mn</w:t>
            </w:r>
            <w:r>
              <w:t>法，以O</w:t>
            </w:r>
            <w:r>
              <w:rPr>
                <w:vertAlign w:val="subscript"/>
              </w:rPr>
              <w:t>2</w:t>
            </w:r>
            <w:r>
              <w:t>计）（mg/L)</w:t>
            </w:r>
          </w:p>
        </w:tc>
        <w:tc>
          <w:tcPr>
            <w:tcW w:w="1190" w:type="dxa"/>
            <w:shd w:val="clear" w:color="auto" w:fill="auto"/>
            <w:vAlign w:val="center"/>
          </w:tcPr>
          <w:p>
            <w:pPr>
              <w:pStyle w:val="136"/>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4" w:type="dxa"/>
            <w:shd w:val="clear" w:color="auto" w:fill="auto"/>
            <w:vAlign w:val="center"/>
          </w:tcPr>
          <w:p>
            <w:pPr>
              <w:pStyle w:val="136"/>
            </w:pPr>
            <w:r>
              <w:t>氯化物（mg/L)</w:t>
            </w:r>
          </w:p>
        </w:tc>
        <w:tc>
          <w:tcPr>
            <w:tcW w:w="993" w:type="dxa"/>
            <w:shd w:val="clear" w:color="auto" w:fill="auto"/>
            <w:vAlign w:val="center"/>
          </w:tcPr>
          <w:p>
            <w:pPr>
              <w:pStyle w:val="136"/>
            </w:pPr>
            <w:r>
              <w:t>≤250</w:t>
            </w:r>
          </w:p>
        </w:tc>
        <w:tc>
          <w:tcPr>
            <w:tcW w:w="3509" w:type="dxa"/>
            <w:shd w:val="clear" w:color="auto" w:fill="auto"/>
            <w:vAlign w:val="center"/>
          </w:tcPr>
          <w:p>
            <w:pPr>
              <w:pStyle w:val="136"/>
            </w:pPr>
            <w:r>
              <w:t>氨氮（以N计，mg/L)</w:t>
            </w:r>
          </w:p>
        </w:tc>
        <w:tc>
          <w:tcPr>
            <w:tcW w:w="1190" w:type="dxa"/>
            <w:shd w:val="clear" w:color="auto" w:fill="auto"/>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4" w:type="dxa"/>
            <w:shd w:val="clear" w:color="auto" w:fill="auto"/>
            <w:vAlign w:val="center"/>
          </w:tcPr>
          <w:p>
            <w:pPr>
              <w:pStyle w:val="136"/>
            </w:pPr>
            <w:r>
              <w:t>铁（mg/L）</w:t>
            </w:r>
          </w:p>
        </w:tc>
        <w:tc>
          <w:tcPr>
            <w:tcW w:w="993" w:type="dxa"/>
            <w:shd w:val="clear" w:color="auto" w:fill="auto"/>
            <w:vAlign w:val="center"/>
          </w:tcPr>
          <w:p>
            <w:pPr>
              <w:pStyle w:val="136"/>
            </w:pPr>
            <w:r>
              <w:t>≤0.3</w:t>
            </w:r>
          </w:p>
        </w:tc>
        <w:tc>
          <w:tcPr>
            <w:tcW w:w="3509" w:type="dxa"/>
            <w:shd w:val="clear" w:color="auto" w:fill="auto"/>
            <w:vAlign w:val="center"/>
          </w:tcPr>
          <w:p>
            <w:pPr>
              <w:pStyle w:val="136"/>
            </w:pPr>
            <w:r>
              <w:t>总大肠菌群（MPNb/100ml）</w:t>
            </w:r>
          </w:p>
        </w:tc>
        <w:tc>
          <w:tcPr>
            <w:tcW w:w="1190" w:type="dxa"/>
            <w:shd w:val="clear" w:color="auto" w:fill="auto"/>
            <w:vAlign w:val="center"/>
          </w:tcPr>
          <w:p>
            <w:pPr>
              <w:pStyle w:val="136"/>
            </w:pPr>
            <w:r>
              <w:t>≤0.001</w:t>
            </w:r>
          </w:p>
        </w:tc>
      </w:tr>
    </w:tbl>
    <w:p>
      <w:pPr>
        <w:spacing w:line="240" w:lineRule="auto"/>
        <w:ind w:firstLine="420"/>
        <w:rPr>
          <w:rFonts w:cs="Times New Roman"/>
          <w:sz w:val="21"/>
          <w:szCs w:val="21"/>
        </w:rPr>
      </w:pPr>
    </w:p>
    <w:p>
      <w:pPr>
        <w:pStyle w:val="4"/>
        <w:rPr>
          <w:rFonts w:cs="Times New Roman"/>
        </w:rPr>
      </w:pPr>
      <w:r>
        <w:rPr>
          <w:rFonts w:cs="Times New Roman"/>
        </w:rPr>
        <w:t>1.3.3 生态环境</w:t>
      </w:r>
    </w:p>
    <w:p>
      <w:pPr>
        <w:ind w:firstLine="480"/>
        <w:rPr>
          <w:rFonts w:cs="Times New Roman" w:eastAsiaTheme="minorEastAsia"/>
        </w:rPr>
      </w:pPr>
      <w:r>
        <w:rPr>
          <w:rFonts w:cs="Times New Roman" w:eastAsiaTheme="minorEastAsia"/>
        </w:rPr>
        <w:t>（1）生态环境以不减少区域内珍稀濒危动植物种类和不破坏生态系统完整性为标准。</w:t>
      </w:r>
    </w:p>
    <w:p>
      <w:pPr>
        <w:ind w:firstLine="480"/>
        <w:rPr>
          <w:rFonts w:cs="Times New Roman" w:eastAsiaTheme="minorEastAsia"/>
        </w:rPr>
      </w:pPr>
      <w:r>
        <w:rPr>
          <w:rFonts w:cs="Times New Roman" w:eastAsiaTheme="minorEastAsia"/>
        </w:rPr>
        <w:t>（2）评价区土地利用类型，以《土地利用现状分类》（GBT21010-2017）二级类为基础制图单位进行评价，详见表1.3-4；植被类型按照《中国植被》分类体系，运用3个分类单位，植被型组、植被型、群系，数据采用2023年遥感解译成果。</w:t>
      </w:r>
    </w:p>
    <w:p>
      <w:pPr>
        <w:spacing w:line="240" w:lineRule="auto"/>
        <w:ind w:firstLine="199" w:firstLineChars="83"/>
        <w:rPr>
          <w:rFonts w:eastAsia="黑体" w:cs="Times New Roman"/>
        </w:rPr>
      </w:pPr>
      <w:r>
        <w:rPr>
          <w:rFonts w:eastAsia="黑体" w:cs="Times New Roman"/>
        </w:rPr>
        <w:t>表1.3-4                土地利用现状分类（节选）</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85"/>
        <w:gridCol w:w="1587"/>
        <w:gridCol w:w="6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1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一级地类</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二级地类</w:t>
            </w:r>
          </w:p>
        </w:tc>
        <w:tc>
          <w:tcPr>
            <w:tcW w:w="602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1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林地</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灌木林地</w:t>
            </w:r>
          </w:p>
        </w:tc>
        <w:tc>
          <w:tcPr>
            <w:tcW w:w="602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cs="Times New Roman" w:eastAsiaTheme="minorEastAsia"/>
                <w:sz w:val="18"/>
                <w:szCs w:val="18"/>
              </w:rPr>
            </w:pPr>
            <w:r>
              <w:rPr>
                <w:rFonts w:cs="Times New Roman" w:eastAsiaTheme="minorEastAsia"/>
                <w:sz w:val="18"/>
                <w:szCs w:val="18"/>
              </w:rPr>
              <w:t>指灌木覆</w:t>
            </w:r>
            <w:r>
              <w:rPr>
                <w:rFonts w:hint="eastAsia" w:cs="Times New Roman" w:eastAsiaTheme="minorEastAsia"/>
                <w:sz w:val="18"/>
                <w:szCs w:val="18"/>
                <w:lang w:eastAsia="zh-CN"/>
              </w:rPr>
              <w:t>植盖度</w:t>
            </w:r>
            <w:r>
              <w:rPr>
                <w:rFonts w:cs="Times New Roman" w:eastAsiaTheme="minorEastAsia"/>
                <w:sz w:val="18"/>
                <w:szCs w:val="18"/>
              </w:rPr>
              <w:t>≥40%的林地，不包括灌丛沼泽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草地</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天然牧草地</w:t>
            </w:r>
          </w:p>
        </w:tc>
        <w:tc>
          <w:tcPr>
            <w:tcW w:w="602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cs="Times New Roman" w:eastAsiaTheme="minorEastAsia"/>
                <w:sz w:val="18"/>
                <w:szCs w:val="18"/>
              </w:rPr>
            </w:pPr>
            <w:r>
              <w:rPr>
                <w:rFonts w:cs="Times New Roman" w:eastAsiaTheme="minorEastAsia"/>
                <w:sz w:val="18"/>
                <w:szCs w:val="18"/>
              </w:rPr>
              <w:t>指以天然草本植物为主，用于放牧或割草的草地，包括实施禁牧措施的草地，不包括沼泽草地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耕地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eastAsiaTheme="minorEastAsia"/>
                <w:sz w:val="18"/>
                <w:szCs w:val="18"/>
              </w:rPr>
            </w:pPr>
            <w:r>
              <w:rPr>
                <w:rFonts w:cs="Times New Roman" w:eastAsiaTheme="minorEastAsia"/>
                <w:sz w:val="18"/>
                <w:szCs w:val="18"/>
              </w:rPr>
              <w:t>水浇地</w:t>
            </w:r>
          </w:p>
        </w:tc>
        <w:tc>
          <w:tcPr>
            <w:tcW w:w="60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cs="Times New Roman" w:eastAsiaTheme="minorEastAsia"/>
                <w:sz w:val="18"/>
                <w:szCs w:val="18"/>
              </w:rPr>
            </w:pPr>
            <w:r>
              <w:rPr>
                <w:rFonts w:cs="Times New Roman" w:eastAsiaTheme="minorEastAsia"/>
                <w:sz w:val="18"/>
                <w:szCs w:val="18"/>
              </w:rPr>
              <w:t>指有水源保证和灌溉设施，在一般年景可正常灌溉，种植旱生农作物（含蔬菜）的耕地，包括大棚用地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0" w:type="auto"/>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建设用地</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农村宅基地</w:t>
            </w:r>
          </w:p>
        </w:tc>
        <w:tc>
          <w:tcPr>
            <w:tcW w:w="602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cs="Times New Roman" w:eastAsiaTheme="minorEastAsia"/>
                <w:sz w:val="18"/>
                <w:szCs w:val="18"/>
              </w:rPr>
            </w:pPr>
            <w:r>
              <w:rPr>
                <w:rFonts w:cs="Times New Roman" w:eastAsiaTheme="minorEastAsia"/>
                <w:sz w:val="18"/>
                <w:szCs w:val="18"/>
              </w:rPr>
              <w:t>指农村用于生活居住的宅基地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交通运</w:t>
            </w:r>
          </w:p>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输用地</w:t>
            </w:r>
          </w:p>
        </w:tc>
        <w:tc>
          <w:tcPr>
            <w:tcW w:w="602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cs="Times New Roman" w:eastAsiaTheme="minorEastAsia"/>
                <w:sz w:val="18"/>
                <w:szCs w:val="18"/>
              </w:rPr>
            </w:pPr>
            <w:r>
              <w:rPr>
                <w:rFonts w:cs="Times New Roman" w:eastAsiaTheme="minorEastAsia"/>
                <w:sz w:val="18"/>
                <w:szCs w:val="18"/>
              </w:rPr>
              <w:t>指用于国道、省道、县道和乡道的用地。包括征地范围内的路堤、路堑、道沟、桥梁、汽车停靠站、林木及直接为其服务的附属用地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0" w:type="auto"/>
            <w:vMerge w:val="restart"/>
            <w:tcBorders>
              <w:left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水域及水利设</w:t>
            </w:r>
          </w:p>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施用地</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河流水面</w:t>
            </w:r>
          </w:p>
        </w:tc>
        <w:tc>
          <w:tcPr>
            <w:tcW w:w="602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cs="Times New Roman" w:eastAsiaTheme="minorEastAsia"/>
                <w:sz w:val="18"/>
                <w:szCs w:val="18"/>
              </w:rPr>
            </w:pPr>
            <w:r>
              <w:rPr>
                <w:rFonts w:cs="Times New Roman" w:eastAsiaTheme="minorEastAsia"/>
                <w:sz w:val="18"/>
                <w:szCs w:val="18"/>
              </w:rPr>
              <w:t>指天然形成或人工开挖河流常水位岸线之间的水面，不包括被堤坝拦截后形成的水库区段水面。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湖泊（水库）</w:t>
            </w:r>
          </w:p>
        </w:tc>
        <w:tc>
          <w:tcPr>
            <w:tcW w:w="602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cs="Times New Roman" w:eastAsiaTheme="minorEastAsia"/>
                <w:sz w:val="18"/>
                <w:szCs w:val="18"/>
              </w:rPr>
            </w:pPr>
            <w:r>
              <w:rPr>
                <w:rFonts w:cs="Times New Roman" w:eastAsiaTheme="minorEastAsia"/>
                <w:sz w:val="18"/>
                <w:szCs w:val="18"/>
              </w:rPr>
              <w:t>天然或人工形成的面状水体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内陆滩涂</w:t>
            </w:r>
          </w:p>
        </w:tc>
        <w:tc>
          <w:tcPr>
            <w:tcW w:w="602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cs="Times New Roman" w:eastAsiaTheme="minorEastAsia"/>
                <w:sz w:val="18"/>
                <w:szCs w:val="18"/>
              </w:rPr>
            </w:pPr>
            <w:r>
              <w:rPr>
                <w:rFonts w:cs="Times New Roman" w:eastAsiaTheme="minorEastAsia"/>
                <w:sz w:val="18"/>
                <w:szCs w:val="18"/>
              </w:rPr>
              <w:t>指河流、湖泊常水位至洪水位间的滩地；时令湖、河洪水位以下的滩地；水库、坑塘的正常蓄水位与洪水位间的滩地。包括海岛的内陆滩地。不包括已利用的滩地。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0" w:type="auto"/>
            <w:tcBorders>
              <w:left w:val="single" w:color="auto" w:sz="4" w:space="0"/>
              <w:right w:val="single" w:color="auto" w:sz="4" w:space="0"/>
            </w:tcBorders>
            <w:vAlign w:val="center"/>
          </w:tcPr>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其它</w:t>
            </w:r>
          </w:p>
          <w:p>
            <w:pPr>
              <w:widowControl/>
              <w:spacing w:line="240" w:lineRule="auto"/>
              <w:ind w:firstLine="0" w:firstLineChars="0"/>
              <w:jc w:val="center"/>
              <w:rPr>
                <w:rFonts w:cs="Times New Roman" w:eastAsiaTheme="minorEastAsia"/>
                <w:sz w:val="18"/>
                <w:szCs w:val="18"/>
              </w:rPr>
            </w:pPr>
            <w:r>
              <w:rPr>
                <w:rFonts w:cs="Times New Roman" w:eastAsiaTheme="minorEastAsia"/>
                <w:sz w:val="18"/>
                <w:szCs w:val="18"/>
              </w:rPr>
              <w:t>土地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eastAsiaTheme="minorEastAsia"/>
                <w:sz w:val="18"/>
                <w:szCs w:val="18"/>
              </w:rPr>
            </w:pPr>
            <w:r>
              <w:rPr>
                <w:rFonts w:cs="Times New Roman" w:eastAsiaTheme="minorEastAsia"/>
                <w:sz w:val="18"/>
                <w:szCs w:val="18"/>
              </w:rPr>
              <w:t>裸岩石砾地</w:t>
            </w:r>
          </w:p>
        </w:tc>
        <w:tc>
          <w:tcPr>
            <w:tcW w:w="60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cs="Times New Roman" w:eastAsiaTheme="minorEastAsia"/>
                <w:sz w:val="18"/>
                <w:szCs w:val="18"/>
              </w:rPr>
            </w:pPr>
            <w:r>
              <w:rPr>
                <w:rFonts w:cs="Times New Roman" w:eastAsiaTheme="minorEastAsia"/>
                <w:sz w:val="18"/>
                <w:szCs w:val="18"/>
              </w:rPr>
              <w:t>表层为岩石或石砾，其覆盖面积≥70%的土地</w:t>
            </w:r>
          </w:p>
        </w:tc>
      </w:tr>
    </w:tbl>
    <w:p>
      <w:pPr>
        <w:ind w:firstLine="480"/>
        <w:rPr>
          <w:rFonts w:cs="Times New Roman" w:eastAsiaTheme="minorEastAsia"/>
        </w:rPr>
      </w:pPr>
      <w:r>
        <w:rPr>
          <w:rFonts w:cs="Times New Roman" w:eastAsiaTheme="minorEastAsia"/>
        </w:rPr>
        <w:t>（3）陆生生态系统参照《全国生态状况调查评估技术规范-生态系统遥感解译与野外核查》HJ1166生态系统分类体系，以Ⅱ级类型作为基础制图单位和评价单位，详见表1.3-5，通过遥感卫片解译获取面积，生态系统完整性评价以H•lieth生物生产力经验公式测算本底值作为现状评价和影响预测的类比标准，生态系统结构、功能以2021年遥感卫星影像调查解译分析成果作为现状进行对照评价。</w:t>
      </w:r>
    </w:p>
    <w:p>
      <w:pPr>
        <w:spacing w:line="240" w:lineRule="auto"/>
        <w:ind w:firstLine="199" w:firstLineChars="83"/>
        <w:rPr>
          <w:rFonts w:eastAsia="黑体" w:cs="Times New Roman"/>
        </w:rPr>
      </w:pPr>
      <w:r>
        <w:rPr>
          <w:rFonts w:eastAsia="黑体" w:cs="Times New Roman"/>
        </w:rPr>
        <w:t>表1.3-5             全国生态系统分类体系表（节选）</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846"/>
        <w:gridCol w:w="5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09" w:type="dxa"/>
            <w:tcBorders>
              <w:top w:val="single" w:color="auto" w:sz="4" w:space="0"/>
              <w:left w:val="single" w:color="auto" w:sz="4" w:space="0"/>
              <w:bottom w:val="single" w:color="auto" w:sz="4" w:space="0"/>
              <w:right w:val="single" w:color="auto" w:sz="4" w:space="0"/>
            </w:tcBorders>
          </w:tcPr>
          <w:p>
            <w:pPr>
              <w:pStyle w:val="66"/>
              <w:rPr>
                <w:rFonts w:cs="Times New Roman" w:eastAsiaTheme="minorEastAsia"/>
                <w:sz w:val="18"/>
                <w:szCs w:val="18"/>
              </w:rPr>
            </w:pPr>
            <w:r>
              <w:rPr>
                <w:rFonts w:cs="Times New Roman" w:eastAsiaTheme="minorEastAsia"/>
                <w:sz w:val="18"/>
                <w:szCs w:val="18"/>
              </w:rPr>
              <w:t>Ⅰ级分类</w:t>
            </w:r>
          </w:p>
        </w:tc>
        <w:tc>
          <w:tcPr>
            <w:tcW w:w="180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Ⅱ级分类</w:t>
            </w:r>
          </w:p>
        </w:tc>
        <w:tc>
          <w:tcPr>
            <w:tcW w:w="5169"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分类依据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灌丛生态系统</w:t>
            </w:r>
          </w:p>
        </w:tc>
        <w:tc>
          <w:tcPr>
            <w:tcW w:w="180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落叶阔叶灌丛</w:t>
            </w:r>
          </w:p>
        </w:tc>
        <w:tc>
          <w:tcPr>
            <w:tcW w:w="5169" w:type="dxa"/>
            <w:tcBorders>
              <w:top w:val="single" w:color="auto" w:sz="4" w:space="0"/>
              <w:left w:val="single" w:color="auto" w:sz="4" w:space="0"/>
              <w:bottom w:val="single" w:color="auto" w:sz="4" w:space="0"/>
              <w:right w:val="single" w:color="auto" w:sz="4" w:space="0"/>
            </w:tcBorders>
            <w:vAlign w:val="center"/>
          </w:tcPr>
          <w:p>
            <w:pPr>
              <w:pStyle w:val="66"/>
              <w:jc w:val="left"/>
              <w:rPr>
                <w:rFonts w:cs="Times New Roman" w:eastAsiaTheme="minorEastAsia"/>
                <w:sz w:val="18"/>
                <w:szCs w:val="18"/>
              </w:rPr>
            </w:pPr>
            <w:r>
              <w:rPr>
                <w:rFonts w:cs="Times New Roman" w:eastAsiaTheme="minorEastAsia"/>
                <w:sz w:val="18"/>
                <w:szCs w:val="18"/>
              </w:rPr>
              <w:t>H=0.3～5m,C≥0.2,阔叶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 w:hRule="atLeast"/>
          <w:jc w:val="center"/>
        </w:trPr>
        <w:tc>
          <w:tcPr>
            <w:tcW w:w="1809" w:type="dxa"/>
            <w:vMerge w:val="restart"/>
            <w:tcBorders>
              <w:top w:val="single" w:color="auto" w:sz="4" w:space="0"/>
              <w:left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草地生态系统</w:t>
            </w:r>
          </w:p>
        </w:tc>
        <w:tc>
          <w:tcPr>
            <w:tcW w:w="180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草甸</w:t>
            </w:r>
          </w:p>
        </w:tc>
        <w:tc>
          <w:tcPr>
            <w:tcW w:w="5169" w:type="dxa"/>
            <w:tcBorders>
              <w:top w:val="single" w:color="auto" w:sz="4" w:space="0"/>
              <w:left w:val="single" w:color="auto" w:sz="4" w:space="0"/>
              <w:bottom w:val="single" w:color="auto" w:sz="4" w:space="0"/>
              <w:right w:val="single" w:color="auto" w:sz="4" w:space="0"/>
            </w:tcBorders>
            <w:vAlign w:val="center"/>
          </w:tcPr>
          <w:p>
            <w:pPr>
              <w:pStyle w:val="66"/>
              <w:jc w:val="left"/>
              <w:rPr>
                <w:rFonts w:cs="Times New Roman" w:eastAsiaTheme="minorEastAsia"/>
                <w:sz w:val="18"/>
                <w:szCs w:val="18"/>
              </w:rPr>
            </w:pPr>
            <w:r>
              <w:rPr>
                <w:rFonts w:cs="Times New Roman" w:eastAsiaTheme="minorEastAsia"/>
                <w:sz w:val="18"/>
                <w:szCs w:val="18"/>
              </w:rPr>
              <w:t>K≥1,土壤湿润，H =0.3～3m, C≥0.2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1809" w:type="dxa"/>
            <w:vMerge w:val="continue"/>
            <w:tcBorders>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稀疏草地</w:t>
            </w:r>
          </w:p>
        </w:tc>
        <w:tc>
          <w:tcPr>
            <w:tcW w:w="5169" w:type="dxa"/>
            <w:tcBorders>
              <w:top w:val="single" w:color="auto" w:sz="4" w:space="0"/>
              <w:left w:val="single" w:color="auto" w:sz="4" w:space="0"/>
              <w:bottom w:val="single" w:color="auto" w:sz="4" w:space="0"/>
              <w:right w:val="single" w:color="auto" w:sz="4" w:space="0"/>
            </w:tcBorders>
            <w:vAlign w:val="center"/>
          </w:tcPr>
          <w:p>
            <w:pPr>
              <w:pStyle w:val="66"/>
              <w:jc w:val="left"/>
              <w:rPr>
                <w:rFonts w:cs="Times New Roman" w:eastAsiaTheme="minorEastAsia"/>
                <w:sz w:val="18"/>
                <w:szCs w:val="18"/>
              </w:rPr>
            </w:pPr>
            <w:r>
              <w:rPr>
                <w:rFonts w:cs="Times New Roman" w:eastAsiaTheme="minorEastAsia"/>
                <w:sz w:val="18"/>
                <w:szCs w:val="18"/>
              </w:rPr>
              <w:t>H=0.03～3m，C=0.04～0.2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湿地生态系统</w:t>
            </w:r>
          </w:p>
        </w:tc>
        <w:tc>
          <w:tcPr>
            <w:tcW w:w="180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河流</w:t>
            </w:r>
          </w:p>
        </w:tc>
        <w:tc>
          <w:tcPr>
            <w:tcW w:w="5169" w:type="dxa"/>
            <w:tcBorders>
              <w:top w:val="single" w:color="auto" w:sz="4" w:space="0"/>
              <w:left w:val="single" w:color="auto" w:sz="4" w:space="0"/>
              <w:bottom w:val="single" w:color="auto" w:sz="4" w:space="0"/>
              <w:right w:val="single" w:color="auto" w:sz="4" w:space="0"/>
            </w:tcBorders>
            <w:vAlign w:val="center"/>
          </w:tcPr>
          <w:p>
            <w:pPr>
              <w:pStyle w:val="66"/>
              <w:jc w:val="left"/>
              <w:rPr>
                <w:rFonts w:cs="Times New Roman" w:eastAsiaTheme="minorEastAsia"/>
                <w:sz w:val="18"/>
                <w:szCs w:val="18"/>
              </w:rPr>
            </w:pPr>
            <w:r>
              <w:rPr>
                <w:rFonts w:cs="Times New Roman" w:eastAsiaTheme="minorEastAsia"/>
                <w:sz w:val="18"/>
                <w:szCs w:val="18"/>
              </w:rPr>
              <w:t>自然水面，流动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1809" w:type="dxa"/>
            <w:vMerge w:val="restart"/>
            <w:tcBorders>
              <w:top w:val="single" w:color="auto" w:sz="4" w:space="0"/>
              <w:left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城镇生态系统</w:t>
            </w:r>
          </w:p>
        </w:tc>
        <w:tc>
          <w:tcPr>
            <w:tcW w:w="180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居住地</w:t>
            </w:r>
          </w:p>
        </w:tc>
        <w:tc>
          <w:tcPr>
            <w:tcW w:w="5169" w:type="dxa"/>
            <w:tcBorders>
              <w:top w:val="single" w:color="auto" w:sz="4" w:space="0"/>
              <w:left w:val="single" w:color="auto" w:sz="4" w:space="0"/>
              <w:bottom w:val="single" w:color="auto" w:sz="4" w:space="0"/>
              <w:right w:val="single" w:color="auto" w:sz="4" w:space="0"/>
            </w:tcBorders>
            <w:vAlign w:val="center"/>
          </w:tcPr>
          <w:p>
            <w:pPr>
              <w:pStyle w:val="66"/>
              <w:jc w:val="left"/>
              <w:rPr>
                <w:rFonts w:cs="Times New Roman" w:eastAsiaTheme="minorEastAsia"/>
                <w:sz w:val="18"/>
                <w:szCs w:val="18"/>
              </w:rPr>
            </w:pPr>
            <w:r>
              <w:rPr>
                <w:rFonts w:cs="Times New Roman" w:eastAsiaTheme="minorEastAsia"/>
                <w:sz w:val="18"/>
                <w:szCs w:val="18"/>
              </w:rPr>
              <w:t>城市、镇、村等聚居区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1809" w:type="dxa"/>
            <w:vMerge w:val="continue"/>
            <w:tcBorders>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工矿交通</w:t>
            </w:r>
          </w:p>
        </w:tc>
        <w:tc>
          <w:tcPr>
            <w:tcW w:w="5169" w:type="dxa"/>
            <w:tcBorders>
              <w:top w:val="single" w:color="auto" w:sz="4" w:space="0"/>
              <w:left w:val="single" w:color="auto" w:sz="4" w:space="0"/>
              <w:bottom w:val="single" w:color="auto" w:sz="4" w:space="0"/>
              <w:right w:val="single" w:color="auto" w:sz="4" w:space="0"/>
            </w:tcBorders>
            <w:vAlign w:val="center"/>
          </w:tcPr>
          <w:p>
            <w:pPr>
              <w:pStyle w:val="66"/>
              <w:jc w:val="left"/>
              <w:rPr>
                <w:rFonts w:cs="Times New Roman" w:eastAsiaTheme="minorEastAsia"/>
                <w:sz w:val="18"/>
                <w:szCs w:val="18"/>
              </w:rPr>
            </w:pPr>
            <w:r>
              <w:rPr>
                <w:rFonts w:cs="Times New Roman" w:eastAsiaTheme="minorEastAsia"/>
                <w:sz w:val="18"/>
                <w:szCs w:val="18"/>
              </w:rPr>
              <w:t>人工挖掘表面和人工硬表面，工矿用地、交通用地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1809" w:type="dxa"/>
            <w:tcBorders>
              <w:top w:val="single" w:color="auto" w:sz="4" w:space="0"/>
              <w:left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其他</w:t>
            </w:r>
          </w:p>
        </w:tc>
        <w:tc>
          <w:tcPr>
            <w:tcW w:w="180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裸地</w:t>
            </w:r>
          </w:p>
        </w:tc>
        <w:tc>
          <w:tcPr>
            <w:tcW w:w="5169" w:type="dxa"/>
            <w:tcBorders>
              <w:top w:val="single" w:color="auto" w:sz="4" w:space="0"/>
              <w:left w:val="single" w:color="auto" w:sz="4" w:space="0"/>
              <w:bottom w:val="single" w:color="auto" w:sz="4" w:space="0"/>
              <w:right w:val="single" w:color="auto" w:sz="4" w:space="0"/>
            </w:tcBorders>
            <w:vAlign w:val="center"/>
          </w:tcPr>
          <w:p>
            <w:pPr>
              <w:pStyle w:val="66"/>
              <w:jc w:val="left"/>
              <w:rPr>
                <w:rFonts w:cs="Times New Roman" w:eastAsiaTheme="minorEastAsia"/>
                <w:sz w:val="18"/>
                <w:szCs w:val="18"/>
              </w:rPr>
            </w:pPr>
            <w:r>
              <w:rPr>
                <w:rFonts w:cs="Times New Roman" w:eastAsiaTheme="minorEastAsia"/>
                <w:sz w:val="18"/>
                <w:szCs w:val="18"/>
              </w:rPr>
              <w:t>自然，松散表面或坚硬表面，壤质或石质，C＜0.04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8778" w:type="dxa"/>
            <w:gridSpan w:val="3"/>
            <w:tcBorders>
              <w:left w:val="single" w:color="auto" w:sz="4" w:space="0"/>
              <w:bottom w:val="single" w:color="auto" w:sz="4" w:space="0"/>
              <w:right w:val="single" w:color="auto" w:sz="4" w:space="0"/>
            </w:tcBorders>
            <w:vAlign w:val="center"/>
          </w:tcPr>
          <w:p>
            <w:pPr>
              <w:pStyle w:val="66"/>
              <w:rPr>
                <w:rFonts w:cs="Times New Roman" w:eastAsiaTheme="minorEastAsia"/>
                <w:sz w:val="18"/>
                <w:szCs w:val="18"/>
              </w:rPr>
            </w:pPr>
            <w:r>
              <w:rPr>
                <w:rFonts w:cs="Times New Roman" w:eastAsiaTheme="minorEastAsia"/>
                <w:sz w:val="18"/>
                <w:szCs w:val="18"/>
              </w:rPr>
              <w:t>注：C：覆</w:t>
            </w:r>
            <w:r>
              <w:rPr>
                <w:rFonts w:hint="eastAsia" w:cs="Times New Roman" w:eastAsiaTheme="minorEastAsia"/>
                <w:sz w:val="18"/>
                <w:szCs w:val="18"/>
                <w:lang w:eastAsia="zh-CN"/>
              </w:rPr>
              <w:t>植盖度</w:t>
            </w:r>
            <w:r>
              <w:rPr>
                <w:rFonts w:cs="Times New Roman" w:eastAsiaTheme="minorEastAsia"/>
                <w:sz w:val="18"/>
                <w:szCs w:val="18"/>
              </w:rPr>
              <w:t>/郁闭度；H ：植被高度；K：湿润指数</w:t>
            </w:r>
          </w:p>
        </w:tc>
      </w:tr>
    </w:tbl>
    <w:p>
      <w:pPr>
        <w:spacing w:line="240" w:lineRule="auto"/>
        <w:ind w:firstLine="420"/>
        <w:rPr>
          <w:rFonts w:cs="Times New Roman"/>
          <w:sz w:val="21"/>
          <w:szCs w:val="21"/>
        </w:rPr>
      </w:pPr>
    </w:p>
    <w:p>
      <w:pPr>
        <w:pStyle w:val="4"/>
        <w:rPr>
          <w:rFonts w:cs="Times New Roman"/>
        </w:rPr>
      </w:pPr>
      <w:r>
        <w:rPr>
          <w:rFonts w:cs="Times New Roman"/>
        </w:rPr>
        <w:t>1.3.4 土壤环境</w:t>
      </w:r>
    </w:p>
    <w:p>
      <w:pPr>
        <w:ind w:firstLine="480"/>
        <w:rPr>
          <w:rFonts w:cs="Times New Roman" w:eastAsiaTheme="minorEastAsia"/>
        </w:rPr>
      </w:pPr>
      <w:r>
        <w:rPr>
          <w:rFonts w:cs="Times New Roman" w:eastAsiaTheme="minorEastAsia"/>
        </w:rPr>
        <w:t>工程建设占地影响区执行《土壤环境质量 建设用地土壤污染风险管控标准（试行）》（GB36600-2018），本工程为水利建设项目，属第二类用地，所对应的风险筛选值见表1.3-6。</w:t>
      </w:r>
    </w:p>
    <w:p>
      <w:pPr>
        <w:ind w:firstLine="480"/>
        <w:rPr>
          <w:rFonts w:cs="Times New Roman" w:eastAsiaTheme="minorEastAsia"/>
        </w:rPr>
      </w:pPr>
      <w:r>
        <w:rPr>
          <w:rFonts w:cs="Times New Roman" w:eastAsiaTheme="minorEastAsia"/>
        </w:rPr>
        <w:t>《环境影响评价技术导则 土壤环境（试行）》（HJ 964-2018）附录D中表D.1、D.2规定了土壤盐化分级标准和土壤酸化、碱化分级标准，详见表1.3-7和表1.3-8。</w:t>
      </w:r>
    </w:p>
    <w:p>
      <w:pPr>
        <w:pStyle w:val="137"/>
        <w:spacing w:before="48"/>
      </w:pPr>
      <w:r>
        <w:t>表1.3-6                 建设用地土壤污染风险筛选值             单位：mg/kg</w:t>
      </w:r>
    </w:p>
    <w:tbl>
      <w:tblPr>
        <w:tblStyle w:val="40"/>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282"/>
        <w:gridCol w:w="3403"/>
        <w:gridCol w:w="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tblHeader/>
          <w:jc w:val="center"/>
        </w:trPr>
        <w:tc>
          <w:tcPr>
            <w:tcW w:w="715" w:type="pct"/>
            <w:vMerge w:val="restart"/>
            <w:tcBorders>
              <w:top w:val="single" w:color="auto" w:sz="4" w:space="0"/>
              <w:left w:val="single" w:color="auto" w:sz="4" w:space="0"/>
              <w:bottom w:val="single" w:color="auto" w:sz="4" w:space="0"/>
              <w:right w:val="single" w:color="auto" w:sz="4" w:space="0"/>
            </w:tcBorders>
            <w:vAlign w:val="center"/>
          </w:tcPr>
          <w:p>
            <w:pPr>
              <w:pStyle w:val="136"/>
            </w:pPr>
            <w:r>
              <w:t>序号</w:t>
            </w:r>
          </w:p>
        </w:tc>
        <w:tc>
          <w:tcPr>
            <w:tcW w:w="1898" w:type="pct"/>
            <w:vMerge w:val="restart"/>
            <w:tcBorders>
              <w:top w:val="single" w:color="auto" w:sz="4" w:space="0"/>
              <w:left w:val="nil"/>
              <w:bottom w:val="single" w:color="auto" w:sz="4" w:space="0"/>
              <w:right w:val="single" w:color="auto" w:sz="4" w:space="0"/>
            </w:tcBorders>
            <w:vAlign w:val="center"/>
          </w:tcPr>
          <w:p>
            <w:pPr>
              <w:pStyle w:val="136"/>
            </w:pPr>
            <w:r>
              <w:t>污染物项目</w:t>
            </w:r>
          </w:p>
        </w:tc>
        <w:tc>
          <w:tcPr>
            <w:tcW w:w="2387" w:type="pct"/>
            <w:tcBorders>
              <w:top w:val="single" w:color="auto" w:sz="4" w:space="0"/>
              <w:left w:val="nil"/>
              <w:bottom w:val="single" w:color="auto" w:sz="4" w:space="0"/>
              <w:right w:val="single" w:color="auto" w:sz="4" w:space="0"/>
            </w:tcBorders>
            <w:vAlign w:val="center"/>
          </w:tcPr>
          <w:p>
            <w:pPr>
              <w:pStyle w:val="136"/>
            </w:pPr>
            <w: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tblHeader/>
          <w:jc w:val="center"/>
        </w:trPr>
        <w:tc>
          <w:tcPr>
            <w:tcW w:w="715" w:type="pct"/>
            <w:vMerge w:val="continue"/>
            <w:tcBorders>
              <w:top w:val="single" w:color="auto" w:sz="4" w:space="0"/>
              <w:left w:val="single" w:color="auto" w:sz="4" w:space="0"/>
              <w:bottom w:val="single" w:color="auto" w:sz="4" w:space="0"/>
              <w:right w:val="single" w:color="auto" w:sz="4" w:space="0"/>
            </w:tcBorders>
            <w:vAlign w:val="center"/>
          </w:tcPr>
          <w:p>
            <w:pPr>
              <w:pStyle w:val="136"/>
            </w:pPr>
          </w:p>
        </w:tc>
        <w:tc>
          <w:tcPr>
            <w:tcW w:w="1898" w:type="pct"/>
            <w:vMerge w:val="continue"/>
            <w:tcBorders>
              <w:top w:val="single" w:color="auto" w:sz="4" w:space="0"/>
              <w:left w:val="nil"/>
              <w:bottom w:val="single" w:color="auto" w:sz="4" w:space="0"/>
              <w:right w:val="single" w:color="auto" w:sz="4" w:space="0"/>
            </w:tcBorders>
            <w:vAlign w:val="center"/>
          </w:tcPr>
          <w:p>
            <w:pPr>
              <w:pStyle w:val="136"/>
            </w:pPr>
          </w:p>
        </w:tc>
        <w:tc>
          <w:tcPr>
            <w:tcW w:w="2387" w:type="pct"/>
            <w:tcBorders>
              <w:top w:val="single" w:color="auto" w:sz="4" w:space="0"/>
              <w:left w:val="nil"/>
              <w:bottom w:val="single" w:color="auto" w:sz="4" w:space="0"/>
              <w:right w:val="single" w:color="auto" w:sz="4" w:space="0"/>
            </w:tcBorders>
            <w:vAlign w:val="center"/>
          </w:tcPr>
          <w:p>
            <w:pPr>
              <w:pStyle w:val="136"/>
            </w:pPr>
            <w:r>
              <w:t>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136"/>
            </w:pPr>
            <w: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w:t>
            </w:r>
          </w:p>
        </w:tc>
        <w:tc>
          <w:tcPr>
            <w:tcW w:w="1898" w:type="pct"/>
            <w:tcBorders>
              <w:top w:val="single" w:color="auto" w:sz="4" w:space="0"/>
              <w:left w:val="nil"/>
              <w:bottom w:val="single" w:color="auto" w:sz="4" w:space="0"/>
              <w:right w:val="single" w:color="auto" w:sz="4" w:space="0"/>
            </w:tcBorders>
            <w:vAlign w:val="center"/>
          </w:tcPr>
          <w:p>
            <w:pPr>
              <w:pStyle w:val="136"/>
            </w:pPr>
            <w:r>
              <w:t>砷</w:t>
            </w:r>
          </w:p>
        </w:tc>
        <w:tc>
          <w:tcPr>
            <w:tcW w:w="2387" w:type="pct"/>
            <w:tcBorders>
              <w:top w:val="single" w:color="auto" w:sz="4" w:space="0"/>
              <w:left w:val="nil"/>
              <w:bottom w:val="single" w:color="auto" w:sz="4" w:space="0"/>
              <w:right w:val="single" w:color="auto" w:sz="4" w:space="0"/>
            </w:tcBorders>
            <w:vAlign w:val="center"/>
          </w:tcPr>
          <w:p>
            <w:pPr>
              <w:pStyle w:val="136"/>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w:t>
            </w:r>
          </w:p>
        </w:tc>
        <w:tc>
          <w:tcPr>
            <w:tcW w:w="1898" w:type="pct"/>
            <w:tcBorders>
              <w:top w:val="single" w:color="auto" w:sz="4" w:space="0"/>
              <w:left w:val="nil"/>
              <w:bottom w:val="single" w:color="auto" w:sz="4" w:space="0"/>
              <w:right w:val="single" w:color="auto" w:sz="4" w:space="0"/>
            </w:tcBorders>
            <w:vAlign w:val="center"/>
          </w:tcPr>
          <w:p>
            <w:pPr>
              <w:pStyle w:val="136"/>
            </w:pPr>
            <w:r>
              <w:t>隔</w:t>
            </w:r>
          </w:p>
        </w:tc>
        <w:tc>
          <w:tcPr>
            <w:tcW w:w="2387" w:type="pct"/>
            <w:tcBorders>
              <w:top w:val="single" w:color="auto" w:sz="4" w:space="0"/>
              <w:left w:val="nil"/>
              <w:bottom w:val="single" w:color="auto" w:sz="4" w:space="0"/>
              <w:right w:val="single" w:color="auto" w:sz="4" w:space="0"/>
            </w:tcBorders>
            <w:vAlign w:val="center"/>
          </w:tcPr>
          <w:p>
            <w:pPr>
              <w:pStyle w:val="136"/>
            </w:pPr>
            <w: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w:t>
            </w:r>
          </w:p>
        </w:tc>
        <w:tc>
          <w:tcPr>
            <w:tcW w:w="1898" w:type="pct"/>
            <w:tcBorders>
              <w:top w:val="single" w:color="auto" w:sz="4" w:space="0"/>
              <w:left w:val="nil"/>
              <w:bottom w:val="single" w:color="auto" w:sz="4" w:space="0"/>
              <w:right w:val="single" w:color="auto" w:sz="4" w:space="0"/>
            </w:tcBorders>
            <w:vAlign w:val="center"/>
          </w:tcPr>
          <w:p>
            <w:pPr>
              <w:pStyle w:val="136"/>
            </w:pPr>
            <w:r>
              <w:t>铬（六价）</w:t>
            </w:r>
          </w:p>
        </w:tc>
        <w:tc>
          <w:tcPr>
            <w:tcW w:w="2387" w:type="pct"/>
            <w:tcBorders>
              <w:top w:val="single" w:color="auto" w:sz="4" w:space="0"/>
              <w:left w:val="nil"/>
              <w:bottom w:val="single" w:color="auto" w:sz="4" w:space="0"/>
              <w:right w:val="single" w:color="auto" w:sz="4" w:space="0"/>
            </w:tcBorders>
            <w:vAlign w:val="center"/>
          </w:tcPr>
          <w:p>
            <w:pPr>
              <w:pStyle w:val="136"/>
            </w:pPr>
            <w: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4</w:t>
            </w:r>
          </w:p>
        </w:tc>
        <w:tc>
          <w:tcPr>
            <w:tcW w:w="1898" w:type="pct"/>
            <w:tcBorders>
              <w:top w:val="single" w:color="auto" w:sz="4" w:space="0"/>
              <w:left w:val="nil"/>
              <w:bottom w:val="single" w:color="auto" w:sz="4" w:space="0"/>
              <w:right w:val="single" w:color="auto" w:sz="4" w:space="0"/>
            </w:tcBorders>
            <w:vAlign w:val="center"/>
          </w:tcPr>
          <w:p>
            <w:pPr>
              <w:pStyle w:val="136"/>
            </w:pPr>
            <w:r>
              <w:t>铜</w:t>
            </w:r>
          </w:p>
        </w:tc>
        <w:tc>
          <w:tcPr>
            <w:tcW w:w="2387" w:type="pct"/>
            <w:tcBorders>
              <w:top w:val="single" w:color="auto" w:sz="4" w:space="0"/>
              <w:left w:val="nil"/>
              <w:bottom w:val="single" w:color="auto" w:sz="4" w:space="0"/>
              <w:right w:val="single" w:color="auto" w:sz="4" w:space="0"/>
            </w:tcBorders>
            <w:vAlign w:val="center"/>
          </w:tcPr>
          <w:p>
            <w:pPr>
              <w:pStyle w:val="136"/>
            </w:pPr>
            <w: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5</w:t>
            </w:r>
          </w:p>
        </w:tc>
        <w:tc>
          <w:tcPr>
            <w:tcW w:w="1898" w:type="pct"/>
            <w:tcBorders>
              <w:top w:val="single" w:color="auto" w:sz="4" w:space="0"/>
              <w:left w:val="nil"/>
              <w:bottom w:val="single" w:color="auto" w:sz="4" w:space="0"/>
              <w:right w:val="single" w:color="auto" w:sz="4" w:space="0"/>
            </w:tcBorders>
            <w:vAlign w:val="center"/>
          </w:tcPr>
          <w:p>
            <w:pPr>
              <w:pStyle w:val="136"/>
            </w:pPr>
            <w:r>
              <w:t>铅</w:t>
            </w:r>
          </w:p>
        </w:tc>
        <w:tc>
          <w:tcPr>
            <w:tcW w:w="2387" w:type="pct"/>
            <w:tcBorders>
              <w:top w:val="single" w:color="auto" w:sz="4" w:space="0"/>
              <w:left w:val="nil"/>
              <w:bottom w:val="single" w:color="auto" w:sz="4" w:space="0"/>
              <w:right w:val="single" w:color="auto" w:sz="4" w:space="0"/>
            </w:tcBorders>
            <w:vAlign w:val="center"/>
          </w:tcPr>
          <w:p>
            <w:pPr>
              <w:pStyle w:val="136"/>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6</w:t>
            </w:r>
          </w:p>
        </w:tc>
        <w:tc>
          <w:tcPr>
            <w:tcW w:w="1898" w:type="pct"/>
            <w:tcBorders>
              <w:top w:val="single" w:color="auto" w:sz="4" w:space="0"/>
              <w:left w:val="nil"/>
              <w:bottom w:val="single" w:color="auto" w:sz="4" w:space="0"/>
              <w:right w:val="single" w:color="auto" w:sz="4" w:space="0"/>
            </w:tcBorders>
            <w:vAlign w:val="center"/>
          </w:tcPr>
          <w:p>
            <w:pPr>
              <w:pStyle w:val="136"/>
            </w:pPr>
            <w:r>
              <w:t>汞</w:t>
            </w:r>
          </w:p>
        </w:tc>
        <w:tc>
          <w:tcPr>
            <w:tcW w:w="2387" w:type="pct"/>
            <w:tcBorders>
              <w:top w:val="single" w:color="auto" w:sz="4" w:space="0"/>
              <w:left w:val="nil"/>
              <w:bottom w:val="single" w:color="auto" w:sz="4" w:space="0"/>
              <w:right w:val="single" w:color="auto" w:sz="4" w:space="0"/>
            </w:tcBorders>
            <w:vAlign w:val="center"/>
          </w:tcPr>
          <w:p>
            <w:pPr>
              <w:pStyle w:val="136"/>
            </w:pPr>
            <w: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7</w:t>
            </w:r>
          </w:p>
        </w:tc>
        <w:tc>
          <w:tcPr>
            <w:tcW w:w="1898" w:type="pct"/>
            <w:tcBorders>
              <w:top w:val="single" w:color="auto" w:sz="4" w:space="0"/>
              <w:left w:val="nil"/>
              <w:bottom w:val="single" w:color="auto" w:sz="4" w:space="0"/>
              <w:right w:val="single" w:color="auto" w:sz="4" w:space="0"/>
            </w:tcBorders>
            <w:vAlign w:val="center"/>
          </w:tcPr>
          <w:p>
            <w:pPr>
              <w:pStyle w:val="136"/>
            </w:pPr>
            <w:r>
              <w:t>镊</w:t>
            </w:r>
          </w:p>
        </w:tc>
        <w:tc>
          <w:tcPr>
            <w:tcW w:w="2387" w:type="pct"/>
            <w:tcBorders>
              <w:top w:val="single" w:color="auto" w:sz="4" w:space="0"/>
              <w:left w:val="nil"/>
              <w:bottom w:val="single" w:color="auto" w:sz="4" w:space="0"/>
              <w:right w:val="single" w:color="auto" w:sz="4" w:space="0"/>
            </w:tcBorders>
            <w:vAlign w:val="center"/>
          </w:tcPr>
          <w:p>
            <w:pPr>
              <w:pStyle w:val="136"/>
            </w:pPr>
            <w: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136"/>
            </w:pPr>
            <w:r>
              <w:t>挥发有机物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8</w:t>
            </w:r>
          </w:p>
        </w:tc>
        <w:tc>
          <w:tcPr>
            <w:tcW w:w="1898" w:type="pct"/>
            <w:tcBorders>
              <w:top w:val="single" w:color="auto" w:sz="4" w:space="0"/>
              <w:left w:val="nil"/>
              <w:bottom w:val="single" w:color="auto" w:sz="4" w:space="0"/>
              <w:right w:val="single" w:color="auto" w:sz="4" w:space="0"/>
            </w:tcBorders>
            <w:vAlign w:val="center"/>
          </w:tcPr>
          <w:p>
            <w:pPr>
              <w:pStyle w:val="136"/>
            </w:pPr>
            <w:r>
              <w:t>四氯化碳</w:t>
            </w:r>
          </w:p>
        </w:tc>
        <w:tc>
          <w:tcPr>
            <w:tcW w:w="2387" w:type="pct"/>
            <w:tcBorders>
              <w:top w:val="single" w:color="auto" w:sz="4" w:space="0"/>
              <w:left w:val="nil"/>
              <w:bottom w:val="single" w:color="auto" w:sz="4" w:space="0"/>
              <w:right w:val="single" w:color="auto" w:sz="4" w:space="0"/>
            </w:tcBorders>
            <w:vAlign w:val="center"/>
          </w:tcPr>
          <w:p>
            <w:pPr>
              <w:pStyle w:val="136"/>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9</w:t>
            </w:r>
          </w:p>
        </w:tc>
        <w:tc>
          <w:tcPr>
            <w:tcW w:w="1898" w:type="pct"/>
            <w:tcBorders>
              <w:top w:val="single" w:color="auto" w:sz="4" w:space="0"/>
              <w:left w:val="nil"/>
              <w:bottom w:val="single" w:color="auto" w:sz="4" w:space="0"/>
              <w:right w:val="single" w:color="auto" w:sz="4" w:space="0"/>
            </w:tcBorders>
            <w:vAlign w:val="center"/>
          </w:tcPr>
          <w:p>
            <w:pPr>
              <w:pStyle w:val="136"/>
            </w:pPr>
            <w:r>
              <w:t>氯仿</w:t>
            </w:r>
          </w:p>
        </w:tc>
        <w:tc>
          <w:tcPr>
            <w:tcW w:w="2387" w:type="pct"/>
            <w:tcBorders>
              <w:top w:val="single" w:color="auto" w:sz="4" w:space="0"/>
              <w:left w:val="nil"/>
              <w:bottom w:val="single" w:color="auto" w:sz="4" w:space="0"/>
              <w:right w:val="single" w:color="auto" w:sz="4" w:space="0"/>
            </w:tcBorders>
            <w:vAlign w:val="center"/>
          </w:tcPr>
          <w:p>
            <w:pPr>
              <w:pStyle w:val="136"/>
            </w:pPr>
            <w: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10</w:t>
            </w:r>
          </w:p>
        </w:tc>
        <w:tc>
          <w:tcPr>
            <w:tcW w:w="1898" w:type="pct"/>
            <w:tcBorders>
              <w:top w:val="single" w:color="auto" w:sz="4" w:space="0"/>
              <w:left w:val="nil"/>
              <w:bottom w:val="single" w:color="auto" w:sz="4" w:space="0"/>
              <w:right w:val="single" w:color="auto" w:sz="4" w:space="0"/>
            </w:tcBorders>
            <w:vAlign w:val="center"/>
          </w:tcPr>
          <w:p>
            <w:pPr>
              <w:pStyle w:val="136"/>
            </w:pPr>
            <w:r>
              <w:t>氯甲烷</w:t>
            </w:r>
          </w:p>
        </w:tc>
        <w:tc>
          <w:tcPr>
            <w:tcW w:w="2387" w:type="pct"/>
            <w:tcBorders>
              <w:top w:val="single" w:color="auto" w:sz="4" w:space="0"/>
              <w:left w:val="nil"/>
              <w:bottom w:val="single" w:color="auto" w:sz="4" w:space="0"/>
              <w:right w:val="single" w:color="auto" w:sz="4" w:space="0"/>
            </w:tcBorders>
            <w:vAlign w:val="center"/>
          </w:tcPr>
          <w:p>
            <w:pPr>
              <w:pStyle w:val="136"/>
            </w:pPr>
            <w: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11</w:t>
            </w:r>
          </w:p>
        </w:tc>
        <w:tc>
          <w:tcPr>
            <w:tcW w:w="1898" w:type="pct"/>
            <w:tcBorders>
              <w:top w:val="single" w:color="auto" w:sz="4" w:space="0"/>
              <w:left w:val="nil"/>
              <w:bottom w:val="single" w:color="auto" w:sz="4" w:space="0"/>
              <w:right w:val="single" w:color="auto" w:sz="4" w:space="0"/>
            </w:tcBorders>
            <w:vAlign w:val="center"/>
          </w:tcPr>
          <w:p>
            <w:pPr>
              <w:pStyle w:val="136"/>
            </w:pPr>
            <w:r>
              <w:t>1，1-二氯乙烷</w:t>
            </w:r>
          </w:p>
        </w:tc>
        <w:tc>
          <w:tcPr>
            <w:tcW w:w="2387" w:type="pct"/>
            <w:tcBorders>
              <w:top w:val="single" w:color="auto" w:sz="4" w:space="0"/>
              <w:left w:val="nil"/>
              <w:bottom w:val="single" w:color="auto" w:sz="4" w:space="0"/>
              <w:right w:val="single" w:color="auto" w:sz="4" w:space="0"/>
            </w:tcBorders>
            <w:vAlign w:val="center"/>
          </w:tcPr>
          <w:p>
            <w:pPr>
              <w:pStyle w:val="136"/>
            </w:pP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12</w:t>
            </w:r>
          </w:p>
        </w:tc>
        <w:tc>
          <w:tcPr>
            <w:tcW w:w="1898" w:type="pct"/>
            <w:tcBorders>
              <w:top w:val="single" w:color="auto" w:sz="4" w:space="0"/>
              <w:left w:val="nil"/>
              <w:bottom w:val="single" w:color="auto" w:sz="4" w:space="0"/>
              <w:right w:val="single" w:color="auto" w:sz="4" w:space="0"/>
            </w:tcBorders>
            <w:vAlign w:val="center"/>
          </w:tcPr>
          <w:p>
            <w:pPr>
              <w:pStyle w:val="136"/>
            </w:pPr>
            <w:r>
              <w:t>1，2-二氯乙烷</w:t>
            </w:r>
          </w:p>
        </w:tc>
        <w:tc>
          <w:tcPr>
            <w:tcW w:w="2387" w:type="pct"/>
            <w:tcBorders>
              <w:top w:val="single" w:color="auto" w:sz="4" w:space="0"/>
              <w:left w:val="nil"/>
              <w:bottom w:val="single" w:color="auto" w:sz="4" w:space="0"/>
              <w:right w:val="single" w:color="auto" w:sz="4" w:space="0"/>
            </w:tcBorders>
            <w:vAlign w:val="center"/>
          </w:tcPr>
          <w:p>
            <w:pPr>
              <w:pStyle w:val="1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13</w:t>
            </w:r>
          </w:p>
        </w:tc>
        <w:tc>
          <w:tcPr>
            <w:tcW w:w="1898" w:type="pct"/>
            <w:tcBorders>
              <w:top w:val="single" w:color="auto" w:sz="4" w:space="0"/>
              <w:left w:val="nil"/>
              <w:bottom w:val="single" w:color="auto" w:sz="4" w:space="0"/>
              <w:right w:val="single" w:color="auto" w:sz="4" w:space="0"/>
            </w:tcBorders>
            <w:vAlign w:val="center"/>
          </w:tcPr>
          <w:p>
            <w:pPr>
              <w:pStyle w:val="136"/>
            </w:pPr>
            <w:r>
              <w:t>1，1-二氯乙烯</w:t>
            </w:r>
          </w:p>
        </w:tc>
        <w:tc>
          <w:tcPr>
            <w:tcW w:w="2387" w:type="pct"/>
            <w:tcBorders>
              <w:top w:val="single" w:color="auto" w:sz="4" w:space="0"/>
              <w:left w:val="nil"/>
              <w:bottom w:val="single" w:color="auto" w:sz="4" w:space="0"/>
              <w:right w:val="single" w:color="auto" w:sz="4" w:space="0"/>
            </w:tcBorders>
            <w:vAlign w:val="center"/>
          </w:tcPr>
          <w:p>
            <w:pPr>
              <w:pStyle w:val="136"/>
            </w:pPr>
            <w: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14</w:t>
            </w:r>
          </w:p>
        </w:tc>
        <w:tc>
          <w:tcPr>
            <w:tcW w:w="1898" w:type="pct"/>
            <w:tcBorders>
              <w:top w:val="single" w:color="auto" w:sz="4" w:space="0"/>
              <w:left w:val="nil"/>
              <w:bottom w:val="single" w:color="auto" w:sz="4" w:space="0"/>
              <w:right w:val="single" w:color="auto" w:sz="4" w:space="0"/>
            </w:tcBorders>
            <w:vAlign w:val="center"/>
          </w:tcPr>
          <w:p>
            <w:pPr>
              <w:pStyle w:val="136"/>
            </w:pPr>
            <w:r>
              <w:t>顺-1,2二氯乙烯</w:t>
            </w:r>
          </w:p>
        </w:tc>
        <w:tc>
          <w:tcPr>
            <w:tcW w:w="2387" w:type="pct"/>
            <w:tcBorders>
              <w:top w:val="single" w:color="auto" w:sz="4" w:space="0"/>
              <w:left w:val="nil"/>
              <w:bottom w:val="single" w:color="auto" w:sz="4" w:space="0"/>
              <w:right w:val="single" w:color="auto" w:sz="4" w:space="0"/>
            </w:tcBorders>
            <w:vAlign w:val="center"/>
          </w:tcPr>
          <w:p>
            <w:pPr>
              <w:pStyle w:val="136"/>
            </w:pPr>
            <w: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15</w:t>
            </w:r>
          </w:p>
        </w:tc>
        <w:tc>
          <w:tcPr>
            <w:tcW w:w="1898" w:type="pct"/>
            <w:tcBorders>
              <w:top w:val="single" w:color="auto" w:sz="4" w:space="0"/>
              <w:left w:val="nil"/>
              <w:bottom w:val="single" w:color="auto" w:sz="4" w:space="0"/>
              <w:right w:val="single" w:color="auto" w:sz="4" w:space="0"/>
            </w:tcBorders>
            <w:vAlign w:val="center"/>
          </w:tcPr>
          <w:p>
            <w:pPr>
              <w:pStyle w:val="136"/>
            </w:pPr>
            <w:r>
              <w:t>反-1,2二氯乙烯</w:t>
            </w:r>
          </w:p>
        </w:tc>
        <w:tc>
          <w:tcPr>
            <w:tcW w:w="2387" w:type="pct"/>
            <w:tcBorders>
              <w:top w:val="single" w:color="auto" w:sz="4" w:space="0"/>
              <w:left w:val="nil"/>
              <w:bottom w:val="single" w:color="auto" w:sz="4" w:space="0"/>
              <w:right w:val="single" w:color="auto" w:sz="4" w:space="0"/>
            </w:tcBorders>
            <w:vAlign w:val="center"/>
          </w:tcPr>
          <w:p>
            <w:pPr>
              <w:pStyle w:val="136"/>
            </w:pPr>
            <w: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16</w:t>
            </w:r>
          </w:p>
        </w:tc>
        <w:tc>
          <w:tcPr>
            <w:tcW w:w="1898" w:type="pct"/>
            <w:tcBorders>
              <w:top w:val="single" w:color="auto" w:sz="4" w:space="0"/>
              <w:left w:val="nil"/>
              <w:bottom w:val="single" w:color="auto" w:sz="4" w:space="0"/>
              <w:right w:val="single" w:color="auto" w:sz="4" w:space="0"/>
            </w:tcBorders>
            <w:vAlign w:val="center"/>
          </w:tcPr>
          <w:p>
            <w:pPr>
              <w:pStyle w:val="136"/>
            </w:pPr>
            <w:r>
              <w:t>二氯甲烷</w:t>
            </w:r>
          </w:p>
        </w:tc>
        <w:tc>
          <w:tcPr>
            <w:tcW w:w="2387" w:type="pct"/>
            <w:tcBorders>
              <w:top w:val="single" w:color="auto" w:sz="4" w:space="0"/>
              <w:left w:val="nil"/>
              <w:bottom w:val="single" w:color="auto" w:sz="4" w:space="0"/>
              <w:right w:val="single" w:color="auto" w:sz="4" w:space="0"/>
            </w:tcBorders>
            <w:vAlign w:val="center"/>
          </w:tcPr>
          <w:p>
            <w:pPr>
              <w:pStyle w:val="136"/>
            </w:pPr>
            <w: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17</w:t>
            </w:r>
          </w:p>
        </w:tc>
        <w:tc>
          <w:tcPr>
            <w:tcW w:w="1898" w:type="pct"/>
            <w:tcBorders>
              <w:top w:val="single" w:color="auto" w:sz="4" w:space="0"/>
              <w:left w:val="nil"/>
              <w:bottom w:val="single" w:color="auto" w:sz="4" w:space="0"/>
              <w:right w:val="single" w:color="auto" w:sz="4" w:space="0"/>
            </w:tcBorders>
            <w:vAlign w:val="center"/>
          </w:tcPr>
          <w:p>
            <w:pPr>
              <w:pStyle w:val="136"/>
            </w:pPr>
            <w:r>
              <w:t>1,2二氯丙烷</w:t>
            </w:r>
          </w:p>
        </w:tc>
        <w:tc>
          <w:tcPr>
            <w:tcW w:w="2387" w:type="pct"/>
            <w:tcBorders>
              <w:top w:val="single" w:color="auto" w:sz="4" w:space="0"/>
              <w:left w:val="nil"/>
              <w:bottom w:val="single" w:color="auto" w:sz="4" w:space="0"/>
              <w:right w:val="single" w:color="auto" w:sz="4" w:space="0"/>
            </w:tcBorders>
            <w:vAlign w:val="center"/>
          </w:tcPr>
          <w:p>
            <w:pPr>
              <w:pStyle w:val="1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18</w:t>
            </w:r>
          </w:p>
        </w:tc>
        <w:tc>
          <w:tcPr>
            <w:tcW w:w="1898" w:type="pct"/>
            <w:tcBorders>
              <w:top w:val="single" w:color="auto" w:sz="4" w:space="0"/>
              <w:left w:val="nil"/>
              <w:bottom w:val="single" w:color="auto" w:sz="4" w:space="0"/>
              <w:right w:val="single" w:color="auto" w:sz="4" w:space="0"/>
            </w:tcBorders>
            <w:vAlign w:val="center"/>
          </w:tcPr>
          <w:p>
            <w:pPr>
              <w:pStyle w:val="136"/>
            </w:pPr>
            <w:r>
              <w:t>1,1,1，2-,四氯乙烷</w:t>
            </w:r>
          </w:p>
        </w:tc>
        <w:tc>
          <w:tcPr>
            <w:tcW w:w="2387" w:type="pct"/>
            <w:tcBorders>
              <w:top w:val="single" w:color="auto" w:sz="4" w:space="0"/>
              <w:left w:val="nil"/>
              <w:bottom w:val="single" w:color="auto" w:sz="4" w:space="0"/>
              <w:right w:val="single" w:color="auto" w:sz="4" w:space="0"/>
            </w:tcBorders>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19</w:t>
            </w:r>
          </w:p>
        </w:tc>
        <w:tc>
          <w:tcPr>
            <w:tcW w:w="1898" w:type="pct"/>
            <w:tcBorders>
              <w:top w:val="single" w:color="auto" w:sz="4" w:space="0"/>
              <w:left w:val="nil"/>
              <w:bottom w:val="single" w:color="auto" w:sz="4" w:space="0"/>
              <w:right w:val="single" w:color="auto" w:sz="4" w:space="0"/>
            </w:tcBorders>
            <w:vAlign w:val="center"/>
          </w:tcPr>
          <w:p>
            <w:pPr>
              <w:pStyle w:val="136"/>
            </w:pPr>
            <w:r>
              <w:t>1,1,2，2-,四氯乙烷</w:t>
            </w:r>
          </w:p>
        </w:tc>
        <w:tc>
          <w:tcPr>
            <w:tcW w:w="2387" w:type="pct"/>
            <w:tcBorders>
              <w:top w:val="single" w:color="auto" w:sz="4" w:space="0"/>
              <w:left w:val="nil"/>
              <w:bottom w:val="single" w:color="auto" w:sz="4" w:space="0"/>
              <w:right w:val="single" w:color="auto" w:sz="4" w:space="0"/>
            </w:tcBorders>
            <w:vAlign w:val="center"/>
          </w:tcPr>
          <w:p>
            <w:pPr>
              <w:pStyle w:val="136"/>
            </w:pPr>
            <w: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20</w:t>
            </w:r>
          </w:p>
        </w:tc>
        <w:tc>
          <w:tcPr>
            <w:tcW w:w="1898" w:type="pct"/>
            <w:tcBorders>
              <w:top w:val="single" w:color="auto" w:sz="4" w:space="0"/>
              <w:left w:val="nil"/>
              <w:bottom w:val="single" w:color="auto" w:sz="4" w:space="0"/>
              <w:right w:val="single" w:color="auto" w:sz="4" w:space="0"/>
            </w:tcBorders>
            <w:vAlign w:val="center"/>
          </w:tcPr>
          <w:p>
            <w:pPr>
              <w:pStyle w:val="136"/>
            </w:pPr>
            <w:r>
              <w:t>四氯乙烯</w:t>
            </w:r>
          </w:p>
        </w:tc>
        <w:tc>
          <w:tcPr>
            <w:tcW w:w="2387" w:type="pct"/>
            <w:tcBorders>
              <w:top w:val="single" w:color="auto" w:sz="4" w:space="0"/>
              <w:left w:val="nil"/>
              <w:bottom w:val="single" w:color="auto" w:sz="4" w:space="0"/>
              <w:right w:val="single" w:color="auto" w:sz="4" w:space="0"/>
            </w:tcBorders>
            <w:vAlign w:val="center"/>
          </w:tcPr>
          <w:p>
            <w:pPr>
              <w:pStyle w:val="136"/>
            </w:pPr>
            <w: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21</w:t>
            </w:r>
          </w:p>
        </w:tc>
        <w:tc>
          <w:tcPr>
            <w:tcW w:w="1898" w:type="pct"/>
            <w:tcBorders>
              <w:top w:val="single" w:color="auto" w:sz="4" w:space="0"/>
              <w:left w:val="nil"/>
              <w:bottom w:val="single" w:color="auto" w:sz="4" w:space="0"/>
              <w:right w:val="single" w:color="auto" w:sz="4" w:space="0"/>
            </w:tcBorders>
            <w:vAlign w:val="center"/>
          </w:tcPr>
          <w:p>
            <w:pPr>
              <w:pStyle w:val="136"/>
            </w:pPr>
            <w:r>
              <w:t>1,1,1-三氯乙烷</w:t>
            </w:r>
          </w:p>
        </w:tc>
        <w:tc>
          <w:tcPr>
            <w:tcW w:w="2387" w:type="pct"/>
            <w:tcBorders>
              <w:top w:val="single" w:color="auto" w:sz="4" w:space="0"/>
              <w:left w:val="nil"/>
              <w:bottom w:val="single" w:color="auto" w:sz="4" w:space="0"/>
              <w:right w:val="single" w:color="auto" w:sz="4" w:space="0"/>
            </w:tcBorders>
            <w:vAlign w:val="center"/>
          </w:tcPr>
          <w:p>
            <w:pPr>
              <w:pStyle w:val="136"/>
            </w:pPr>
            <w: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22</w:t>
            </w:r>
          </w:p>
        </w:tc>
        <w:tc>
          <w:tcPr>
            <w:tcW w:w="1898" w:type="pct"/>
            <w:tcBorders>
              <w:top w:val="single" w:color="auto" w:sz="4" w:space="0"/>
              <w:left w:val="nil"/>
              <w:bottom w:val="single" w:color="auto" w:sz="4" w:space="0"/>
              <w:right w:val="single" w:color="auto" w:sz="4" w:space="0"/>
            </w:tcBorders>
            <w:vAlign w:val="center"/>
          </w:tcPr>
          <w:p>
            <w:pPr>
              <w:pStyle w:val="136"/>
            </w:pPr>
            <w:r>
              <w:t>1,1,2-三氯乙烷</w:t>
            </w:r>
          </w:p>
        </w:tc>
        <w:tc>
          <w:tcPr>
            <w:tcW w:w="2387" w:type="pct"/>
            <w:tcBorders>
              <w:top w:val="single" w:color="auto" w:sz="4" w:space="0"/>
              <w:left w:val="nil"/>
              <w:bottom w:val="single" w:color="auto" w:sz="4" w:space="0"/>
              <w:right w:val="single" w:color="auto" w:sz="4" w:space="0"/>
            </w:tcBorders>
            <w:vAlign w:val="center"/>
          </w:tcPr>
          <w:p>
            <w:pPr>
              <w:pStyle w:val="136"/>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23</w:t>
            </w:r>
          </w:p>
        </w:tc>
        <w:tc>
          <w:tcPr>
            <w:tcW w:w="1898" w:type="pct"/>
            <w:tcBorders>
              <w:top w:val="single" w:color="auto" w:sz="4" w:space="0"/>
              <w:left w:val="nil"/>
              <w:bottom w:val="single" w:color="auto" w:sz="4" w:space="0"/>
              <w:right w:val="single" w:color="auto" w:sz="4" w:space="0"/>
            </w:tcBorders>
            <w:vAlign w:val="center"/>
          </w:tcPr>
          <w:p>
            <w:pPr>
              <w:pStyle w:val="136"/>
            </w:pPr>
            <w:r>
              <w:t>三氯乙烯</w:t>
            </w:r>
          </w:p>
        </w:tc>
        <w:tc>
          <w:tcPr>
            <w:tcW w:w="2387" w:type="pct"/>
            <w:tcBorders>
              <w:top w:val="single" w:color="auto" w:sz="4" w:space="0"/>
              <w:left w:val="nil"/>
              <w:bottom w:val="single" w:color="auto" w:sz="4" w:space="0"/>
              <w:right w:val="single" w:color="auto" w:sz="4" w:space="0"/>
            </w:tcBorders>
            <w:vAlign w:val="center"/>
          </w:tcPr>
          <w:p>
            <w:pPr>
              <w:pStyle w:val="136"/>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24</w:t>
            </w:r>
          </w:p>
        </w:tc>
        <w:tc>
          <w:tcPr>
            <w:tcW w:w="1898" w:type="pct"/>
            <w:tcBorders>
              <w:top w:val="single" w:color="auto" w:sz="4" w:space="0"/>
              <w:left w:val="nil"/>
              <w:bottom w:val="single" w:color="auto" w:sz="4" w:space="0"/>
              <w:right w:val="single" w:color="auto" w:sz="4" w:space="0"/>
            </w:tcBorders>
            <w:vAlign w:val="center"/>
          </w:tcPr>
          <w:p>
            <w:pPr>
              <w:pStyle w:val="136"/>
            </w:pPr>
            <w:r>
              <w:t>1,2,3-三氯丙烷</w:t>
            </w:r>
          </w:p>
        </w:tc>
        <w:tc>
          <w:tcPr>
            <w:tcW w:w="2387" w:type="pct"/>
            <w:tcBorders>
              <w:top w:val="single" w:color="auto" w:sz="4" w:space="0"/>
              <w:left w:val="nil"/>
              <w:bottom w:val="single" w:color="auto" w:sz="4" w:space="0"/>
              <w:right w:val="single" w:color="auto" w:sz="4" w:space="0"/>
            </w:tcBorders>
            <w:vAlign w:val="center"/>
          </w:tcPr>
          <w:p>
            <w:pPr>
              <w:pStyle w:val="136"/>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25</w:t>
            </w:r>
          </w:p>
        </w:tc>
        <w:tc>
          <w:tcPr>
            <w:tcW w:w="1898" w:type="pct"/>
            <w:tcBorders>
              <w:top w:val="single" w:color="auto" w:sz="4" w:space="0"/>
              <w:left w:val="nil"/>
              <w:bottom w:val="single" w:color="auto" w:sz="4" w:space="0"/>
              <w:right w:val="single" w:color="auto" w:sz="4" w:space="0"/>
            </w:tcBorders>
            <w:vAlign w:val="center"/>
          </w:tcPr>
          <w:p>
            <w:pPr>
              <w:pStyle w:val="136"/>
            </w:pPr>
            <w:r>
              <w:t>氯乙烯</w:t>
            </w:r>
          </w:p>
        </w:tc>
        <w:tc>
          <w:tcPr>
            <w:tcW w:w="2387" w:type="pct"/>
            <w:tcBorders>
              <w:top w:val="single" w:color="auto" w:sz="4" w:space="0"/>
              <w:left w:val="nil"/>
              <w:bottom w:val="single" w:color="auto" w:sz="4" w:space="0"/>
              <w:right w:val="single" w:color="auto" w:sz="4" w:space="0"/>
            </w:tcBorders>
            <w:vAlign w:val="center"/>
          </w:tcPr>
          <w:p>
            <w:pPr>
              <w:pStyle w:val="136"/>
            </w:pPr>
            <w: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26</w:t>
            </w:r>
          </w:p>
        </w:tc>
        <w:tc>
          <w:tcPr>
            <w:tcW w:w="1898" w:type="pct"/>
            <w:tcBorders>
              <w:top w:val="single" w:color="auto" w:sz="4" w:space="0"/>
              <w:left w:val="nil"/>
              <w:bottom w:val="single" w:color="auto" w:sz="4" w:space="0"/>
              <w:right w:val="single" w:color="auto" w:sz="4" w:space="0"/>
            </w:tcBorders>
            <w:vAlign w:val="center"/>
          </w:tcPr>
          <w:p>
            <w:pPr>
              <w:pStyle w:val="136"/>
            </w:pPr>
            <w:r>
              <w:t>苯</w:t>
            </w:r>
          </w:p>
        </w:tc>
        <w:tc>
          <w:tcPr>
            <w:tcW w:w="2387" w:type="pct"/>
            <w:tcBorders>
              <w:top w:val="single" w:color="auto" w:sz="4" w:space="0"/>
              <w:left w:val="nil"/>
              <w:bottom w:val="single" w:color="auto" w:sz="4" w:space="0"/>
              <w:right w:val="single" w:color="auto" w:sz="4" w:space="0"/>
            </w:tcBorders>
            <w:vAlign w:val="center"/>
          </w:tcPr>
          <w:p>
            <w:pPr>
              <w:pStyle w:val="136"/>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27</w:t>
            </w:r>
          </w:p>
        </w:tc>
        <w:tc>
          <w:tcPr>
            <w:tcW w:w="1898" w:type="pct"/>
            <w:tcBorders>
              <w:top w:val="single" w:color="auto" w:sz="4" w:space="0"/>
              <w:left w:val="nil"/>
              <w:bottom w:val="single" w:color="auto" w:sz="4" w:space="0"/>
              <w:right w:val="single" w:color="auto" w:sz="4" w:space="0"/>
            </w:tcBorders>
            <w:vAlign w:val="center"/>
          </w:tcPr>
          <w:p>
            <w:pPr>
              <w:pStyle w:val="136"/>
            </w:pPr>
            <w:r>
              <w:t>氯苯</w:t>
            </w:r>
          </w:p>
        </w:tc>
        <w:tc>
          <w:tcPr>
            <w:tcW w:w="2387" w:type="pct"/>
            <w:tcBorders>
              <w:top w:val="single" w:color="auto" w:sz="4" w:space="0"/>
              <w:left w:val="nil"/>
              <w:bottom w:val="single" w:color="auto" w:sz="4" w:space="0"/>
              <w:right w:val="single" w:color="auto" w:sz="4" w:space="0"/>
            </w:tcBorders>
            <w:vAlign w:val="center"/>
          </w:tcPr>
          <w:p>
            <w:pPr>
              <w:pStyle w:val="136"/>
            </w:pPr>
            <w: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28</w:t>
            </w:r>
          </w:p>
        </w:tc>
        <w:tc>
          <w:tcPr>
            <w:tcW w:w="1898" w:type="pct"/>
            <w:tcBorders>
              <w:top w:val="single" w:color="auto" w:sz="4" w:space="0"/>
              <w:left w:val="nil"/>
              <w:bottom w:val="single" w:color="auto" w:sz="4" w:space="0"/>
              <w:right w:val="single" w:color="auto" w:sz="4" w:space="0"/>
            </w:tcBorders>
            <w:vAlign w:val="center"/>
          </w:tcPr>
          <w:p>
            <w:pPr>
              <w:pStyle w:val="136"/>
            </w:pPr>
            <w:r>
              <w:t>1,2-二氯苯</w:t>
            </w:r>
          </w:p>
        </w:tc>
        <w:tc>
          <w:tcPr>
            <w:tcW w:w="2387" w:type="pct"/>
            <w:tcBorders>
              <w:top w:val="single" w:color="auto" w:sz="4" w:space="0"/>
              <w:left w:val="nil"/>
              <w:bottom w:val="single" w:color="auto" w:sz="4" w:space="0"/>
              <w:right w:val="single" w:color="auto" w:sz="4" w:space="0"/>
            </w:tcBorders>
            <w:vAlign w:val="center"/>
          </w:tcPr>
          <w:p>
            <w:pPr>
              <w:pStyle w:val="136"/>
            </w:pPr>
            <w: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29</w:t>
            </w:r>
          </w:p>
        </w:tc>
        <w:tc>
          <w:tcPr>
            <w:tcW w:w="1898" w:type="pct"/>
            <w:tcBorders>
              <w:top w:val="single" w:color="auto" w:sz="4" w:space="0"/>
              <w:left w:val="nil"/>
              <w:bottom w:val="single" w:color="auto" w:sz="4" w:space="0"/>
              <w:right w:val="single" w:color="auto" w:sz="4" w:space="0"/>
            </w:tcBorders>
            <w:vAlign w:val="center"/>
          </w:tcPr>
          <w:p>
            <w:pPr>
              <w:pStyle w:val="136"/>
            </w:pPr>
            <w:r>
              <w:t>1,4-二氯苯</w:t>
            </w:r>
          </w:p>
        </w:tc>
        <w:tc>
          <w:tcPr>
            <w:tcW w:w="2387" w:type="pct"/>
            <w:tcBorders>
              <w:top w:val="single" w:color="auto" w:sz="4" w:space="0"/>
              <w:left w:val="nil"/>
              <w:bottom w:val="single" w:color="auto" w:sz="4" w:space="0"/>
              <w:right w:val="single" w:color="auto" w:sz="4" w:space="0"/>
            </w:tcBorders>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30</w:t>
            </w:r>
          </w:p>
        </w:tc>
        <w:tc>
          <w:tcPr>
            <w:tcW w:w="1898" w:type="pct"/>
            <w:tcBorders>
              <w:top w:val="single" w:color="auto" w:sz="4" w:space="0"/>
              <w:left w:val="nil"/>
              <w:bottom w:val="single" w:color="auto" w:sz="4" w:space="0"/>
              <w:right w:val="single" w:color="auto" w:sz="4" w:space="0"/>
            </w:tcBorders>
            <w:vAlign w:val="center"/>
          </w:tcPr>
          <w:p>
            <w:pPr>
              <w:pStyle w:val="136"/>
            </w:pPr>
            <w:r>
              <w:t>乙苯</w:t>
            </w:r>
          </w:p>
        </w:tc>
        <w:tc>
          <w:tcPr>
            <w:tcW w:w="2387" w:type="pct"/>
            <w:tcBorders>
              <w:top w:val="single" w:color="auto" w:sz="4" w:space="0"/>
              <w:left w:val="nil"/>
              <w:bottom w:val="single" w:color="auto" w:sz="4" w:space="0"/>
              <w:right w:val="single" w:color="auto" w:sz="4" w:space="0"/>
            </w:tcBorders>
            <w:vAlign w:val="center"/>
          </w:tcPr>
          <w:p>
            <w:pPr>
              <w:pStyle w:val="136"/>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31</w:t>
            </w:r>
          </w:p>
        </w:tc>
        <w:tc>
          <w:tcPr>
            <w:tcW w:w="1898" w:type="pct"/>
            <w:tcBorders>
              <w:top w:val="single" w:color="auto" w:sz="4" w:space="0"/>
              <w:left w:val="nil"/>
              <w:bottom w:val="single" w:color="auto" w:sz="4" w:space="0"/>
              <w:right w:val="single" w:color="auto" w:sz="4" w:space="0"/>
            </w:tcBorders>
            <w:vAlign w:val="center"/>
          </w:tcPr>
          <w:p>
            <w:pPr>
              <w:pStyle w:val="136"/>
            </w:pPr>
            <w:r>
              <w:t>苯乙烯</w:t>
            </w:r>
          </w:p>
        </w:tc>
        <w:tc>
          <w:tcPr>
            <w:tcW w:w="2387" w:type="pct"/>
            <w:tcBorders>
              <w:top w:val="single" w:color="auto" w:sz="4" w:space="0"/>
              <w:left w:val="nil"/>
              <w:bottom w:val="single" w:color="auto" w:sz="4" w:space="0"/>
              <w:right w:val="single" w:color="auto" w:sz="4" w:space="0"/>
            </w:tcBorders>
            <w:vAlign w:val="center"/>
          </w:tcPr>
          <w:p>
            <w:pPr>
              <w:pStyle w:val="136"/>
            </w:pPr>
            <w: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32</w:t>
            </w:r>
          </w:p>
        </w:tc>
        <w:tc>
          <w:tcPr>
            <w:tcW w:w="1898" w:type="pct"/>
            <w:tcBorders>
              <w:top w:val="single" w:color="auto" w:sz="4" w:space="0"/>
              <w:left w:val="nil"/>
              <w:bottom w:val="single" w:color="auto" w:sz="4" w:space="0"/>
              <w:right w:val="single" w:color="auto" w:sz="4" w:space="0"/>
            </w:tcBorders>
            <w:vAlign w:val="center"/>
          </w:tcPr>
          <w:p>
            <w:pPr>
              <w:pStyle w:val="136"/>
            </w:pPr>
            <w:r>
              <w:t>甲苯</w:t>
            </w:r>
          </w:p>
        </w:tc>
        <w:tc>
          <w:tcPr>
            <w:tcW w:w="2387" w:type="pct"/>
            <w:tcBorders>
              <w:top w:val="single" w:color="auto" w:sz="4" w:space="0"/>
              <w:left w:val="nil"/>
              <w:bottom w:val="single" w:color="auto" w:sz="4" w:space="0"/>
              <w:right w:val="single" w:color="auto" w:sz="4" w:space="0"/>
            </w:tcBorders>
            <w:vAlign w:val="center"/>
          </w:tcPr>
          <w:p>
            <w:pPr>
              <w:pStyle w:val="136"/>
            </w:pPr>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33</w:t>
            </w:r>
          </w:p>
        </w:tc>
        <w:tc>
          <w:tcPr>
            <w:tcW w:w="1898" w:type="pct"/>
            <w:tcBorders>
              <w:top w:val="single" w:color="auto" w:sz="4" w:space="0"/>
              <w:left w:val="nil"/>
              <w:bottom w:val="single" w:color="auto" w:sz="4" w:space="0"/>
              <w:right w:val="single" w:color="auto" w:sz="4" w:space="0"/>
            </w:tcBorders>
            <w:vAlign w:val="center"/>
          </w:tcPr>
          <w:p>
            <w:pPr>
              <w:pStyle w:val="136"/>
            </w:pPr>
            <w:r>
              <w:t>间二甲苯+对二甲苯</w:t>
            </w:r>
          </w:p>
        </w:tc>
        <w:tc>
          <w:tcPr>
            <w:tcW w:w="2387" w:type="pct"/>
            <w:tcBorders>
              <w:top w:val="single" w:color="auto" w:sz="4" w:space="0"/>
              <w:left w:val="nil"/>
              <w:bottom w:val="single" w:color="auto" w:sz="4" w:space="0"/>
              <w:right w:val="single" w:color="auto" w:sz="4" w:space="0"/>
            </w:tcBorders>
            <w:vAlign w:val="center"/>
          </w:tcPr>
          <w:p>
            <w:pPr>
              <w:pStyle w:val="136"/>
            </w:pPr>
            <w: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34</w:t>
            </w:r>
          </w:p>
        </w:tc>
        <w:tc>
          <w:tcPr>
            <w:tcW w:w="1898" w:type="pct"/>
            <w:tcBorders>
              <w:top w:val="single" w:color="auto" w:sz="4" w:space="0"/>
              <w:left w:val="nil"/>
              <w:bottom w:val="single" w:color="auto" w:sz="4" w:space="0"/>
              <w:right w:val="single" w:color="auto" w:sz="4" w:space="0"/>
            </w:tcBorders>
            <w:vAlign w:val="center"/>
          </w:tcPr>
          <w:p>
            <w:pPr>
              <w:pStyle w:val="136"/>
            </w:pPr>
            <w:r>
              <w:t>邻二甲苯</w:t>
            </w:r>
          </w:p>
        </w:tc>
        <w:tc>
          <w:tcPr>
            <w:tcW w:w="2387" w:type="pct"/>
            <w:tcBorders>
              <w:top w:val="single" w:color="auto" w:sz="4" w:space="0"/>
              <w:left w:val="nil"/>
              <w:bottom w:val="single" w:color="auto" w:sz="4" w:space="0"/>
              <w:right w:val="single" w:color="auto" w:sz="4" w:space="0"/>
            </w:tcBorders>
            <w:vAlign w:val="center"/>
          </w:tcPr>
          <w:p>
            <w:pPr>
              <w:pStyle w:val="136"/>
            </w:pPr>
            <w: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136"/>
            </w:pPr>
            <w: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35</w:t>
            </w:r>
          </w:p>
        </w:tc>
        <w:tc>
          <w:tcPr>
            <w:tcW w:w="1898" w:type="pct"/>
            <w:tcBorders>
              <w:top w:val="single" w:color="auto" w:sz="4" w:space="0"/>
              <w:left w:val="nil"/>
              <w:bottom w:val="single" w:color="auto" w:sz="4" w:space="0"/>
              <w:right w:val="single" w:color="auto" w:sz="4" w:space="0"/>
            </w:tcBorders>
            <w:vAlign w:val="center"/>
          </w:tcPr>
          <w:p>
            <w:pPr>
              <w:pStyle w:val="136"/>
            </w:pPr>
            <w:r>
              <w:t>硝基苯</w:t>
            </w:r>
          </w:p>
        </w:tc>
        <w:tc>
          <w:tcPr>
            <w:tcW w:w="2387" w:type="pct"/>
            <w:tcBorders>
              <w:top w:val="single" w:color="auto" w:sz="4" w:space="0"/>
              <w:left w:val="nil"/>
              <w:bottom w:val="single" w:color="auto" w:sz="4" w:space="0"/>
              <w:right w:val="single" w:color="auto" w:sz="4" w:space="0"/>
            </w:tcBorders>
            <w:vAlign w:val="center"/>
          </w:tcPr>
          <w:p>
            <w:pPr>
              <w:pStyle w:val="136"/>
            </w:pPr>
            <w: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36</w:t>
            </w:r>
          </w:p>
        </w:tc>
        <w:tc>
          <w:tcPr>
            <w:tcW w:w="1898" w:type="pct"/>
            <w:tcBorders>
              <w:top w:val="single" w:color="auto" w:sz="4" w:space="0"/>
              <w:left w:val="nil"/>
              <w:bottom w:val="single" w:color="auto" w:sz="4" w:space="0"/>
              <w:right w:val="single" w:color="auto" w:sz="4" w:space="0"/>
            </w:tcBorders>
            <w:vAlign w:val="center"/>
          </w:tcPr>
          <w:p>
            <w:pPr>
              <w:pStyle w:val="136"/>
            </w:pPr>
            <w:r>
              <w:t>苯胺</w:t>
            </w:r>
          </w:p>
        </w:tc>
        <w:tc>
          <w:tcPr>
            <w:tcW w:w="2387" w:type="pct"/>
            <w:tcBorders>
              <w:top w:val="single" w:color="auto" w:sz="4" w:space="0"/>
              <w:left w:val="nil"/>
              <w:bottom w:val="single" w:color="auto" w:sz="4" w:space="0"/>
              <w:right w:val="single" w:color="auto" w:sz="4" w:space="0"/>
            </w:tcBorders>
            <w:vAlign w:val="center"/>
          </w:tcPr>
          <w:p>
            <w:pPr>
              <w:pStyle w:val="136"/>
            </w:pPr>
            <w: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37</w:t>
            </w:r>
          </w:p>
        </w:tc>
        <w:tc>
          <w:tcPr>
            <w:tcW w:w="1898" w:type="pct"/>
            <w:tcBorders>
              <w:top w:val="single" w:color="auto" w:sz="4" w:space="0"/>
              <w:left w:val="nil"/>
              <w:bottom w:val="single" w:color="auto" w:sz="4" w:space="0"/>
              <w:right w:val="single" w:color="auto" w:sz="4" w:space="0"/>
            </w:tcBorders>
            <w:vAlign w:val="center"/>
          </w:tcPr>
          <w:p>
            <w:pPr>
              <w:pStyle w:val="136"/>
            </w:pPr>
            <w:r>
              <w:t>2-氯酚</w:t>
            </w:r>
          </w:p>
        </w:tc>
        <w:tc>
          <w:tcPr>
            <w:tcW w:w="2387" w:type="pct"/>
            <w:tcBorders>
              <w:top w:val="single" w:color="auto" w:sz="4" w:space="0"/>
              <w:left w:val="nil"/>
              <w:bottom w:val="single" w:color="auto" w:sz="4" w:space="0"/>
              <w:right w:val="single" w:color="auto" w:sz="4" w:space="0"/>
            </w:tcBorders>
            <w:vAlign w:val="center"/>
          </w:tcPr>
          <w:p>
            <w:pPr>
              <w:pStyle w:val="136"/>
            </w:pPr>
            <w: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38</w:t>
            </w:r>
          </w:p>
        </w:tc>
        <w:tc>
          <w:tcPr>
            <w:tcW w:w="1898" w:type="pct"/>
            <w:tcBorders>
              <w:top w:val="single" w:color="auto" w:sz="4" w:space="0"/>
              <w:left w:val="nil"/>
              <w:bottom w:val="single" w:color="auto" w:sz="4" w:space="0"/>
              <w:right w:val="single" w:color="auto" w:sz="4" w:space="0"/>
            </w:tcBorders>
            <w:vAlign w:val="center"/>
          </w:tcPr>
          <w:p>
            <w:pPr>
              <w:pStyle w:val="136"/>
            </w:pPr>
            <w:r>
              <w:t>苯并［a］蒽</w:t>
            </w:r>
          </w:p>
        </w:tc>
        <w:tc>
          <w:tcPr>
            <w:tcW w:w="2387" w:type="pct"/>
            <w:tcBorders>
              <w:top w:val="single" w:color="auto" w:sz="4" w:space="0"/>
              <w:left w:val="nil"/>
              <w:bottom w:val="single" w:color="auto" w:sz="4" w:space="0"/>
              <w:right w:val="single" w:color="auto" w:sz="4" w:space="0"/>
            </w:tcBorders>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39</w:t>
            </w:r>
          </w:p>
        </w:tc>
        <w:tc>
          <w:tcPr>
            <w:tcW w:w="1898" w:type="pct"/>
            <w:tcBorders>
              <w:top w:val="single" w:color="auto" w:sz="4" w:space="0"/>
              <w:left w:val="nil"/>
              <w:bottom w:val="single" w:color="auto" w:sz="4" w:space="0"/>
              <w:right w:val="single" w:color="auto" w:sz="4" w:space="0"/>
            </w:tcBorders>
            <w:vAlign w:val="center"/>
          </w:tcPr>
          <w:p>
            <w:pPr>
              <w:pStyle w:val="136"/>
            </w:pPr>
            <w:r>
              <w:t>苯并［a］芘</w:t>
            </w:r>
          </w:p>
        </w:tc>
        <w:tc>
          <w:tcPr>
            <w:tcW w:w="2387" w:type="pct"/>
            <w:tcBorders>
              <w:top w:val="single" w:color="auto" w:sz="4" w:space="0"/>
              <w:left w:val="nil"/>
              <w:bottom w:val="single" w:color="auto" w:sz="4" w:space="0"/>
              <w:right w:val="single" w:color="auto" w:sz="4" w:space="0"/>
            </w:tcBorders>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40</w:t>
            </w:r>
          </w:p>
        </w:tc>
        <w:tc>
          <w:tcPr>
            <w:tcW w:w="1898" w:type="pct"/>
            <w:tcBorders>
              <w:top w:val="single" w:color="auto" w:sz="4" w:space="0"/>
              <w:left w:val="nil"/>
              <w:bottom w:val="single" w:color="auto" w:sz="4" w:space="0"/>
              <w:right w:val="single" w:color="auto" w:sz="4" w:space="0"/>
            </w:tcBorders>
            <w:vAlign w:val="center"/>
          </w:tcPr>
          <w:p>
            <w:pPr>
              <w:pStyle w:val="136"/>
            </w:pPr>
            <w:r>
              <w:t>苯并［b］荧蒽</w:t>
            </w:r>
          </w:p>
        </w:tc>
        <w:tc>
          <w:tcPr>
            <w:tcW w:w="2387" w:type="pct"/>
            <w:tcBorders>
              <w:top w:val="single" w:color="auto" w:sz="4" w:space="0"/>
              <w:left w:val="nil"/>
              <w:bottom w:val="single" w:color="auto" w:sz="4" w:space="0"/>
              <w:right w:val="single" w:color="auto" w:sz="4" w:space="0"/>
            </w:tcBorders>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41</w:t>
            </w:r>
          </w:p>
        </w:tc>
        <w:tc>
          <w:tcPr>
            <w:tcW w:w="1898" w:type="pct"/>
            <w:tcBorders>
              <w:top w:val="single" w:color="auto" w:sz="4" w:space="0"/>
              <w:left w:val="nil"/>
              <w:bottom w:val="single" w:color="auto" w:sz="4" w:space="0"/>
              <w:right w:val="single" w:color="auto" w:sz="4" w:space="0"/>
            </w:tcBorders>
            <w:vAlign w:val="center"/>
          </w:tcPr>
          <w:p>
            <w:pPr>
              <w:pStyle w:val="136"/>
            </w:pPr>
            <w:r>
              <w:t>苯并［k］荧蒽</w:t>
            </w:r>
          </w:p>
        </w:tc>
        <w:tc>
          <w:tcPr>
            <w:tcW w:w="2387" w:type="pct"/>
            <w:tcBorders>
              <w:top w:val="single" w:color="auto" w:sz="4" w:space="0"/>
              <w:left w:val="nil"/>
              <w:bottom w:val="single" w:color="auto" w:sz="4" w:space="0"/>
              <w:right w:val="single" w:color="auto" w:sz="4" w:space="0"/>
            </w:tcBorders>
            <w:vAlign w:val="center"/>
          </w:tcPr>
          <w:p>
            <w:pPr>
              <w:pStyle w:val="136"/>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42</w:t>
            </w:r>
          </w:p>
        </w:tc>
        <w:tc>
          <w:tcPr>
            <w:tcW w:w="1898" w:type="pct"/>
            <w:tcBorders>
              <w:top w:val="single" w:color="auto" w:sz="4" w:space="0"/>
              <w:left w:val="nil"/>
              <w:bottom w:val="single" w:color="auto" w:sz="4" w:space="0"/>
              <w:right w:val="single" w:color="auto" w:sz="4" w:space="0"/>
            </w:tcBorders>
            <w:vAlign w:val="center"/>
          </w:tcPr>
          <w:p>
            <w:pPr>
              <w:pStyle w:val="136"/>
            </w:pPr>
            <w:r>
              <w:t>䓛</w:t>
            </w:r>
          </w:p>
        </w:tc>
        <w:tc>
          <w:tcPr>
            <w:tcW w:w="2387" w:type="pct"/>
            <w:tcBorders>
              <w:top w:val="single" w:color="auto" w:sz="4" w:space="0"/>
              <w:left w:val="nil"/>
              <w:bottom w:val="single" w:color="auto" w:sz="4" w:space="0"/>
              <w:right w:val="single" w:color="auto" w:sz="4" w:space="0"/>
            </w:tcBorders>
            <w:vAlign w:val="center"/>
          </w:tcPr>
          <w:p>
            <w:pPr>
              <w:pStyle w:val="136"/>
            </w:pPr>
            <w: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43</w:t>
            </w:r>
          </w:p>
        </w:tc>
        <w:tc>
          <w:tcPr>
            <w:tcW w:w="1898" w:type="pct"/>
            <w:tcBorders>
              <w:top w:val="single" w:color="auto" w:sz="4" w:space="0"/>
              <w:left w:val="nil"/>
              <w:bottom w:val="single" w:color="auto" w:sz="4" w:space="0"/>
              <w:right w:val="single" w:color="auto" w:sz="4" w:space="0"/>
            </w:tcBorders>
            <w:vAlign w:val="center"/>
          </w:tcPr>
          <w:p>
            <w:pPr>
              <w:pStyle w:val="136"/>
            </w:pPr>
            <w:r>
              <w:t>二苯并［a,h］蒽</w:t>
            </w:r>
          </w:p>
        </w:tc>
        <w:tc>
          <w:tcPr>
            <w:tcW w:w="2387" w:type="pct"/>
            <w:tcBorders>
              <w:top w:val="single" w:color="auto" w:sz="4" w:space="0"/>
              <w:left w:val="nil"/>
              <w:bottom w:val="single" w:color="auto" w:sz="4" w:space="0"/>
              <w:right w:val="single" w:color="auto" w:sz="4" w:space="0"/>
            </w:tcBorders>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44</w:t>
            </w:r>
          </w:p>
        </w:tc>
        <w:tc>
          <w:tcPr>
            <w:tcW w:w="1898" w:type="pct"/>
            <w:tcBorders>
              <w:top w:val="single" w:color="auto" w:sz="4" w:space="0"/>
              <w:left w:val="nil"/>
              <w:bottom w:val="single" w:color="auto" w:sz="4" w:space="0"/>
              <w:right w:val="single" w:color="auto" w:sz="4" w:space="0"/>
            </w:tcBorders>
            <w:vAlign w:val="center"/>
          </w:tcPr>
          <w:p>
            <w:pPr>
              <w:pStyle w:val="136"/>
            </w:pPr>
            <w:r>
              <w:t>茚并［1，2，3-cd］芘</w:t>
            </w:r>
          </w:p>
        </w:tc>
        <w:tc>
          <w:tcPr>
            <w:tcW w:w="2387" w:type="pct"/>
            <w:tcBorders>
              <w:top w:val="single" w:color="auto" w:sz="4" w:space="0"/>
              <w:left w:val="nil"/>
              <w:bottom w:val="single" w:color="auto" w:sz="4" w:space="0"/>
              <w:right w:val="single" w:color="auto" w:sz="4" w:space="0"/>
            </w:tcBorders>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exact"/>
          <w:jc w:val="center"/>
        </w:trPr>
        <w:tc>
          <w:tcPr>
            <w:tcW w:w="715" w:type="pct"/>
            <w:tcBorders>
              <w:top w:val="single" w:color="auto" w:sz="4" w:space="0"/>
              <w:left w:val="single" w:color="auto" w:sz="4" w:space="0"/>
              <w:bottom w:val="single" w:color="auto" w:sz="4" w:space="0"/>
              <w:right w:val="single" w:color="auto" w:sz="4" w:space="0"/>
            </w:tcBorders>
            <w:vAlign w:val="center"/>
          </w:tcPr>
          <w:p>
            <w:pPr>
              <w:pStyle w:val="136"/>
            </w:pPr>
            <w:r>
              <w:t>45</w:t>
            </w:r>
          </w:p>
        </w:tc>
        <w:tc>
          <w:tcPr>
            <w:tcW w:w="1898" w:type="pct"/>
            <w:tcBorders>
              <w:top w:val="single" w:color="auto" w:sz="4" w:space="0"/>
              <w:left w:val="nil"/>
              <w:bottom w:val="single" w:color="auto" w:sz="4" w:space="0"/>
              <w:right w:val="single" w:color="auto" w:sz="4" w:space="0"/>
            </w:tcBorders>
            <w:vAlign w:val="center"/>
          </w:tcPr>
          <w:p>
            <w:pPr>
              <w:pStyle w:val="136"/>
            </w:pPr>
            <w:r>
              <w:t>萘</w:t>
            </w:r>
          </w:p>
        </w:tc>
        <w:tc>
          <w:tcPr>
            <w:tcW w:w="2387" w:type="pct"/>
            <w:tcBorders>
              <w:top w:val="single" w:color="auto" w:sz="4" w:space="0"/>
              <w:left w:val="nil"/>
              <w:bottom w:val="single" w:color="auto" w:sz="4" w:space="0"/>
              <w:right w:val="single" w:color="auto" w:sz="4" w:space="0"/>
            </w:tcBorders>
            <w:vAlign w:val="center"/>
          </w:tcPr>
          <w:p>
            <w:pPr>
              <w:pStyle w:val="136"/>
            </w:pPr>
            <w:r>
              <w:t>70</w:t>
            </w:r>
          </w:p>
        </w:tc>
      </w:tr>
    </w:tbl>
    <w:p>
      <w:pPr>
        <w:pStyle w:val="137"/>
        <w:spacing w:before="48"/>
      </w:pPr>
      <w:bookmarkStart w:id="19" w:name="_Hlk87814198"/>
      <w:bookmarkEnd w:id="19"/>
    </w:p>
    <w:p>
      <w:pPr>
        <w:pStyle w:val="137"/>
        <w:spacing w:before="48"/>
      </w:pPr>
      <w:r>
        <w:t>表1.3-7                   土壤盐化分级标准</w:t>
      </w:r>
    </w:p>
    <w:tbl>
      <w:tblPr>
        <w:tblStyle w:val="40"/>
        <w:tblW w:w="508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42"/>
        <w:gridCol w:w="3263"/>
        <w:gridCol w:w="2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1607" w:type="pct"/>
            <w:vMerge w:val="restart"/>
            <w:tcBorders>
              <w:top w:val="single" w:color="000000" w:sz="4" w:space="0"/>
              <w:left w:val="single" w:color="000000" w:sz="4" w:space="0"/>
              <w:bottom w:val="single" w:color="000000" w:sz="4" w:space="0"/>
              <w:right w:val="single" w:color="000000" w:sz="4" w:space="0"/>
            </w:tcBorders>
            <w:vAlign w:val="center"/>
          </w:tcPr>
          <w:p>
            <w:pPr>
              <w:pStyle w:val="136"/>
            </w:pPr>
            <w:r>
              <w:t>分级</w:t>
            </w:r>
          </w:p>
        </w:tc>
        <w:tc>
          <w:tcPr>
            <w:tcW w:w="3393" w:type="pct"/>
            <w:gridSpan w:val="2"/>
            <w:tcBorders>
              <w:top w:val="single" w:color="000000" w:sz="4" w:space="0"/>
              <w:left w:val="nil"/>
              <w:bottom w:val="single" w:color="000000" w:sz="4" w:space="0"/>
              <w:right w:val="single" w:color="000000" w:sz="4" w:space="0"/>
            </w:tcBorders>
            <w:vAlign w:val="center"/>
          </w:tcPr>
          <w:p>
            <w:pPr>
              <w:pStyle w:val="136"/>
            </w:pPr>
            <w:r>
              <w:t>土壤含盐量（SSC）/（g/kg）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1607" w:type="pct"/>
            <w:vMerge w:val="continue"/>
            <w:tcBorders>
              <w:top w:val="single" w:color="000000" w:sz="4" w:space="0"/>
              <w:left w:val="single" w:color="000000" w:sz="4" w:space="0"/>
              <w:bottom w:val="single" w:color="000000" w:sz="4" w:space="0"/>
              <w:right w:val="single" w:color="000000" w:sz="4" w:space="0"/>
            </w:tcBorders>
            <w:vAlign w:val="center"/>
          </w:tcPr>
          <w:p>
            <w:pPr>
              <w:pStyle w:val="136"/>
            </w:pPr>
          </w:p>
        </w:tc>
        <w:tc>
          <w:tcPr>
            <w:tcW w:w="1782" w:type="pct"/>
            <w:tcBorders>
              <w:top w:val="single" w:color="000000" w:sz="4" w:space="0"/>
              <w:left w:val="nil"/>
              <w:bottom w:val="single" w:color="000000" w:sz="4" w:space="0"/>
              <w:right w:val="single" w:color="000000" w:sz="4" w:space="0"/>
            </w:tcBorders>
            <w:vAlign w:val="center"/>
          </w:tcPr>
          <w:p>
            <w:pPr>
              <w:pStyle w:val="136"/>
            </w:pPr>
            <w:r>
              <w:t>滨海、半湿润和半干旱地区</w:t>
            </w:r>
          </w:p>
        </w:tc>
        <w:tc>
          <w:tcPr>
            <w:tcW w:w="1611" w:type="pct"/>
            <w:tcBorders>
              <w:top w:val="single" w:color="000000" w:sz="4" w:space="0"/>
              <w:left w:val="nil"/>
              <w:bottom w:val="single" w:color="000000" w:sz="4" w:space="0"/>
              <w:right w:val="single" w:color="000000" w:sz="4" w:space="0"/>
            </w:tcBorders>
            <w:vAlign w:val="center"/>
          </w:tcPr>
          <w:p>
            <w:pPr>
              <w:pStyle w:val="136"/>
            </w:pPr>
            <w:r>
              <w:t>干旱、半荒漠和荒漠地区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1607" w:type="pct"/>
            <w:tcBorders>
              <w:top w:val="single" w:color="000000" w:sz="4" w:space="0"/>
              <w:left w:val="single" w:color="000000" w:sz="4" w:space="0"/>
              <w:bottom w:val="single" w:color="000000" w:sz="4" w:space="0"/>
              <w:right w:val="single" w:color="000000" w:sz="4" w:space="0"/>
            </w:tcBorders>
            <w:vAlign w:val="center"/>
          </w:tcPr>
          <w:p>
            <w:pPr>
              <w:pStyle w:val="136"/>
            </w:pPr>
            <w:r>
              <w:t>未盐化</w:t>
            </w:r>
          </w:p>
        </w:tc>
        <w:tc>
          <w:tcPr>
            <w:tcW w:w="1782" w:type="pct"/>
            <w:tcBorders>
              <w:top w:val="single" w:color="000000" w:sz="4" w:space="0"/>
              <w:left w:val="nil"/>
              <w:bottom w:val="single" w:color="000000" w:sz="4" w:space="0"/>
              <w:right w:val="single" w:color="000000" w:sz="4" w:space="0"/>
            </w:tcBorders>
            <w:vAlign w:val="center"/>
          </w:tcPr>
          <w:p>
            <w:pPr>
              <w:pStyle w:val="136"/>
            </w:pPr>
            <w:r>
              <w:t>SSC&lt;1</w:t>
            </w:r>
          </w:p>
        </w:tc>
        <w:tc>
          <w:tcPr>
            <w:tcW w:w="1611" w:type="pct"/>
            <w:tcBorders>
              <w:top w:val="single" w:color="000000" w:sz="4" w:space="0"/>
              <w:left w:val="nil"/>
              <w:bottom w:val="single" w:color="000000" w:sz="4" w:space="0"/>
              <w:right w:val="single" w:color="000000" w:sz="4" w:space="0"/>
            </w:tcBorders>
            <w:vAlign w:val="center"/>
          </w:tcPr>
          <w:p>
            <w:pPr>
              <w:pStyle w:val="136"/>
            </w:pPr>
            <w:r>
              <w:t>SSC&lt;2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 w:hRule="atLeast"/>
          <w:jc w:val="center"/>
        </w:trPr>
        <w:tc>
          <w:tcPr>
            <w:tcW w:w="1607" w:type="pct"/>
            <w:tcBorders>
              <w:top w:val="single" w:color="000000" w:sz="4" w:space="0"/>
              <w:left w:val="single" w:color="000000" w:sz="4" w:space="0"/>
              <w:bottom w:val="single" w:color="000000" w:sz="4" w:space="0"/>
              <w:right w:val="single" w:color="000000" w:sz="4" w:space="0"/>
            </w:tcBorders>
            <w:vAlign w:val="center"/>
          </w:tcPr>
          <w:p>
            <w:pPr>
              <w:pStyle w:val="136"/>
            </w:pPr>
            <w:r>
              <w:t>轻度盐化</w:t>
            </w:r>
          </w:p>
        </w:tc>
        <w:tc>
          <w:tcPr>
            <w:tcW w:w="1782" w:type="pct"/>
            <w:tcBorders>
              <w:top w:val="single" w:color="000000" w:sz="4" w:space="0"/>
              <w:left w:val="nil"/>
              <w:bottom w:val="single" w:color="000000" w:sz="4" w:space="0"/>
              <w:right w:val="single" w:color="000000" w:sz="4" w:space="0"/>
            </w:tcBorders>
            <w:vAlign w:val="center"/>
          </w:tcPr>
          <w:p>
            <w:pPr>
              <w:pStyle w:val="136"/>
            </w:pPr>
            <w:r>
              <w:t>1≤SSC&lt;2</w:t>
            </w:r>
          </w:p>
        </w:tc>
        <w:tc>
          <w:tcPr>
            <w:tcW w:w="1611" w:type="pct"/>
            <w:tcBorders>
              <w:top w:val="single" w:color="000000" w:sz="4" w:space="0"/>
              <w:left w:val="nil"/>
              <w:bottom w:val="single" w:color="000000" w:sz="4" w:space="0"/>
              <w:right w:val="single" w:color="000000" w:sz="4" w:space="0"/>
            </w:tcBorders>
            <w:vAlign w:val="center"/>
          </w:tcPr>
          <w:p>
            <w:pPr>
              <w:pStyle w:val="136"/>
            </w:pPr>
            <w:r>
              <w:t>2≤SSC&lt;3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1607" w:type="pct"/>
            <w:tcBorders>
              <w:top w:val="single" w:color="000000" w:sz="4" w:space="0"/>
              <w:left w:val="single" w:color="000000" w:sz="4" w:space="0"/>
              <w:bottom w:val="single" w:color="000000" w:sz="4" w:space="0"/>
              <w:right w:val="single" w:color="000000" w:sz="4" w:space="0"/>
            </w:tcBorders>
            <w:vAlign w:val="center"/>
          </w:tcPr>
          <w:p>
            <w:pPr>
              <w:pStyle w:val="136"/>
            </w:pPr>
            <w:r>
              <w:t>中度盐化</w:t>
            </w:r>
          </w:p>
        </w:tc>
        <w:tc>
          <w:tcPr>
            <w:tcW w:w="1782" w:type="pct"/>
            <w:tcBorders>
              <w:top w:val="single" w:color="000000" w:sz="4" w:space="0"/>
              <w:left w:val="nil"/>
              <w:bottom w:val="single" w:color="000000" w:sz="4" w:space="0"/>
              <w:right w:val="single" w:color="000000" w:sz="4" w:space="0"/>
            </w:tcBorders>
            <w:vAlign w:val="center"/>
          </w:tcPr>
          <w:p>
            <w:pPr>
              <w:pStyle w:val="136"/>
            </w:pPr>
            <w:r>
              <w:t>2≤SSC&lt;4</w:t>
            </w:r>
          </w:p>
        </w:tc>
        <w:tc>
          <w:tcPr>
            <w:tcW w:w="1611" w:type="pct"/>
            <w:tcBorders>
              <w:top w:val="single" w:color="000000" w:sz="4" w:space="0"/>
              <w:left w:val="nil"/>
              <w:bottom w:val="single" w:color="000000" w:sz="4" w:space="0"/>
              <w:right w:val="single" w:color="000000" w:sz="4" w:space="0"/>
            </w:tcBorders>
            <w:vAlign w:val="center"/>
          </w:tcPr>
          <w:p>
            <w:pPr>
              <w:pStyle w:val="136"/>
            </w:pPr>
            <w:r>
              <w:t>3≤SSC&lt;5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1607" w:type="pct"/>
            <w:tcBorders>
              <w:top w:val="single" w:color="000000" w:sz="4" w:space="0"/>
              <w:left w:val="single" w:color="000000" w:sz="4" w:space="0"/>
              <w:bottom w:val="single" w:color="000000" w:sz="4" w:space="0"/>
              <w:right w:val="single" w:color="000000" w:sz="4" w:space="0"/>
            </w:tcBorders>
            <w:vAlign w:val="center"/>
          </w:tcPr>
          <w:p>
            <w:pPr>
              <w:pStyle w:val="136"/>
            </w:pPr>
            <w:r>
              <w:t>重度盐化</w:t>
            </w:r>
          </w:p>
        </w:tc>
        <w:tc>
          <w:tcPr>
            <w:tcW w:w="1782" w:type="pct"/>
            <w:tcBorders>
              <w:top w:val="single" w:color="000000" w:sz="4" w:space="0"/>
              <w:left w:val="nil"/>
              <w:bottom w:val="single" w:color="000000" w:sz="4" w:space="0"/>
              <w:right w:val="single" w:color="000000" w:sz="4" w:space="0"/>
            </w:tcBorders>
            <w:vAlign w:val="center"/>
          </w:tcPr>
          <w:p>
            <w:pPr>
              <w:pStyle w:val="136"/>
            </w:pPr>
            <w:r>
              <w:t>4≤SSC&lt;6</w:t>
            </w:r>
          </w:p>
        </w:tc>
        <w:tc>
          <w:tcPr>
            <w:tcW w:w="1611" w:type="pct"/>
            <w:tcBorders>
              <w:top w:val="single" w:color="000000" w:sz="4" w:space="0"/>
              <w:left w:val="nil"/>
              <w:bottom w:val="single" w:color="000000" w:sz="4" w:space="0"/>
              <w:right w:val="single" w:color="000000" w:sz="4" w:space="0"/>
            </w:tcBorders>
            <w:vAlign w:val="center"/>
          </w:tcPr>
          <w:p>
            <w:pPr>
              <w:pStyle w:val="136"/>
            </w:pPr>
            <w:r>
              <w:t>5≤SSC&lt;10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1607" w:type="pct"/>
            <w:tcBorders>
              <w:top w:val="single" w:color="000000" w:sz="4" w:space="0"/>
              <w:left w:val="single" w:color="000000" w:sz="4" w:space="0"/>
              <w:bottom w:val="single" w:color="000000" w:sz="4" w:space="0"/>
              <w:right w:val="single" w:color="000000" w:sz="4" w:space="0"/>
            </w:tcBorders>
            <w:vAlign w:val="center"/>
          </w:tcPr>
          <w:p>
            <w:pPr>
              <w:pStyle w:val="136"/>
            </w:pPr>
            <w:r>
              <w:t>极重度盐化</w:t>
            </w:r>
          </w:p>
        </w:tc>
        <w:tc>
          <w:tcPr>
            <w:tcW w:w="1782" w:type="pct"/>
            <w:tcBorders>
              <w:top w:val="single" w:color="000000" w:sz="4" w:space="0"/>
              <w:left w:val="nil"/>
              <w:bottom w:val="single" w:color="000000" w:sz="4" w:space="0"/>
              <w:right w:val="single" w:color="000000" w:sz="4" w:space="0"/>
            </w:tcBorders>
            <w:vAlign w:val="center"/>
          </w:tcPr>
          <w:p>
            <w:pPr>
              <w:pStyle w:val="136"/>
            </w:pPr>
            <w:r>
              <w:t>SSC≥6</w:t>
            </w:r>
          </w:p>
        </w:tc>
        <w:tc>
          <w:tcPr>
            <w:tcW w:w="1611" w:type="pct"/>
            <w:tcBorders>
              <w:top w:val="single" w:color="000000" w:sz="4" w:space="0"/>
              <w:left w:val="nil"/>
              <w:bottom w:val="single" w:color="000000" w:sz="4" w:space="0"/>
              <w:right w:val="single" w:color="000000" w:sz="4" w:space="0"/>
            </w:tcBorders>
            <w:vAlign w:val="center"/>
          </w:tcPr>
          <w:p>
            <w:pPr>
              <w:pStyle w:val="136"/>
            </w:pPr>
            <w:r>
              <w:t>SSC≥10</w:t>
            </w:r>
          </w:p>
        </w:tc>
      </w:tr>
    </w:tbl>
    <w:p>
      <w:pPr>
        <w:ind w:firstLine="480"/>
        <w:rPr>
          <w:rFonts w:cs="Times New Roman"/>
        </w:rPr>
      </w:pPr>
    </w:p>
    <w:p>
      <w:pPr>
        <w:pStyle w:val="137"/>
        <w:spacing w:before="48"/>
      </w:pPr>
      <w:r>
        <w:t>表1.3-8                  土壤酸化、碱化分级标准</w:t>
      </w:r>
    </w:p>
    <w:tbl>
      <w:tblPr>
        <w:tblStyle w:val="40"/>
        <w:tblW w:w="508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77"/>
        <w:gridCol w:w="4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tblHeader/>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PH值</w:t>
            </w:r>
          </w:p>
        </w:tc>
        <w:tc>
          <w:tcPr>
            <w:tcW w:w="2664" w:type="pct"/>
            <w:tcBorders>
              <w:top w:val="single" w:color="000000" w:sz="4" w:space="0"/>
              <w:left w:val="nil"/>
              <w:bottom w:val="single" w:color="000000" w:sz="4" w:space="0"/>
              <w:right w:val="single" w:color="000000" w:sz="4" w:space="0"/>
            </w:tcBorders>
            <w:vAlign w:val="center"/>
          </w:tcPr>
          <w:p>
            <w:pPr>
              <w:pStyle w:val="136"/>
            </w:pPr>
            <w:r>
              <w:t>土壤酸化、碱化强度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PH&lt;3.5</w:t>
            </w:r>
          </w:p>
        </w:tc>
        <w:tc>
          <w:tcPr>
            <w:tcW w:w="2664" w:type="pct"/>
            <w:tcBorders>
              <w:top w:val="single" w:color="000000" w:sz="4" w:space="0"/>
              <w:left w:val="nil"/>
              <w:bottom w:val="single" w:color="000000" w:sz="4" w:space="0"/>
              <w:right w:val="single" w:color="000000" w:sz="4" w:space="0"/>
            </w:tcBorders>
            <w:vAlign w:val="center"/>
          </w:tcPr>
          <w:p>
            <w:pPr>
              <w:pStyle w:val="136"/>
            </w:pPr>
            <w:r>
              <w:t>极重度酸化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3.5≤PH&lt;4.0</w:t>
            </w:r>
          </w:p>
        </w:tc>
        <w:tc>
          <w:tcPr>
            <w:tcW w:w="2664" w:type="pct"/>
            <w:tcBorders>
              <w:top w:val="single" w:color="000000" w:sz="4" w:space="0"/>
              <w:left w:val="nil"/>
              <w:bottom w:val="single" w:color="000000" w:sz="4" w:space="0"/>
              <w:right w:val="single" w:color="000000" w:sz="4" w:space="0"/>
            </w:tcBorders>
            <w:vAlign w:val="center"/>
          </w:tcPr>
          <w:p>
            <w:pPr>
              <w:pStyle w:val="136"/>
            </w:pPr>
            <w:r>
              <w:t>重度酸化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 w:hRule="atLeast"/>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4.0≤PH&lt;4.5</w:t>
            </w:r>
          </w:p>
        </w:tc>
        <w:tc>
          <w:tcPr>
            <w:tcW w:w="2664" w:type="pct"/>
            <w:tcBorders>
              <w:top w:val="single" w:color="000000" w:sz="4" w:space="0"/>
              <w:left w:val="nil"/>
              <w:bottom w:val="single" w:color="000000" w:sz="4" w:space="0"/>
              <w:right w:val="single" w:color="000000" w:sz="4" w:space="0"/>
            </w:tcBorders>
            <w:vAlign w:val="center"/>
          </w:tcPr>
          <w:p>
            <w:pPr>
              <w:pStyle w:val="136"/>
            </w:pPr>
            <w:r>
              <w:t>中度酸化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4.5≤PH&lt;5.5</w:t>
            </w:r>
          </w:p>
        </w:tc>
        <w:tc>
          <w:tcPr>
            <w:tcW w:w="2664" w:type="pct"/>
            <w:tcBorders>
              <w:top w:val="single" w:color="000000" w:sz="4" w:space="0"/>
              <w:left w:val="nil"/>
              <w:bottom w:val="single" w:color="000000" w:sz="4" w:space="0"/>
              <w:right w:val="single" w:color="000000" w:sz="4" w:space="0"/>
            </w:tcBorders>
            <w:vAlign w:val="center"/>
          </w:tcPr>
          <w:p>
            <w:pPr>
              <w:pStyle w:val="136"/>
            </w:pPr>
            <w:r>
              <w:t>轻度酸化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5.5≤PH&lt;8.5</w:t>
            </w:r>
          </w:p>
        </w:tc>
        <w:tc>
          <w:tcPr>
            <w:tcW w:w="2664" w:type="pct"/>
            <w:tcBorders>
              <w:top w:val="single" w:color="000000" w:sz="4" w:space="0"/>
              <w:left w:val="nil"/>
              <w:bottom w:val="single" w:color="000000" w:sz="4" w:space="0"/>
              <w:right w:val="single" w:color="000000" w:sz="4" w:space="0"/>
            </w:tcBorders>
            <w:vAlign w:val="center"/>
          </w:tcPr>
          <w:p>
            <w:pPr>
              <w:pStyle w:val="136"/>
            </w:pPr>
            <w:r>
              <w:t>无酸化或碱化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8.5≤PH&lt;9.0</w:t>
            </w:r>
          </w:p>
        </w:tc>
        <w:tc>
          <w:tcPr>
            <w:tcW w:w="2664" w:type="pct"/>
            <w:tcBorders>
              <w:top w:val="single" w:color="000000" w:sz="4" w:space="0"/>
              <w:left w:val="nil"/>
              <w:bottom w:val="single" w:color="000000" w:sz="4" w:space="0"/>
              <w:right w:val="single" w:color="000000" w:sz="4" w:space="0"/>
            </w:tcBorders>
            <w:vAlign w:val="center"/>
          </w:tcPr>
          <w:p>
            <w:pPr>
              <w:pStyle w:val="136"/>
            </w:pPr>
            <w:r>
              <w:t>轻度碱化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9.0≤PH&lt;9.5</w:t>
            </w:r>
          </w:p>
        </w:tc>
        <w:tc>
          <w:tcPr>
            <w:tcW w:w="2664" w:type="pct"/>
            <w:tcBorders>
              <w:top w:val="single" w:color="000000" w:sz="4" w:space="0"/>
              <w:left w:val="nil"/>
              <w:bottom w:val="single" w:color="000000" w:sz="4" w:space="0"/>
              <w:right w:val="single" w:color="000000" w:sz="4" w:space="0"/>
            </w:tcBorders>
            <w:vAlign w:val="center"/>
          </w:tcPr>
          <w:p>
            <w:pPr>
              <w:pStyle w:val="136"/>
            </w:pPr>
            <w:r>
              <w:t>中度碱化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9.5≤PH&lt;10</w:t>
            </w:r>
          </w:p>
        </w:tc>
        <w:tc>
          <w:tcPr>
            <w:tcW w:w="2664" w:type="pct"/>
            <w:tcBorders>
              <w:top w:val="single" w:color="000000" w:sz="4" w:space="0"/>
              <w:left w:val="nil"/>
              <w:bottom w:val="single" w:color="000000" w:sz="4" w:space="0"/>
              <w:right w:val="single" w:color="000000" w:sz="4" w:space="0"/>
            </w:tcBorders>
            <w:vAlign w:val="center"/>
          </w:tcPr>
          <w:p>
            <w:pPr>
              <w:pStyle w:val="136"/>
            </w:pPr>
            <w:r>
              <w:t>重度碱化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2336" w:type="pct"/>
            <w:tcBorders>
              <w:top w:val="single" w:color="000000" w:sz="4" w:space="0"/>
              <w:left w:val="single" w:color="000000" w:sz="4" w:space="0"/>
              <w:bottom w:val="single" w:color="000000" w:sz="4" w:space="0"/>
              <w:right w:val="single" w:color="000000" w:sz="4" w:space="0"/>
            </w:tcBorders>
            <w:vAlign w:val="center"/>
          </w:tcPr>
          <w:p>
            <w:pPr>
              <w:pStyle w:val="136"/>
            </w:pPr>
            <w:r>
              <w:t>PH≥10</w:t>
            </w:r>
          </w:p>
        </w:tc>
        <w:tc>
          <w:tcPr>
            <w:tcW w:w="2664" w:type="pct"/>
            <w:tcBorders>
              <w:top w:val="single" w:color="000000" w:sz="4" w:space="0"/>
              <w:left w:val="nil"/>
              <w:bottom w:val="single" w:color="000000" w:sz="4" w:space="0"/>
              <w:right w:val="single" w:color="000000" w:sz="4" w:space="0"/>
            </w:tcBorders>
            <w:vAlign w:val="center"/>
          </w:tcPr>
          <w:p>
            <w:pPr>
              <w:pStyle w:val="136"/>
            </w:pPr>
            <w:r>
              <w:t>极重度碱化</w:t>
            </w:r>
          </w:p>
        </w:tc>
      </w:tr>
    </w:tbl>
    <w:p>
      <w:pPr>
        <w:spacing w:line="240" w:lineRule="auto"/>
        <w:ind w:firstLine="480"/>
        <w:rPr>
          <w:rFonts w:cs="Times New Roman"/>
        </w:rPr>
      </w:pPr>
    </w:p>
    <w:p>
      <w:pPr>
        <w:pStyle w:val="4"/>
        <w:rPr>
          <w:rFonts w:cs="Times New Roman"/>
        </w:rPr>
      </w:pPr>
      <w:r>
        <w:rPr>
          <w:rFonts w:cs="Times New Roman"/>
        </w:rPr>
        <w:t>1.3.5 环境空气</w:t>
      </w:r>
    </w:p>
    <w:p>
      <w:pPr>
        <w:ind w:firstLine="480"/>
        <w:rPr>
          <w:rFonts w:cs="Times New Roman" w:eastAsiaTheme="minorEastAsia"/>
        </w:rPr>
      </w:pPr>
      <w:r>
        <w:rPr>
          <w:rFonts w:cs="Times New Roman" w:eastAsiaTheme="minorEastAsia"/>
        </w:rPr>
        <w:t>（1）环境质量标准</w:t>
      </w:r>
    </w:p>
    <w:p>
      <w:pPr>
        <w:ind w:firstLine="480"/>
        <w:rPr>
          <w:rFonts w:cs="Times New Roman" w:eastAsiaTheme="minorEastAsia"/>
        </w:rPr>
      </w:pPr>
      <w:r>
        <w:rPr>
          <w:rFonts w:cs="Times New Roman" w:eastAsiaTheme="minorEastAsia"/>
        </w:rPr>
        <w:t>代尔昆代水库位于山区河段，人烟稀少，无工矿企业及城镇分布，不涉及自然保护区、风景名胜区和其他需要特殊保护的区域，环境空气质量功能分区为二类区，执行《环境空气质量标准》（GB3095-2012）中的二级标准，具体见表1.3-9。</w:t>
      </w:r>
    </w:p>
    <w:p>
      <w:pPr>
        <w:pStyle w:val="137"/>
        <w:spacing w:before="48"/>
      </w:pPr>
      <w:r>
        <w:t>表1.3-9                 环境空气质量标准（摘录）              单位：µg/m</w:t>
      </w:r>
      <w:r>
        <w:rPr>
          <w:vertAlign w:val="superscript"/>
        </w:rPr>
        <w:t>3</w:t>
      </w:r>
    </w:p>
    <w:tbl>
      <w:tblPr>
        <w:tblStyle w:val="40"/>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4"/>
        <w:gridCol w:w="1277"/>
        <w:gridCol w:w="1253"/>
        <w:gridCol w:w="1253"/>
        <w:gridCol w:w="1253"/>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41" w:type="dxa"/>
            <w:gridSpan w:val="2"/>
            <w:vAlign w:val="center"/>
          </w:tcPr>
          <w:p>
            <w:pPr>
              <w:pStyle w:val="136"/>
            </w:pPr>
            <w:r>
              <w:t>污染物名称</w:t>
            </w:r>
          </w:p>
        </w:tc>
        <w:tc>
          <w:tcPr>
            <w:tcW w:w="1253" w:type="dxa"/>
            <w:vAlign w:val="center"/>
          </w:tcPr>
          <w:p>
            <w:pPr>
              <w:pStyle w:val="136"/>
            </w:pPr>
            <w:r>
              <w:t>SO</w:t>
            </w:r>
            <w:r>
              <w:rPr>
                <w:vertAlign w:val="subscript"/>
              </w:rPr>
              <w:t>2</w:t>
            </w:r>
          </w:p>
        </w:tc>
        <w:tc>
          <w:tcPr>
            <w:tcW w:w="1253" w:type="dxa"/>
            <w:vAlign w:val="center"/>
          </w:tcPr>
          <w:p>
            <w:pPr>
              <w:pStyle w:val="136"/>
            </w:pPr>
            <w:r>
              <w:t>NO</w:t>
            </w:r>
            <w:r>
              <w:rPr>
                <w:vertAlign w:val="subscript"/>
              </w:rPr>
              <w:t>2</w:t>
            </w:r>
          </w:p>
        </w:tc>
        <w:tc>
          <w:tcPr>
            <w:tcW w:w="1253" w:type="dxa"/>
          </w:tcPr>
          <w:p>
            <w:pPr>
              <w:pStyle w:val="136"/>
            </w:pPr>
            <w:r>
              <w:t>PM</w:t>
            </w:r>
            <w:r>
              <w:rPr>
                <w:vertAlign w:val="subscript"/>
              </w:rPr>
              <w:t>10</w:t>
            </w:r>
          </w:p>
        </w:tc>
        <w:tc>
          <w:tcPr>
            <w:tcW w:w="1084" w:type="dxa"/>
          </w:tcPr>
          <w:p>
            <w:pPr>
              <w:pStyle w:val="136"/>
            </w:pPr>
            <w:r>
              <w:t>PM</w:t>
            </w:r>
            <w:r>
              <w:rPr>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664" w:type="dxa"/>
            <w:vMerge w:val="restart"/>
            <w:vAlign w:val="center"/>
          </w:tcPr>
          <w:p>
            <w:pPr>
              <w:pStyle w:val="136"/>
            </w:pPr>
            <w:r>
              <w:t>《环境空气质量标准》（GB3095-2012）二级</w:t>
            </w:r>
          </w:p>
        </w:tc>
        <w:tc>
          <w:tcPr>
            <w:tcW w:w="1277" w:type="dxa"/>
            <w:vAlign w:val="center"/>
          </w:tcPr>
          <w:p>
            <w:pPr>
              <w:pStyle w:val="136"/>
            </w:pPr>
            <w:r>
              <w:t>年平均</w:t>
            </w:r>
          </w:p>
        </w:tc>
        <w:tc>
          <w:tcPr>
            <w:tcW w:w="1253" w:type="dxa"/>
            <w:vAlign w:val="center"/>
          </w:tcPr>
          <w:p>
            <w:pPr>
              <w:pStyle w:val="136"/>
            </w:pPr>
            <w:r>
              <w:t>60</w:t>
            </w:r>
          </w:p>
        </w:tc>
        <w:tc>
          <w:tcPr>
            <w:tcW w:w="1253" w:type="dxa"/>
            <w:vAlign w:val="center"/>
          </w:tcPr>
          <w:p>
            <w:pPr>
              <w:pStyle w:val="136"/>
            </w:pPr>
            <w:r>
              <w:t>40</w:t>
            </w:r>
          </w:p>
        </w:tc>
        <w:tc>
          <w:tcPr>
            <w:tcW w:w="1253" w:type="dxa"/>
          </w:tcPr>
          <w:p>
            <w:pPr>
              <w:pStyle w:val="136"/>
            </w:pPr>
            <w:r>
              <w:t>70</w:t>
            </w:r>
          </w:p>
        </w:tc>
        <w:tc>
          <w:tcPr>
            <w:tcW w:w="1084" w:type="dxa"/>
          </w:tcPr>
          <w:p>
            <w:pPr>
              <w:pStyle w:val="136"/>
            </w:pPr>
            <w: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664" w:type="dxa"/>
            <w:vMerge w:val="continue"/>
            <w:vAlign w:val="center"/>
          </w:tcPr>
          <w:p>
            <w:pPr>
              <w:pStyle w:val="136"/>
            </w:pPr>
          </w:p>
        </w:tc>
        <w:tc>
          <w:tcPr>
            <w:tcW w:w="1277" w:type="dxa"/>
            <w:vAlign w:val="center"/>
          </w:tcPr>
          <w:p>
            <w:pPr>
              <w:pStyle w:val="136"/>
            </w:pPr>
            <w:r>
              <w:t>日平均</w:t>
            </w:r>
          </w:p>
        </w:tc>
        <w:tc>
          <w:tcPr>
            <w:tcW w:w="1253" w:type="dxa"/>
            <w:vAlign w:val="center"/>
          </w:tcPr>
          <w:p>
            <w:pPr>
              <w:pStyle w:val="136"/>
            </w:pPr>
            <w:r>
              <w:t>150</w:t>
            </w:r>
          </w:p>
        </w:tc>
        <w:tc>
          <w:tcPr>
            <w:tcW w:w="1253" w:type="dxa"/>
            <w:vAlign w:val="center"/>
          </w:tcPr>
          <w:p>
            <w:pPr>
              <w:pStyle w:val="136"/>
            </w:pPr>
            <w:r>
              <w:t>80</w:t>
            </w:r>
          </w:p>
        </w:tc>
        <w:tc>
          <w:tcPr>
            <w:tcW w:w="1253" w:type="dxa"/>
          </w:tcPr>
          <w:p>
            <w:pPr>
              <w:pStyle w:val="136"/>
            </w:pPr>
            <w:r>
              <w:t>150</w:t>
            </w:r>
          </w:p>
        </w:tc>
        <w:tc>
          <w:tcPr>
            <w:tcW w:w="1084" w:type="dxa"/>
          </w:tcPr>
          <w:p>
            <w:pPr>
              <w:pStyle w:val="136"/>
            </w:pPr>
            <w: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664" w:type="dxa"/>
            <w:vMerge w:val="continue"/>
            <w:vAlign w:val="center"/>
          </w:tcPr>
          <w:p>
            <w:pPr>
              <w:pStyle w:val="136"/>
            </w:pPr>
          </w:p>
        </w:tc>
        <w:tc>
          <w:tcPr>
            <w:tcW w:w="1277" w:type="dxa"/>
            <w:vAlign w:val="center"/>
          </w:tcPr>
          <w:p>
            <w:pPr>
              <w:pStyle w:val="136"/>
            </w:pPr>
            <w:r>
              <w:t>小时平均</w:t>
            </w:r>
          </w:p>
        </w:tc>
        <w:tc>
          <w:tcPr>
            <w:tcW w:w="1253" w:type="dxa"/>
            <w:vAlign w:val="center"/>
          </w:tcPr>
          <w:p>
            <w:pPr>
              <w:pStyle w:val="136"/>
            </w:pPr>
            <w:r>
              <w:t>500</w:t>
            </w:r>
          </w:p>
        </w:tc>
        <w:tc>
          <w:tcPr>
            <w:tcW w:w="1253" w:type="dxa"/>
            <w:vAlign w:val="center"/>
          </w:tcPr>
          <w:p>
            <w:pPr>
              <w:pStyle w:val="136"/>
            </w:pPr>
            <w:r>
              <w:t>200</w:t>
            </w:r>
          </w:p>
        </w:tc>
        <w:tc>
          <w:tcPr>
            <w:tcW w:w="1253" w:type="dxa"/>
          </w:tcPr>
          <w:p>
            <w:pPr>
              <w:pStyle w:val="136"/>
            </w:pPr>
            <w:r>
              <w:t>-</w:t>
            </w:r>
          </w:p>
        </w:tc>
        <w:tc>
          <w:tcPr>
            <w:tcW w:w="1084" w:type="dxa"/>
          </w:tcPr>
          <w:p>
            <w:pPr>
              <w:pStyle w:val="136"/>
            </w:pPr>
            <w:r>
              <w:t>-</w:t>
            </w:r>
          </w:p>
        </w:tc>
      </w:tr>
    </w:tbl>
    <w:p>
      <w:pPr>
        <w:spacing w:line="240" w:lineRule="auto"/>
        <w:ind w:firstLine="420"/>
        <w:rPr>
          <w:rFonts w:cs="Times New Roman" w:eastAsiaTheme="minorEastAsia"/>
          <w:sz w:val="21"/>
          <w:szCs w:val="21"/>
        </w:rPr>
      </w:pPr>
    </w:p>
    <w:p>
      <w:pPr>
        <w:ind w:firstLine="480"/>
        <w:rPr>
          <w:rFonts w:cs="Times New Roman" w:eastAsiaTheme="minorEastAsia"/>
        </w:rPr>
      </w:pPr>
      <w:r>
        <w:rPr>
          <w:rFonts w:cs="Times New Roman" w:eastAsiaTheme="minorEastAsia"/>
        </w:rPr>
        <w:t>（2）污染物排放标准</w:t>
      </w:r>
    </w:p>
    <w:p>
      <w:pPr>
        <w:ind w:firstLine="480"/>
        <w:rPr>
          <w:rFonts w:cs="Times New Roman" w:eastAsiaTheme="minorEastAsia"/>
        </w:rPr>
      </w:pPr>
      <w:r>
        <w:rPr>
          <w:rFonts w:cs="Times New Roman" w:eastAsiaTheme="minorEastAsia"/>
        </w:rPr>
        <w:t>工程仅施工期产生环境空气污染物，执行《大气污染物综合排放标准》(GB16297-1996)表2中的无组织排放监控浓度限值，TSP≤1.0mg/Nm</w:t>
      </w:r>
      <w:r>
        <w:rPr>
          <w:rFonts w:cs="Times New Roman" w:eastAsiaTheme="minorEastAsia"/>
          <w:vertAlign w:val="superscript"/>
        </w:rPr>
        <w:t>3</w:t>
      </w:r>
      <w:r>
        <w:rPr>
          <w:rFonts w:cs="Times New Roman" w:eastAsiaTheme="minorEastAsia"/>
        </w:rPr>
        <w:t>。</w:t>
      </w:r>
    </w:p>
    <w:p>
      <w:pPr>
        <w:pStyle w:val="4"/>
        <w:rPr>
          <w:rFonts w:cs="Times New Roman"/>
        </w:rPr>
      </w:pPr>
      <w:r>
        <w:rPr>
          <w:rFonts w:cs="Times New Roman"/>
        </w:rPr>
        <w:t>1.3.6 声环境</w:t>
      </w:r>
    </w:p>
    <w:p>
      <w:pPr>
        <w:ind w:firstLine="480"/>
        <w:rPr>
          <w:rFonts w:cs="Times New Roman" w:eastAsiaTheme="minorEastAsia"/>
        </w:rPr>
      </w:pPr>
      <w:r>
        <w:rPr>
          <w:rFonts w:cs="Times New Roman" w:eastAsiaTheme="minorEastAsia"/>
        </w:rPr>
        <w:t>（1）环境质量标准：代尔昆代水库位于山区，人烟稀少，无工矿企业及城镇，参照执行《声环境质量标准》（GB3096-2008）中的1类标准，昼间</w:t>
      </w:r>
      <w:r>
        <w:rPr>
          <w:rFonts w:hint="eastAsia" w:ascii="宋体" w:hAnsi="宋体" w:cs="宋体"/>
        </w:rPr>
        <w:t>≦</w:t>
      </w:r>
      <w:r>
        <w:rPr>
          <w:rFonts w:cs="Times New Roman" w:eastAsiaTheme="minorEastAsia"/>
        </w:rPr>
        <w:t>55dB（A）、夜间</w:t>
      </w:r>
      <w:r>
        <w:rPr>
          <w:rFonts w:hint="eastAsia" w:ascii="宋体" w:hAnsi="宋体" w:cs="宋体"/>
        </w:rPr>
        <w:t>≦</w:t>
      </w:r>
      <w:r>
        <w:rPr>
          <w:rFonts w:cs="Times New Roman" w:eastAsiaTheme="minorEastAsia"/>
        </w:rPr>
        <w:t>45dB（A）。</w:t>
      </w:r>
    </w:p>
    <w:p>
      <w:pPr>
        <w:ind w:firstLine="480"/>
        <w:rPr>
          <w:rFonts w:cs="Times New Roman" w:eastAsiaTheme="minorEastAsia"/>
        </w:rPr>
      </w:pPr>
      <w:r>
        <w:rPr>
          <w:rFonts w:cs="Times New Roman" w:eastAsiaTheme="minorEastAsia"/>
        </w:rPr>
        <w:t>（2）污染物排放标准：工程仅施工期产生噪声，执行《建筑施工场界环境噪声排放标准》(GB12523-2011)，昼间</w:t>
      </w:r>
      <w:r>
        <w:rPr>
          <w:rFonts w:hint="eastAsia" w:ascii="宋体" w:hAnsi="宋体" w:cs="宋体"/>
        </w:rPr>
        <w:t>≦</w:t>
      </w:r>
      <w:r>
        <w:rPr>
          <w:rFonts w:cs="Times New Roman" w:eastAsiaTheme="minorEastAsia"/>
        </w:rPr>
        <w:t>70dB(A)、夜间</w:t>
      </w:r>
      <w:r>
        <w:rPr>
          <w:rFonts w:hint="eastAsia" w:ascii="宋体" w:hAnsi="宋体" w:cs="宋体"/>
        </w:rPr>
        <w:t>≦</w:t>
      </w:r>
      <w:r>
        <w:rPr>
          <w:rFonts w:cs="Times New Roman" w:eastAsiaTheme="minorEastAsia"/>
        </w:rPr>
        <w:t>55dB(A)，夜间噪声最大声级超过限值的幅度不得高于15dB(A)。</w:t>
      </w:r>
    </w:p>
    <w:p>
      <w:pPr>
        <w:pStyle w:val="4"/>
        <w:rPr>
          <w:rFonts w:cs="Times New Roman"/>
        </w:rPr>
      </w:pPr>
      <w:r>
        <w:rPr>
          <w:rFonts w:cs="Times New Roman"/>
        </w:rPr>
        <w:t>1.3.7 固体废物</w:t>
      </w:r>
    </w:p>
    <w:p>
      <w:pPr>
        <w:ind w:firstLine="480"/>
        <w:rPr>
          <w:rFonts w:cs="Times New Roman"/>
        </w:rPr>
      </w:pPr>
      <w:r>
        <w:rPr>
          <w:rFonts w:cs="Times New Roman"/>
        </w:rPr>
        <w:t>一般工业固体废物执行《一般工业固体废物贮存和填埋污染控制标准》（GB18599-2020），危险废物执行《危险废物贮存污染物控制标准》（GB18597-2001）（2013年6月修改单）中相关要求。</w:t>
      </w:r>
    </w:p>
    <w:p>
      <w:pPr>
        <w:pStyle w:val="3"/>
        <w:jc w:val="both"/>
        <w:rPr>
          <w:rFonts w:cs="Times New Roman"/>
          <w:sz w:val="32"/>
        </w:rPr>
      </w:pPr>
      <w:bookmarkStart w:id="20" w:name="_Toc136263278"/>
      <w:bookmarkStart w:id="21" w:name="_Toc181381589"/>
      <w:r>
        <w:rPr>
          <w:rFonts w:cs="Times New Roman"/>
          <w:sz w:val="32"/>
        </w:rPr>
        <w:t>1.4 评价工作等级</w:t>
      </w:r>
      <w:bookmarkEnd w:id="20"/>
      <w:bookmarkEnd w:id="21"/>
    </w:p>
    <w:p>
      <w:pPr>
        <w:pStyle w:val="4"/>
        <w:rPr>
          <w:rFonts w:cs="Times New Roman"/>
        </w:rPr>
      </w:pPr>
      <w:r>
        <w:rPr>
          <w:rFonts w:cs="Times New Roman"/>
        </w:rPr>
        <w:t>1.4.1 地表水环境</w:t>
      </w:r>
    </w:p>
    <w:p>
      <w:pPr>
        <w:ind w:firstLine="480"/>
        <w:rPr>
          <w:rFonts w:cs="Times New Roman"/>
          <w:kern w:val="0"/>
          <w:szCs w:val="24"/>
        </w:rPr>
      </w:pPr>
      <w:bookmarkStart w:id="22" w:name="_Toc17210"/>
      <w:bookmarkStart w:id="23" w:name="_Toc469042324"/>
      <w:bookmarkStart w:id="24" w:name="_Toc17458"/>
      <w:bookmarkStart w:id="25" w:name="_Toc467697096"/>
      <w:bookmarkStart w:id="26" w:name="_Toc21418898"/>
      <w:bookmarkStart w:id="27" w:name="_Toc14427893"/>
      <w:bookmarkStart w:id="28" w:name="_Toc17352"/>
      <w:bookmarkStart w:id="29" w:name="_Toc27935364"/>
      <w:bookmarkStart w:id="30" w:name="_Toc458884606"/>
      <w:bookmarkStart w:id="31" w:name="_Toc73292710"/>
      <w:bookmarkStart w:id="32" w:name="_Toc73294026"/>
      <w:bookmarkStart w:id="33" w:name="_Toc511006316"/>
      <w:bookmarkStart w:id="34" w:name="_Toc17870"/>
      <w:r>
        <w:rPr>
          <w:rFonts w:cs="Times New Roman"/>
          <w:kern w:val="0"/>
          <w:szCs w:val="24"/>
        </w:rPr>
        <w:t>根据《环境影响评价技术导则 地表水环境》（HJ2.3-2018），本工程属于水文要素影响型建设项目。</w:t>
      </w:r>
    </w:p>
    <w:p>
      <w:pPr>
        <w:ind w:firstLine="480"/>
        <w:rPr>
          <w:rFonts w:cs="Times New Roman"/>
          <w:kern w:val="0"/>
          <w:szCs w:val="24"/>
        </w:rPr>
      </w:pPr>
      <w:r>
        <w:rPr>
          <w:rFonts w:cs="Times New Roman"/>
          <w:kern w:val="0"/>
          <w:szCs w:val="24"/>
        </w:rPr>
        <w:t>代尔昆代水库</w:t>
      </w:r>
      <w:r>
        <w:rPr>
          <w:rFonts w:cs="Times New Roman"/>
        </w:rPr>
        <w:t>建设的主要任务是灌溉季节用水高峰期为淖毛湖区域人、畜饮水及公益林灌溉补水</w:t>
      </w:r>
      <w:r>
        <w:rPr>
          <w:rFonts w:cs="Times New Roman"/>
          <w:kern w:val="0"/>
          <w:szCs w:val="24"/>
        </w:rPr>
        <w:t>；水库调度运行以及供水，不仅会造成库区水温结构变化，还</w:t>
      </w:r>
      <w:r>
        <w:rPr>
          <w:rFonts w:hint="eastAsia" w:cs="Times New Roman"/>
          <w:kern w:val="0"/>
          <w:szCs w:val="24"/>
          <w:lang w:eastAsia="zh-CN"/>
        </w:rPr>
        <w:t>将</w:t>
      </w:r>
      <w:r>
        <w:rPr>
          <w:rFonts w:cs="Times New Roman"/>
          <w:kern w:val="0"/>
          <w:szCs w:val="24"/>
        </w:rPr>
        <w:t>导致下游河段水量减少与河流水文情势的改变，以及河道沿程水温的变化。以下根据径流、水温等水文要素的影响情况，判定本次地表水环境评价等级，具体为：</w:t>
      </w:r>
    </w:p>
    <w:p>
      <w:pPr>
        <w:ind w:firstLine="480"/>
        <w:rPr>
          <w:rFonts w:cs="Times New Roman"/>
          <w:kern w:val="0"/>
          <w:szCs w:val="24"/>
        </w:rPr>
      </w:pPr>
      <w:r>
        <w:rPr>
          <w:rFonts w:cs="Times New Roman"/>
          <w:kern w:val="0"/>
          <w:szCs w:val="24"/>
        </w:rPr>
        <w:t>设计水平年2030年代尔昆代水库建成后，其年供水量为359.57万m</w:t>
      </w:r>
      <w:r>
        <w:rPr>
          <w:rFonts w:cs="Times New Roman"/>
          <w:kern w:val="0"/>
          <w:szCs w:val="24"/>
          <w:vertAlign w:val="superscript"/>
        </w:rPr>
        <w:t>3</w:t>
      </w:r>
      <w:r>
        <w:rPr>
          <w:rFonts w:cs="Times New Roman"/>
          <w:kern w:val="0"/>
          <w:szCs w:val="24"/>
        </w:rPr>
        <w:t>，占坝址断面多年平均天然入库径流量834万m</w:t>
      </w:r>
      <w:r>
        <w:rPr>
          <w:rFonts w:cs="Times New Roman"/>
          <w:kern w:val="0"/>
          <w:szCs w:val="24"/>
          <w:vertAlign w:val="superscript"/>
        </w:rPr>
        <w:t>3</w:t>
      </w:r>
      <w:r>
        <w:rPr>
          <w:rFonts w:cs="Times New Roman"/>
          <w:kern w:val="0"/>
          <w:szCs w:val="24"/>
        </w:rPr>
        <w:t>的43%，以径流取水比指标γ≥30%判定，地表水环境影响评价工作等级为一级；代尔昆代水库总库容296.68万m</w:t>
      </w:r>
      <w:r>
        <w:rPr>
          <w:rFonts w:cs="Times New Roman"/>
          <w:kern w:val="0"/>
          <w:szCs w:val="24"/>
          <w:vertAlign w:val="superscript"/>
        </w:rPr>
        <w:t>3</w:t>
      </w:r>
      <w:r>
        <w:rPr>
          <w:rFonts w:cs="Times New Roman"/>
          <w:kern w:val="0"/>
          <w:szCs w:val="24"/>
        </w:rPr>
        <w:t>，年均径流量与水库总库容的比值α为2.81，以水温影响指标α≤10判定，地表水环境影响评价工作等级为一级。</w:t>
      </w:r>
    </w:p>
    <w:p>
      <w:pPr>
        <w:ind w:firstLine="480"/>
        <w:rPr>
          <w:rFonts w:cs="Times New Roman"/>
          <w:kern w:val="0"/>
          <w:szCs w:val="24"/>
        </w:rPr>
      </w:pPr>
      <w:r>
        <w:rPr>
          <w:rFonts w:cs="Times New Roman"/>
          <w:kern w:val="0"/>
          <w:szCs w:val="24"/>
        </w:rPr>
        <w:t>代尔昆代郭勒河为发源于东天山末端喀尔里克山北坡的一条山溪性小河流，主要由季节性融雪水、基岩裂隙水及夏季降雨补给，由于补给源不稳定且补给量小，造成河流径流量较小（年均流量仅0.26 m</w:t>
      </w:r>
      <w:r>
        <w:rPr>
          <w:rFonts w:cs="Times New Roman"/>
          <w:kern w:val="0"/>
          <w:szCs w:val="24"/>
          <w:vertAlign w:val="superscript"/>
        </w:rPr>
        <w:t>3</w:t>
      </w:r>
      <w:r>
        <w:rPr>
          <w:rFonts w:cs="Times New Roman"/>
          <w:kern w:val="0"/>
          <w:szCs w:val="24"/>
        </w:rPr>
        <w:t>/s），加之河床覆盖层以第四系卵砾石为主，下渗严重，导致地表明流逐步下渗，最终完全转为地下水；通常情况下，代尔昆代郭勒河地表明流无法到达出山口断面，年内仅7、8两月地表明流流程最大，可接近出山口断面，其余月份地表明流流程向上游逐步缩短，冬季11月至次年4月上旬，受制于冰冻影响，河流完全封冻，无地表明流。洪水期，当代尔昆代郭勒河发生洪水时，地表明流可流出山口断面，但很快会消散于下马崖戈壁。</w:t>
      </w:r>
    </w:p>
    <w:p>
      <w:pPr>
        <w:ind w:firstLine="480"/>
        <w:rPr>
          <w:rFonts w:cs="Times New Roman"/>
          <w:kern w:val="0"/>
          <w:szCs w:val="24"/>
        </w:rPr>
      </w:pPr>
      <w:r>
        <w:rPr>
          <w:rFonts w:cs="Times New Roman"/>
          <w:kern w:val="0"/>
          <w:szCs w:val="24"/>
        </w:rPr>
        <w:t>代尔昆代水库坝址位于代尔昆代郭勒河出山口以上约6km河段处，经走访调查及现场实地查勘，水库坝址断面出现地表明流主要集中在7、8两月，其余月份地表明流基本退缩至坝址以上2～3km河段处。</w:t>
      </w:r>
    </w:p>
    <w:p>
      <w:pPr>
        <w:ind w:firstLine="480"/>
        <w:rPr>
          <w:rFonts w:cs="Times New Roman"/>
          <w:kern w:val="0"/>
          <w:szCs w:val="24"/>
        </w:rPr>
      </w:pPr>
      <w:r>
        <w:rPr>
          <w:rFonts w:cs="Times New Roman"/>
          <w:kern w:val="0"/>
          <w:szCs w:val="24"/>
        </w:rPr>
        <w:t>《环境影响评价技术导则 地表水环境》（HJ2.3-2018）规定，同时存在多个水文要素影响的建设项目，分别判定各水文要素影响评价等级，并取其中最高等级作为地表水环境评价工作等级。因此，本工程的地表水环境影响评价工作等级应定为一级。</w:t>
      </w:r>
    </w:p>
    <w:p>
      <w:pPr>
        <w:ind w:firstLine="480"/>
        <w:rPr>
          <w:rFonts w:cs="Times New Roman"/>
        </w:rPr>
      </w:pPr>
      <w:r>
        <w:rPr>
          <w:rFonts w:cs="Times New Roman"/>
          <w:kern w:val="0"/>
          <w:szCs w:val="24"/>
        </w:rPr>
        <w:t>代尔昆代郭勒河现状地表水资源无利用，亦无水利水电工程分布，河流地表径流处于天然状态。</w:t>
      </w:r>
      <w:r>
        <w:rPr>
          <w:rFonts w:cs="Times New Roman"/>
        </w:rPr>
        <w:t>工程影响范围内不涉及饮用水源保护区、重点保护与珍稀水生物栖息地、重要水生生物自然产卵场、自然保护区等保护目标，并</w:t>
      </w:r>
      <w:r>
        <w:rPr>
          <w:rFonts w:cs="Times New Roman"/>
          <w:kern w:val="0"/>
          <w:szCs w:val="24"/>
        </w:rPr>
        <w:t>基于前述径流及流程变化特点，本次地表水环境影响评价主要进行代尔昆代水库调蓄及供水引发的水库坝址断面流量变化、生态流量满足程度评价，简要分析库区及下泄水温的变化。</w:t>
      </w:r>
    </w:p>
    <w:bookmarkEnd w:id="22"/>
    <w:bookmarkEnd w:id="23"/>
    <w:bookmarkEnd w:id="24"/>
    <w:bookmarkEnd w:id="25"/>
    <w:bookmarkEnd w:id="26"/>
    <w:bookmarkEnd w:id="27"/>
    <w:bookmarkEnd w:id="28"/>
    <w:bookmarkEnd w:id="29"/>
    <w:bookmarkEnd w:id="30"/>
    <w:bookmarkEnd w:id="31"/>
    <w:bookmarkEnd w:id="32"/>
    <w:bookmarkEnd w:id="33"/>
    <w:bookmarkEnd w:id="34"/>
    <w:p>
      <w:pPr>
        <w:pStyle w:val="4"/>
        <w:rPr>
          <w:rFonts w:cs="Times New Roman"/>
        </w:rPr>
      </w:pPr>
      <w:r>
        <w:rPr>
          <w:rFonts w:cs="Times New Roman"/>
        </w:rPr>
        <w:t>1.4.2 地下水环境</w:t>
      </w:r>
    </w:p>
    <w:p>
      <w:pPr>
        <w:ind w:firstLine="480"/>
        <w:rPr>
          <w:rFonts w:cs="Times New Roman"/>
        </w:rPr>
      </w:pPr>
      <w:r>
        <w:rPr>
          <w:rFonts w:cs="Times New Roman"/>
        </w:rPr>
        <w:t>根据《环境影响评价技术导则 地下水环境》（HJ610-2016）附录A地下水环境影响评价行业分类表，本工程属于Ⅳ类建设项目。</w:t>
      </w:r>
    </w:p>
    <w:p>
      <w:pPr>
        <w:ind w:firstLine="480"/>
        <w:rPr>
          <w:rFonts w:cs="Times New Roman"/>
        </w:rPr>
      </w:pPr>
      <w:r>
        <w:rPr>
          <w:rFonts w:cs="Times New Roman"/>
        </w:rPr>
        <w:t>工程建设及影响区域无集中式地下水供水水源地及水源保护区，无特殊地下水资源保护区等环境敏感目标。两岸山体雄厚基岩裸露，库盆透水性弱，不存在大的永久性渗漏问题，也无浸没问题；水库蓄水对库区两岸地下水位的抬升作用有限，不会引发土壤盐渍化等次生水文地质问题。故地下水环境敏感程度为“不敏感”，据此，确定本工程地下水环境评价工作等级为三级。</w:t>
      </w:r>
    </w:p>
    <w:p>
      <w:pPr>
        <w:pStyle w:val="4"/>
        <w:rPr>
          <w:rFonts w:cs="Times New Roman"/>
        </w:rPr>
      </w:pPr>
      <w:r>
        <w:rPr>
          <w:rFonts w:cs="Times New Roman"/>
        </w:rPr>
        <w:t>1.4.3 生态环境</w:t>
      </w:r>
    </w:p>
    <w:p>
      <w:pPr>
        <w:ind w:firstLine="480"/>
        <w:rPr>
          <w:rFonts w:cs="Times New Roman" w:eastAsiaTheme="minorEastAsia"/>
        </w:rPr>
      </w:pPr>
      <w:r>
        <w:rPr>
          <w:rFonts w:cs="Times New Roman" w:eastAsiaTheme="minorEastAsia"/>
        </w:rPr>
        <w:t>代尔昆代水库工程位于代尔昆代郭勒河上游河段，工程建设运行</w:t>
      </w:r>
      <w:r>
        <w:rPr>
          <w:rFonts w:hint="eastAsia" w:cs="Times New Roman" w:eastAsiaTheme="minorEastAsia"/>
          <w:lang w:eastAsia="zh-CN"/>
        </w:rPr>
        <w:t>将</w:t>
      </w:r>
      <w:r>
        <w:rPr>
          <w:rFonts w:cs="Times New Roman" w:eastAsiaTheme="minorEastAsia"/>
        </w:rPr>
        <w:t>对项目所在区陆生生态、水生生态同时产生影响。根据《环境影响评价技术导则 生态影响》(HJ19-2022)6.1.4条要求，针对陆生生态、水生生态分别判定评价等级。</w:t>
      </w:r>
    </w:p>
    <w:p>
      <w:pPr>
        <w:pStyle w:val="62"/>
        <w:rPr>
          <w:rFonts w:cs="Times New Roman"/>
        </w:rPr>
      </w:pPr>
      <w:r>
        <w:rPr>
          <w:rFonts w:cs="Times New Roman"/>
        </w:rPr>
        <w:t>1.4.3.1 陆生生态</w:t>
      </w:r>
    </w:p>
    <w:p>
      <w:pPr>
        <w:ind w:firstLine="480"/>
        <w:rPr>
          <w:rFonts w:cs="Times New Roman" w:eastAsiaTheme="minorEastAsia"/>
        </w:rPr>
      </w:pPr>
      <w:r>
        <w:rPr>
          <w:rFonts w:cs="Times New Roman" w:eastAsiaTheme="minorEastAsia"/>
          <w:kern w:val="10"/>
          <w:szCs w:val="24"/>
        </w:rPr>
        <w:t>本项目占地及影响范围内不涉及国家公园、自然保护区、世界自然遗产、重要生境等自然保护地。经叠图分析，代尔昆代水库工程枢纽及淹没区位于东天山水源涵养与生物多样性维护生态保护红线区，淹没、占用红线区约9.35hm</w:t>
      </w:r>
      <w:r>
        <w:rPr>
          <w:rFonts w:cs="Times New Roman" w:eastAsiaTheme="minorEastAsia"/>
          <w:kern w:val="10"/>
          <w:szCs w:val="24"/>
          <w:vertAlign w:val="superscript"/>
        </w:rPr>
        <w:t>2</w:t>
      </w:r>
      <w:r>
        <w:rPr>
          <w:rFonts w:cs="Times New Roman" w:eastAsiaTheme="minorEastAsia"/>
          <w:kern w:val="10"/>
          <w:szCs w:val="24"/>
        </w:rPr>
        <w:t>。规划工程占地0.48km</w:t>
      </w:r>
      <w:r>
        <w:rPr>
          <w:rFonts w:cs="Times New Roman" w:eastAsiaTheme="minorEastAsia"/>
          <w:kern w:val="10"/>
          <w:szCs w:val="24"/>
          <w:vertAlign w:val="superscript"/>
        </w:rPr>
        <w:t>2</w:t>
      </w:r>
      <w:r>
        <w:rPr>
          <w:rFonts w:cs="Times New Roman" w:eastAsiaTheme="minorEastAsia"/>
          <w:kern w:val="10"/>
          <w:szCs w:val="24"/>
        </w:rPr>
        <w:t>，小于20km</w:t>
      </w:r>
      <w:r>
        <w:rPr>
          <w:rFonts w:cs="Times New Roman" w:eastAsiaTheme="minorEastAsia"/>
          <w:kern w:val="10"/>
          <w:szCs w:val="24"/>
          <w:vertAlign w:val="superscript"/>
        </w:rPr>
        <w:t>2</w:t>
      </w:r>
      <w:r>
        <w:rPr>
          <w:rFonts w:cs="Times New Roman" w:eastAsiaTheme="minorEastAsia"/>
          <w:kern w:val="10"/>
          <w:szCs w:val="24"/>
        </w:rPr>
        <w:t>。根据本工程涉及生态红线情况，生态环境评价应判定为二级。但由于本项目</w:t>
      </w:r>
      <w:r>
        <w:rPr>
          <w:rFonts w:hint="eastAsia" w:cs="Times New Roman" w:eastAsiaTheme="minorEastAsia"/>
          <w:kern w:val="10"/>
          <w:szCs w:val="24"/>
          <w:lang w:eastAsia="zh-CN"/>
        </w:rPr>
        <w:t>将</w:t>
      </w:r>
      <w:r>
        <w:rPr>
          <w:rFonts w:cs="Times New Roman" w:eastAsiaTheme="minorEastAsia"/>
          <w:kern w:val="10"/>
          <w:szCs w:val="24"/>
        </w:rPr>
        <w:t>修建堤坝，导致</w:t>
      </w:r>
      <w:r>
        <w:rPr>
          <w:rFonts w:cs="Times New Roman" w:eastAsiaTheme="minorEastAsia"/>
          <w:szCs w:val="24"/>
        </w:rPr>
        <w:t>坝下河段水文情势明显变化</w:t>
      </w:r>
      <w:r>
        <w:rPr>
          <w:rFonts w:cs="Times New Roman" w:eastAsiaTheme="minorEastAsia"/>
          <w:szCs w:val="24"/>
          <w:lang w:val="zh-CN"/>
        </w:rPr>
        <w:t>，评价等级应上调1级。依据《环境影响评价技术导则 生态影响》</w:t>
      </w:r>
      <w:r>
        <w:rPr>
          <w:rFonts w:cs="Times New Roman" w:eastAsiaTheme="minorEastAsia"/>
          <w:szCs w:val="24"/>
        </w:rPr>
        <w:t>(HJ19-2022)</w:t>
      </w:r>
      <w:r>
        <w:rPr>
          <w:rFonts w:cs="Times New Roman" w:eastAsiaTheme="minorEastAsia"/>
          <w:szCs w:val="24"/>
          <w:lang w:val="zh-CN"/>
        </w:rPr>
        <w:t>，确定本次生态环境评价等级为一级</w:t>
      </w:r>
      <w:r>
        <w:rPr>
          <w:rFonts w:cs="Times New Roman" w:eastAsiaTheme="minorEastAsia"/>
          <w:szCs w:val="24"/>
        </w:rPr>
        <w:t>。</w:t>
      </w:r>
    </w:p>
    <w:p>
      <w:pPr>
        <w:pStyle w:val="62"/>
        <w:rPr>
          <w:rFonts w:cs="Times New Roman"/>
        </w:rPr>
      </w:pPr>
      <w:r>
        <w:rPr>
          <w:rFonts w:cs="Times New Roman"/>
        </w:rPr>
        <w:t>1.4.3.2 水生生态</w:t>
      </w:r>
    </w:p>
    <w:p>
      <w:pPr>
        <w:ind w:firstLine="480"/>
        <w:rPr>
          <w:rFonts w:cs="Times New Roman"/>
        </w:rPr>
      </w:pPr>
      <w:r>
        <w:rPr>
          <w:rFonts w:cs="Times New Roman"/>
        </w:rPr>
        <w:t>代尔昆代郭勒河是发源于东天山末端喀尔里克山北坡的一条山溪性小河流，主要由季节性融雪水、基岩裂隙水及夏季降雨补给，地表明流流程并不稳定，11月至次年4月无地表明流，7、8两月地表明流流程较长约18km，可接近出山口断面，5月、6月、9月、10月地表明流向上游逐渐缩短，出山口断面年均流量0.26m</w:t>
      </w:r>
      <w:r>
        <w:rPr>
          <w:rFonts w:cs="Times New Roman"/>
          <w:vertAlign w:val="superscript"/>
        </w:rPr>
        <w:t>3</w:t>
      </w:r>
      <w:r>
        <w:rPr>
          <w:rFonts w:cs="Times New Roman"/>
        </w:rPr>
        <w:t>/s，总体而言代尔昆代郭勒地表明流流程短、流量小、水温低，由现场采样分析可知河流内浮游植物、浮游动物和底栖动物等水生生物种类和数量稀少，非适宜鱼类生境，两次现场调查、访谈调查、查阅资料均未发现鱼类资源。故代尔昆代水库工程水生生态影响，仅作简单分析。</w:t>
      </w:r>
    </w:p>
    <w:p>
      <w:pPr>
        <w:pStyle w:val="4"/>
        <w:rPr>
          <w:rFonts w:cs="Times New Roman"/>
        </w:rPr>
      </w:pPr>
      <w:r>
        <w:rPr>
          <w:rFonts w:cs="Times New Roman"/>
        </w:rPr>
        <w:t>1.4.4 土壤环境</w:t>
      </w:r>
    </w:p>
    <w:p>
      <w:pPr>
        <w:ind w:firstLine="480"/>
        <w:rPr>
          <w:rFonts w:cs="Times New Roman"/>
        </w:rPr>
      </w:pPr>
      <w:r>
        <w:rPr>
          <w:rFonts w:cs="Times New Roman"/>
        </w:rPr>
        <w:t>工程属于生态影响型建设项目，根据《环境影响评价技术导则 土壤环境（试行）》（HJ 964-2018），土壤环境影响敏感程度分级见表1.4-1。根据工程影响区土壤监测结果，pH值范围在5.5～8.5之间，土壤环境属“不敏感”。</w:t>
      </w:r>
    </w:p>
    <w:p>
      <w:pPr>
        <w:ind w:firstLine="480"/>
        <w:rPr>
          <w:rFonts w:cs="Times New Roman"/>
        </w:rPr>
      </w:pPr>
      <w:r>
        <w:rPr>
          <w:rFonts w:cs="Times New Roman"/>
        </w:rPr>
        <w:t>依据导则附录A项目类别划分标准，作为水电建设项目，属于生态影响型，行业类别为II类建设项目，施工区的砂石加工系统、混凝土拌和系统等，为Ⅳ类建设项目。</w:t>
      </w:r>
      <w:bookmarkStart w:id="35" w:name="_Hlk89438061"/>
      <w:r>
        <w:rPr>
          <w:rFonts w:cs="Times New Roman"/>
        </w:rPr>
        <w:t>依据导则工作等级划分规定（表1.4-2），工程区域位于山区，项目所在地土壤含盐量≤2g/kg，土壤pH值5.5～8.5，土壤环境敏感程度为“不敏感”，土壤环境评价工作等级确定为三级。</w:t>
      </w:r>
      <w:bookmarkEnd w:id="35"/>
    </w:p>
    <w:p>
      <w:pPr>
        <w:pStyle w:val="137"/>
        <w:spacing w:before="48"/>
      </w:pPr>
      <w:bookmarkStart w:id="36" w:name="_Hlk89437754"/>
      <w:r>
        <w:t>表1.4-1                生态影响型项目敏感程度分级表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5047"/>
        <w:gridCol w:w="1301"/>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blHeader/>
          <w:jc w:val="center"/>
        </w:trPr>
        <w:tc>
          <w:tcPr>
            <w:tcW w:w="1044" w:type="dxa"/>
            <w:vMerge w:val="restart"/>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敏感程度</w:t>
            </w:r>
          </w:p>
        </w:tc>
        <w:tc>
          <w:tcPr>
            <w:tcW w:w="7734" w:type="dxa"/>
            <w:gridSpan w:val="3"/>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p>
        </w:tc>
        <w:tc>
          <w:tcPr>
            <w:tcW w:w="5047"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盐化</w:t>
            </w:r>
          </w:p>
        </w:tc>
        <w:tc>
          <w:tcPr>
            <w:tcW w:w="130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酸化</w:t>
            </w:r>
          </w:p>
        </w:tc>
        <w:tc>
          <w:tcPr>
            <w:tcW w:w="1386"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敏感</w:t>
            </w:r>
          </w:p>
        </w:tc>
        <w:tc>
          <w:tcPr>
            <w:tcW w:w="5047"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建设项目所在地干燥度＞2.5且常年地下水位平均埋深＜1.5m的地势平坦区域；或土壤含盐量＞4g/kg的区域</w:t>
            </w:r>
          </w:p>
        </w:tc>
        <w:tc>
          <w:tcPr>
            <w:tcW w:w="130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pH≤4.5</w:t>
            </w:r>
          </w:p>
        </w:tc>
        <w:tc>
          <w:tcPr>
            <w:tcW w:w="1386"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较敏感</w:t>
            </w:r>
          </w:p>
        </w:tc>
        <w:tc>
          <w:tcPr>
            <w:tcW w:w="5047"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建设项目所在地干燥度＞2.5且常年地下水位埋深≥1.5m的，或1.8＜干燥度≤2.5且常年地下水位平均埋深＜1.8m的地势平坦区域；建设项目所在地干燥度＞2.5或常年地下水位平均埋深＜1.5m的平原区；或2g/kg＜土壤含盐量≤4 g/kg的区域</w:t>
            </w:r>
          </w:p>
        </w:tc>
        <w:tc>
          <w:tcPr>
            <w:tcW w:w="130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4.5＜pH≤5.5</w:t>
            </w:r>
          </w:p>
        </w:tc>
        <w:tc>
          <w:tcPr>
            <w:tcW w:w="1386"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8.5≤pH＜9.0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不敏感</w:t>
            </w:r>
          </w:p>
        </w:tc>
        <w:tc>
          <w:tcPr>
            <w:tcW w:w="5047"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其他</w:t>
            </w:r>
          </w:p>
        </w:tc>
        <w:tc>
          <w:tcPr>
            <w:tcW w:w="2687" w:type="dxa"/>
            <w:gridSpan w:val="2"/>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5.5＜pH＜8.5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8" w:type="dxa"/>
            <w:gridSpan w:val="4"/>
            <w:tcBorders>
              <w:top w:val="single" w:color="auto" w:sz="4" w:space="0"/>
              <w:left w:val="single" w:color="auto" w:sz="4" w:space="0"/>
              <w:bottom w:val="single" w:color="auto" w:sz="4" w:space="0"/>
              <w:right w:val="single" w:color="auto" w:sz="4" w:space="0"/>
            </w:tcBorders>
            <w:vAlign w:val="center"/>
          </w:tcPr>
          <w:p>
            <w:pPr>
              <w:pStyle w:val="66"/>
              <w:jc w:val="left"/>
              <w:rPr>
                <w:rFonts w:cs="Times New Roman"/>
                <w:sz w:val="18"/>
                <w:szCs w:val="18"/>
              </w:rPr>
            </w:pPr>
            <w:r>
              <w:rPr>
                <w:rFonts w:cs="Times New Roman"/>
                <w:sz w:val="18"/>
                <w:szCs w:val="18"/>
              </w:rPr>
              <w:t>干燥度是指采用E601观测的多年平均水面蒸发量与降水量的比值，即蒸降比值。</w:t>
            </w:r>
          </w:p>
        </w:tc>
      </w:tr>
      <w:bookmarkEnd w:id="36"/>
    </w:tbl>
    <w:p>
      <w:pPr>
        <w:spacing w:line="240" w:lineRule="auto"/>
        <w:ind w:firstLine="420"/>
        <w:rPr>
          <w:rFonts w:cs="Times New Roman"/>
          <w:sz w:val="21"/>
          <w:szCs w:val="21"/>
        </w:rPr>
      </w:pPr>
    </w:p>
    <w:p>
      <w:pPr>
        <w:pStyle w:val="137"/>
        <w:spacing w:before="48"/>
      </w:pPr>
      <w:bookmarkStart w:id="37" w:name="_Hlk89437701"/>
      <w:r>
        <w:t>表1.4-2               生态影响型评价工作等级划分表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9"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p>
        </w:tc>
        <w:tc>
          <w:tcPr>
            <w:tcW w:w="213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Ⅰ类</w:t>
            </w:r>
          </w:p>
        </w:tc>
        <w:tc>
          <w:tcPr>
            <w:tcW w:w="213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Ⅱ类</w:t>
            </w:r>
          </w:p>
        </w:tc>
        <w:tc>
          <w:tcPr>
            <w:tcW w:w="213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9"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敏感</w:t>
            </w:r>
          </w:p>
        </w:tc>
        <w:tc>
          <w:tcPr>
            <w:tcW w:w="213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一级</w:t>
            </w:r>
          </w:p>
        </w:tc>
        <w:tc>
          <w:tcPr>
            <w:tcW w:w="213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二级</w:t>
            </w:r>
          </w:p>
        </w:tc>
        <w:tc>
          <w:tcPr>
            <w:tcW w:w="213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9"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较敏感</w:t>
            </w:r>
          </w:p>
        </w:tc>
        <w:tc>
          <w:tcPr>
            <w:tcW w:w="213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二级</w:t>
            </w:r>
          </w:p>
        </w:tc>
        <w:tc>
          <w:tcPr>
            <w:tcW w:w="213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二级</w:t>
            </w:r>
          </w:p>
        </w:tc>
        <w:tc>
          <w:tcPr>
            <w:tcW w:w="213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9"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不敏感</w:t>
            </w:r>
          </w:p>
        </w:tc>
        <w:tc>
          <w:tcPr>
            <w:tcW w:w="2130"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二级</w:t>
            </w:r>
          </w:p>
        </w:tc>
        <w:tc>
          <w:tcPr>
            <w:tcW w:w="213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三级</w:t>
            </w:r>
          </w:p>
        </w:tc>
        <w:tc>
          <w:tcPr>
            <w:tcW w:w="2131" w:type="dxa"/>
            <w:tcBorders>
              <w:top w:val="single" w:color="auto" w:sz="4" w:space="0"/>
              <w:left w:val="single" w:color="auto" w:sz="4" w:space="0"/>
              <w:bottom w:val="single" w:color="auto" w:sz="4" w:space="0"/>
              <w:right w:val="single" w:color="auto" w:sz="4" w:space="0"/>
            </w:tcBorders>
            <w:vAlign w:val="center"/>
          </w:tcPr>
          <w:p>
            <w:pPr>
              <w:pStyle w:val="66"/>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1" w:type="dxa"/>
            <w:gridSpan w:val="4"/>
            <w:tcBorders>
              <w:top w:val="single" w:color="auto" w:sz="4" w:space="0"/>
              <w:left w:val="single" w:color="auto" w:sz="4" w:space="0"/>
              <w:bottom w:val="single" w:color="auto" w:sz="4" w:space="0"/>
              <w:right w:val="single" w:color="auto" w:sz="4" w:space="0"/>
            </w:tcBorders>
            <w:vAlign w:val="center"/>
          </w:tcPr>
          <w:p>
            <w:pPr>
              <w:pStyle w:val="66"/>
              <w:jc w:val="left"/>
              <w:rPr>
                <w:rFonts w:cs="Times New Roman"/>
                <w:sz w:val="18"/>
                <w:szCs w:val="18"/>
              </w:rPr>
            </w:pPr>
            <w:r>
              <w:rPr>
                <w:rFonts w:cs="Times New Roman"/>
                <w:sz w:val="18"/>
                <w:szCs w:val="18"/>
              </w:rPr>
              <w:t>注：“-”表示可不开展土壤环境影响评价工作。</w:t>
            </w:r>
          </w:p>
        </w:tc>
      </w:tr>
      <w:bookmarkEnd w:id="37"/>
    </w:tbl>
    <w:p>
      <w:pPr>
        <w:spacing w:line="240" w:lineRule="auto"/>
        <w:ind w:firstLine="420"/>
        <w:rPr>
          <w:rFonts w:cs="Times New Roman"/>
          <w:sz w:val="21"/>
          <w:szCs w:val="21"/>
        </w:rPr>
      </w:pPr>
    </w:p>
    <w:p>
      <w:pPr>
        <w:pStyle w:val="4"/>
        <w:rPr>
          <w:rFonts w:cs="Times New Roman"/>
        </w:rPr>
      </w:pPr>
      <w:r>
        <w:rPr>
          <w:rFonts w:cs="Times New Roman"/>
        </w:rPr>
        <w:t>1.4.5环境空气</w:t>
      </w:r>
    </w:p>
    <w:p>
      <w:pPr>
        <w:ind w:firstLine="480"/>
        <w:rPr>
          <w:rFonts w:cs="Times New Roman"/>
        </w:rPr>
      </w:pPr>
      <w:r>
        <w:rPr>
          <w:rFonts w:cs="Times New Roman"/>
        </w:rPr>
        <w:t>代尔昆代水库地处山区河段，人烟稀少，无环境空气敏感点分布。运行期无环境空气污染物排放。工程建设对环境空气的影响主要发生在施工期，包括燃油机械运行产生的NOx、施工开挖和岩体爆破产生的粉尘，以及车辆运输产生的尾气和扬尘等。根据《环境影响评价技术导则大气环境》（HJ2.2-2018）中估算模式计算结果，工程施工无组织排放的TSP、NO</w:t>
      </w:r>
      <w:r>
        <w:rPr>
          <w:rFonts w:cs="Times New Roman"/>
          <w:vertAlign w:val="subscript"/>
        </w:rPr>
        <w:t>x</w:t>
      </w:r>
      <w:r>
        <w:rPr>
          <w:rFonts w:cs="Times New Roman"/>
        </w:rPr>
        <w:t>最大落地浓度占标率均＜1%，且施工期结束后影响消失。据此，确定工程环境空气影响评价工作等级为三级。</w:t>
      </w:r>
    </w:p>
    <w:p>
      <w:pPr>
        <w:pStyle w:val="4"/>
        <w:rPr>
          <w:rFonts w:cs="Times New Roman"/>
        </w:rPr>
      </w:pPr>
      <w:r>
        <w:rPr>
          <w:rFonts w:cs="Times New Roman"/>
        </w:rPr>
        <w:t>1.4.6声环境</w:t>
      </w:r>
    </w:p>
    <w:p>
      <w:pPr>
        <w:ind w:firstLine="480"/>
        <w:rPr>
          <w:rFonts w:cs="Times New Roman" w:eastAsiaTheme="minorEastAsia"/>
        </w:rPr>
      </w:pPr>
      <w:r>
        <w:rPr>
          <w:rFonts w:cs="Times New Roman" w:eastAsiaTheme="minorEastAsia"/>
        </w:rPr>
        <w:t>代尔昆代水库所处区域声环境质量功能区参照1类区，依据《环境影响评价技术导则声环境》(HJT2.4-2021)，声环境影响评价工作等级应为二级。</w:t>
      </w:r>
    </w:p>
    <w:p>
      <w:pPr>
        <w:ind w:firstLine="480"/>
        <w:rPr>
          <w:rFonts w:cs="Times New Roman" w:eastAsiaTheme="minorEastAsia"/>
        </w:rPr>
      </w:pPr>
      <w:r>
        <w:rPr>
          <w:rFonts w:cs="Times New Roman" w:eastAsiaTheme="minorEastAsia"/>
        </w:rPr>
        <w:t>由于工程区人烟稀少，无声环境敏感点分布。工程施工期噪声源主要为各类机械车辆施工噪声，施工结束后随即消失；运行期间基本无噪声源，因此，运行期声环境不作评价。故本次评价</w:t>
      </w:r>
      <w:r>
        <w:rPr>
          <w:rFonts w:hint="eastAsia" w:cs="Times New Roman" w:eastAsiaTheme="minorEastAsia"/>
          <w:lang w:eastAsia="zh-CN"/>
        </w:rPr>
        <w:t>将</w:t>
      </w:r>
      <w:r>
        <w:rPr>
          <w:rFonts w:cs="Times New Roman" w:eastAsiaTheme="minorEastAsia"/>
        </w:rPr>
        <w:t>声环境评价等级调整为三级。</w:t>
      </w:r>
    </w:p>
    <w:p>
      <w:pPr>
        <w:ind w:firstLine="480"/>
        <w:rPr>
          <w:rFonts w:cs="Times New Roman" w:eastAsiaTheme="minorEastAsia"/>
        </w:rPr>
      </w:pPr>
    </w:p>
    <w:p>
      <w:pPr>
        <w:pStyle w:val="3"/>
        <w:rPr>
          <w:rFonts w:cs="Times New Roman"/>
        </w:rPr>
      </w:pPr>
      <w:bookmarkStart w:id="38" w:name="_Toc136263279"/>
      <w:bookmarkStart w:id="39" w:name="_Toc181381590"/>
      <w:r>
        <w:rPr>
          <w:rFonts w:cs="Times New Roman"/>
        </w:rPr>
        <w:t>1.5 评价范围</w:t>
      </w:r>
      <w:bookmarkEnd w:id="38"/>
      <w:bookmarkEnd w:id="39"/>
    </w:p>
    <w:p>
      <w:pPr>
        <w:pStyle w:val="4"/>
        <w:rPr>
          <w:rFonts w:cs="Times New Roman"/>
        </w:rPr>
      </w:pPr>
      <w:r>
        <w:rPr>
          <w:rFonts w:cs="Times New Roman"/>
        </w:rPr>
        <w:t>1.5.1 区域水资源配置评价范围</w:t>
      </w:r>
    </w:p>
    <w:p>
      <w:pPr>
        <w:ind w:firstLine="480"/>
        <w:rPr>
          <w:rFonts w:cs="Times New Roman"/>
        </w:rPr>
      </w:pPr>
      <w:r>
        <w:rPr>
          <w:rFonts w:cs="Times New Roman"/>
        </w:rPr>
        <w:t>代尔昆代水库工程向伊吾县淖毛湖镇的10万居民、3万流动人口、6.3万头牲畜</w:t>
      </w:r>
      <w:r>
        <w:rPr>
          <w:rFonts w:hint="eastAsia" w:cs="Times New Roman"/>
          <w:lang w:eastAsia="zh-CN"/>
        </w:rPr>
        <w:t>以及</w:t>
      </w:r>
      <w:r>
        <w:rPr>
          <w:rFonts w:cs="Times New Roman"/>
        </w:rPr>
        <w:t>0.47万亩公益林进行供水，以减少淖毛湖区域地下水开采量，解决区域存在的水资源问题。</w:t>
      </w:r>
    </w:p>
    <w:p>
      <w:pPr>
        <w:ind w:firstLine="480"/>
        <w:rPr>
          <w:rFonts w:cs="Times New Roman"/>
          <w:bCs/>
        </w:rPr>
      </w:pPr>
      <w:r>
        <w:rPr>
          <w:rFonts w:cs="Times New Roman"/>
        </w:rPr>
        <w:t>代尔昆代水库工程实施后</w:t>
      </w:r>
      <w:r>
        <w:rPr>
          <w:rFonts w:hint="eastAsia" w:cs="Times New Roman"/>
          <w:lang w:eastAsia="zh-CN"/>
        </w:rPr>
        <w:t>将</w:t>
      </w:r>
      <w:r>
        <w:rPr>
          <w:rFonts w:cs="Times New Roman"/>
        </w:rPr>
        <w:t>引发淖毛湖区域水资源配置变化，故水资源评价范围为伊吾县淖毛湖镇。</w:t>
      </w:r>
    </w:p>
    <w:p>
      <w:pPr>
        <w:pStyle w:val="4"/>
        <w:rPr>
          <w:rFonts w:cs="Times New Roman"/>
        </w:rPr>
      </w:pPr>
      <w:r>
        <w:rPr>
          <w:rFonts w:cs="Times New Roman"/>
        </w:rPr>
        <w:t>1.5.2 水文情势评价范围</w:t>
      </w:r>
    </w:p>
    <w:p>
      <w:pPr>
        <w:ind w:firstLine="480"/>
        <w:rPr>
          <w:rFonts w:cs="Times New Roman"/>
          <w:bCs/>
          <w:lang w:val="zh-CN"/>
        </w:rPr>
      </w:pPr>
      <w:r>
        <w:rPr>
          <w:rFonts w:cs="Times New Roman"/>
          <w:lang w:val="zh-CN"/>
        </w:rPr>
        <w:t>代尔昆代水库，建设任务为供水，总库容296.68万m</w:t>
      </w:r>
      <w:r>
        <w:rPr>
          <w:rFonts w:cs="Times New Roman"/>
          <w:vertAlign w:val="superscript"/>
          <w:lang w:val="zh-CN"/>
        </w:rPr>
        <w:t>3</w:t>
      </w:r>
      <w:r>
        <w:rPr>
          <w:rFonts w:cs="Times New Roman"/>
          <w:lang w:val="zh-CN"/>
        </w:rPr>
        <w:t>、兴利库容226.97万m</w:t>
      </w:r>
      <w:r>
        <w:rPr>
          <w:rFonts w:cs="Times New Roman"/>
          <w:vertAlign w:val="superscript"/>
          <w:lang w:val="zh-CN"/>
        </w:rPr>
        <w:t>3</w:t>
      </w:r>
      <w:r>
        <w:rPr>
          <w:rFonts w:cs="Times New Roman"/>
          <w:lang w:val="zh-CN"/>
        </w:rPr>
        <w:t>，具有不完全多年调节能力，作为代尔昆代郭勒河唯一水利工程，工程运行</w:t>
      </w:r>
      <w:r>
        <w:rPr>
          <w:rFonts w:hint="eastAsia" w:cs="Times New Roman"/>
          <w:lang w:val="zh-CN"/>
        </w:rPr>
        <w:t>将</w:t>
      </w:r>
      <w:r>
        <w:rPr>
          <w:rFonts w:cs="Times New Roman"/>
          <w:lang w:val="zh-CN"/>
        </w:rPr>
        <w:t>改变坝址上游1.46km淹没河段以及坝址下游减水河段水文情势，考虑到代尔昆代郭勒河出山口以下几乎无地表明流，减水河段仅考虑坝址至出山口间6.5km河段，因此本次水文情势评价范围为库尾至出山口间7.96km河段。</w:t>
      </w:r>
    </w:p>
    <w:p>
      <w:pPr>
        <w:pStyle w:val="4"/>
        <w:rPr>
          <w:rFonts w:cs="Times New Roman"/>
        </w:rPr>
      </w:pPr>
      <w:r>
        <w:rPr>
          <w:rFonts w:cs="Times New Roman"/>
        </w:rPr>
        <w:t>1.5.3 地表水环境评价范围</w:t>
      </w:r>
    </w:p>
    <w:p>
      <w:pPr>
        <w:ind w:firstLine="480"/>
        <w:rPr>
          <w:rFonts w:cs="Times New Roman"/>
        </w:rPr>
      </w:pPr>
      <w:r>
        <w:rPr>
          <w:rFonts w:cs="Times New Roman"/>
        </w:rPr>
        <w:t>工程建成后，河流水质变化主要取决于水文情势及入河污染源变化，地表水水质评价范围同水文情势评价范围。</w:t>
      </w:r>
    </w:p>
    <w:p>
      <w:pPr>
        <w:pStyle w:val="4"/>
        <w:rPr>
          <w:rFonts w:cs="Times New Roman"/>
        </w:rPr>
      </w:pPr>
      <w:r>
        <w:rPr>
          <w:rFonts w:cs="Times New Roman"/>
        </w:rPr>
        <w:t>1.5.4 地下水环境评价范围</w:t>
      </w:r>
    </w:p>
    <w:p>
      <w:pPr>
        <w:ind w:firstLine="480"/>
        <w:rPr>
          <w:rFonts w:cs="Times New Roman"/>
        </w:rPr>
      </w:pPr>
      <w:r>
        <w:rPr>
          <w:rFonts w:cs="Times New Roman"/>
        </w:rPr>
        <w:t>根据代尔昆代水库工程影响区域水文地质条件、工程建设对地下水环境的影响特征，确定地下水评价范围包括代尔昆代水库库区周围500m范围、导流放水隧洞两侧200m范围，以及坝址下游6.5km减水河段两侧500m范围，下马崖乡周围泉水溢出带。</w:t>
      </w:r>
    </w:p>
    <w:p>
      <w:pPr>
        <w:pStyle w:val="4"/>
        <w:rPr>
          <w:rFonts w:cs="Times New Roman"/>
        </w:rPr>
      </w:pPr>
      <w:r>
        <w:rPr>
          <w:rFonts w:cs="Times New Roman"/>
        </w:rPr>
        <w:t>1.5.4 生态环境评价范围</w:t>
      </w:r>
    </w:p>
    <w:p>
      <w:pPr>
        <w:pStyle w:val="62"/>
        <w:rPr>
          <w:rFonts w:cs="Times New Roman"/>
        </w:rPr>
      </w:pPr>
      <w:r>
        <w:rPr>
          <w:rFonts w:cs="Times New Roman"/>
        </w:rPr>
        <w:t>1.5.4.1 陆生生态</w:t>
      </w:r>
    </w:p>
    <w:p>
      <w:pPr>
        <w:tabs>
          <w:tab w:val="right" w:leader="dot" w:pos="8302"/>
        </w:tabs>
        <w:ind w:firstLine="484" w:firstLineChars="202"/>
        <w:rPr>
          <w:rFonts w:cs="Times New Roman" w:eastAsiaTheme="minorEastAsia"/>
          <w:szCs w:val="24"/>
        </w:rPr>
      </w:pPr>
      <w:r>
        <w:rPr>
          <w:rFonts w:cs="Times New Roman" w:eastAsiaTheme="minorEastAsia"/>
          <w:szCs w:val="24"/>
        </w:rPr>
        <w:t>（1）生态系统结构与功能评价范围</w:t>
      </w:r>
    </w:p>
    <w:p>
      <w:pPr>
        <w:tabs>
          <w:tab w:val="right" w:leader="dot" w:pos="8302"/>
        </w:tabs>
        <w:ind w:firstLine="484" w:firstLineChars="202"/>
        <w:rPr>
          <w:rFonts w:cs="Times New Roman" w:eastAsiaTheme="minorEastAsia"/>
          <w:szCs w:val="24"/>
        </w:rPr>
      </w:pPr>
      <w:r>
        <w:rPr>
          <w:rFonts w:cs="Times New Roman" w:eastAsiaTheme="minorEastAsia"/>
          <w:szCs w:val="24"/>
        </w:rPr>
        <w:t>根据工程总体布置方案，考虑生态完整性要求，生态系统结构与功能评价范围确定为：西以代尔昆代水库淹没回水末端为界，东至下马崖水库，南北以代尔昆代郭勒河两侧各2km为界，主要包括淹没区、主体工程占地区、工程施工区及下游影响河段段区等，评价区面积共计170.97km</w:t>
      </w:r>
      <w:r>
        <w:rPr>
          <w:rFonts w:cs="Times New Roman" w:eastAsiaTheme="minorEastAsia"/>
          <w:szCs w:val="24"/>
          <w:vertAlign w:val="superscript"/>
        </w:rPr>
        <w:t>2</w:t>
      </w:r>
      <w:r>
        <w:rPr>
          <w:rFonts w:cs="Times New Roman" w:eastAsiaTheme="minorEastAsia"/>
          <w:szCs w:val="24"/>
        </w:rPr>
        <w:t>。</w:t>
      </w:r>
    </w:p>
    <w:p>
      <w:pPr>
        <w:tabs>
          <w:tab w:val="right" w:leader="dot" w:pos="8302"/>
        </w:tabs>
        <w:ind w:firstLine="484" w:firstLineChars="202"/>
        <w:rPr>
          <w:rFonts w:cs="Times New Roman" w:eastAsiaTheme="minorEastAsia"/>
          <w:szCs w:val="24"/>
        </w:rPr>
      </w:pPr>
      <w:r>
        <w:rPr>
          <w:rFonts w:cs="Times New Roman" w:eastAsiaTheme="minorEastAsia"/>
          <w:szCs w:val="24"/>
        </w:rPr>
        <w:t>（2）敏感生态问题评价范围</w:t>
      </w:r>
    </w:p>
    <w:p>
      <w:pPr>
        <w:tabs>
          <w:tab w:val="right" w:leader="dot" w:pos="8302"/>
        </w:tabs>
        <w:ind w:firstLine="484" w:firstLineChars="202"/>
        <w:rPr>
          <w:rFonts w:cs="Times New Roman" w:eastAsiaTheme="minorEastAsia"/>
          <w:szCs w:val="24"/>
        </w:rPr>
      </w:pPr>
      <w:r>
        <w:rPr>
          <w:rFonts w:cs="Times New Roman" w:eastAsiaTheme="minorEastAsia"/>
          <w:szCs w:val="24"/>
        </w:rPr>
        <w:fldChar w:fldCharType="begin"/>
      </w:r>
      <w:r>
        <w:rPr>
          <w:rFonts w:cs="Times New Roman" w:eastAsiaTheme="minorEastAsia"/>
          <w:szCs w:val="24"/>
        </w:rPr>
        <w:instrText xml:space="preserve"> = 1 \* GB3 </w:instrText>
      </w:r>
      <w:r>
        <w:rPr>
          <w:rFonts w:cs="Times New Roman" w:eastAsiaTheme="minorEastAsia"/>
          <w:szCs w:val="24"/>
        </w:rPr>
        <w:fldChar w:fldCharType="separate"/>
      </w:r>
      <w:r>
        <w:rPr>
          <w:rFonts w:hint="eastAsia" w:ascii="宋体" w:hAnsi="宋体" w:cs="宋体"/>
          <w:szCs w:val="24"/>
        </w:rPr>
        <w:t>①</w:t>
      </w:r>
      <w:r>
        <w:rPr>
          <w:rFonts w:cs="Times New Roman" w:eastAsiaTheme="minorEastAsia"/>
          <w:szCs w:val="24"/>
        </w:rPr>
        <w:fldChar w:fldCharType="end"/>
      </w:r>
      <w:r>
        <w:rPr>
          <w:rFonts w:cs="Times New Roman" w:eastAsiaTheme="minorEastAsia"/>
          <w:szCs w:val="24"/>
        </w:rPr>
        <w:t>生态红线评价范围：工程淹没占地区涉及东天山水源涵养与生物多样性维护生态保护红线区，评价区范围内分布生态红线面积10.75km</w:t>
      </w:r>
      <w:r>
        <w:rPr>
          <w:rFonts w:cs="Times New Roman" w:eastAsiaTheme="minorEastAsia"/>
          <w:szCs w:val="24"/>
          <w:vertAlign w:val="superscript"/>
        </w:rPr>
        <w:t>2</w:t>
      </w:r>
      <w:r>
        <w:rPr>
          <w:rFonts w:cs="Times New Roman" w:eastAsiaTheme="minorEastAsia"/>
          <w:szCs w:val="24"/>
        </w:rPr>
        <w:t>。</w:t>
      </w:r>
    </w:p>
    <w:p>
      <w:pPr>
        <w:tabs>
          <w:tab w:val="right" w:leader="dot" w:pos="8302"/>
        </w:tabs>
        <w:ind w:firstLine="484" w:firstLineChars="202"/>
        <w:rPr>
          <w:rFonts w:cs="Times New Roman" w:eastAsiaTheme="minorEastAsia"/>
        </w:rPr>
      </w:pPr>
      <w:r>
        <w:rPr>
          <w:rFonts w:cs="Times New Roman" w:eastAsiaTheme="minorEastAsia"/>
          <w:szCs w:val="24"/>
        </w:rPr>
        <w:fldChar w:fldCharType="begin"/>
      </w:r>
      <w:r>
        <w:rPr>
          <w:rFonts w:cs="Times New Roman" w:eastAsiaTheme="minorEastAsia"/>
          <w:szCs w:val="24"/>
        </w:rPr>
        <w:instrText xml:space="preserve"> = 2 \* GB3 </w:instrText>
      </w:r>
      <w:r>
        <w:rPr>
          <w:rFonts w:cs="Times New Roman" w:eastAsiaTheme="minorEastAsia"/>
          <w:szCs w:val="24"/>
        </w:rPr>
        <w:fldChar w:fldCharType="separate"/>
      </w:r>
      <w:r>
        <w:rPr>
          <w:rFonts w:hint="eastAsia" w:ascii="宋体" w:hAnsi="宋体" w:cs="宋体"/>
          <w:szCs w:val="24"/>
        </w:rPr>
        <w:t>②</w:t>
      </w:r>
      <w:r>
        <w:rPr>
          <w:rFonts w:cs="Times New Roman" w:eastAsiaTheme="minorEastAsia"/>
          <w:szCs w:val="24"/>
        </w:rPr>
        <w:fldChar w:fldCharType="end"/>
      </w:r>
      <w:r>
        <w:rPr>
          <w:rFonts w:cs="Times New Roman" w:eastAsiaTheme="minorEastAsia"/>
          <w:szCs w:val="24"/>
        </w:rPr>
        <w:t>现有生态问题评价范围：工程所处区域的现有生态问题为由于过牧造成的山区草场退化问题，现有生态问题评价范围与生态系统结构与功能评价范围一致。</w:t>
      </w:r>
    </w:p>
    <w:p>
      <w:pPr>
        <w:pStyle w:val="62"/>
        <w:rPr>
          <w:rFonts w:cs="Times New Roman"/>
        </w:rPr>
      </w:pPr>
      <w:r>
        <w:rPr>
          <w:rFonts w:cs="Times New Roman"/>
        </w:rPr>
        <w:t>1.5.4.2 水生生态</w:t>
      </w:r>
    </w:p>
    <w:p>
      <w:pPr>
        <w:ind w:firstLine="480"/>
        <w:rPr>
          <w:rFonts w:cs="Times New Roman"/>
        </w:rPr>
      </w:pPr>
      <w:r>
        <w:rPr>
          <w:rFonts w:cs="Times New Roman"/>
        </w:rPr>
        <w:t>水生生态简单分析不再设置评价范围。</w:t>
      </w:r>
    </w:p>
    <w:p>
      <w:pPr>
        <w:pStyle w:val="4"/>
        <w:rPr>
          <w:rFonts w:cs="Times New Roman"/>
        </w:rPr>
      </w:pPr>
      <w:r>
        <w:rPr>
          <w:rFonts w:cs="Times New Roman"/>
        </w:rPr>
        <w:t>1.5.5 土壤环境评价范围</w:t>
      </w:r>
    </w:p>
    <w:p>
      <w:pPr>
        <w:ind w:firstLine="480"/>
        <w:rPr>
          <w:rFonts w:cs="Times New Roman"/>
        </w:rPr>
      </w:pPr>
      <w:r>
        <w:rPr>
          <w:rFonts w:cs="Times New Roman"/>
        </w:rPr>
        <w:t>工程枢纽及施工占地范围、水库淹没范围及其周边1km内。</w:t>
      </w:r>
    </w:p>
    <w:p>
      <w:pPr>
        <w:pStyle w:val="4"/>
        <w:rPr>
          <w:rFonts w:cs="Times New Roman"/>
        </w:rPr>
      </w:pPr>
      <w:r>
        <w:rPr>
          <w:rFonts w:cs="Times New Roman"/>
        </w:rPr>
        <w:t>1.5.6 环境空气评价范围</w:t>
      </w:r>
    </w:p>
    <w:p>
      <w:pPr>
        <w:ind w:firstLine="480"/>
        <w:rPr>
          <w:rFonts w:cs="Times New Roman"/>
        </w:rPr>
      </w:pPr>
      <w:r>
        <w:rPr>
          <w:rFonts w:cs="Times New Roman"/>
        </w:rPr>
        <w:t>根据《环境影响评价技术导则大气环境》(HJ2.2-2018)，本工程大气环境影响评价工作等级为三级，不需设置评价范围。结合水利工程大气污染以扬尘为主、易于沉降的特点，主要关注各施工工区边界以外200m、施工运输道路两侧200m，以及料场、渣场周边200m范围内的环境空气影响。</w:t>
      </w:r>
    </w:p>
    <w:p>
      <w:pPr>
        <w:pStyle w:val="4"/>
        <w:rPr>
          <w:rFonts w:cs="Times New Roman"/>
        </w:rPr>
      </w:pPr>
      <w:r>
        <w:rPr>
          <w:rFonts w:cs="Times New Roman"/>
        </w:rPr>
        <w:t>1.5.7 声环境评价范围</w:t>
      </w:r>
    </w:p>
    <w:p>
      <w:pPr>
        <w:ind w:firstLine="480"/>
        <w:rPr>
          <w:rFonts w:cs="Times New Roman"/>
        </w:rPr>
      </w:pPr>
      <w:r>
        <w:rPr>
          <w:rFonts w:cs="Times New Roman"/>
        </w:rPr>
        <w:t>由于工程所在河段附近无居民点等敏感点目标，声环境评价范围为施工营地、施工生产区、渣场边界外延伸200m范围，涉及施工道路的以道路中心线外两侧200m以内为评价范围。</w:t>
      </w:r>
    </w:p>
    <w:p>
      <w:pPr>
        <w:pStyle w:val="4"/>
        <w:rPr>
          <w:rFonts w:cs="Times New Roman"/>
        </w:rPr>
      </w:pPr>
      <w:r>
        <w:rPr>
          <w:rFonts w:cs="Times New Roman"/>
        </w:rPr>
        <w:t>1.5.8 移民安置评价范围</w:t>
      </w:r>
    </w:p>
    <w:p>
      <w:pPr>
        <w:ind w:firstLine="480"/>
        <w:rPr>
          <w:rFonts w:cs="Times New Roman"/>
          <w:color w:val="C00000"/>
        </w:rPr>
      </w:pPr>
      <w:r>
        <w:rPr>
          <w:rFonts w:cs="Times New Roman"/>
        </w:rPr>
        <w:t>本工程建设征地区不涉及人口、房屋、耕（园）地，亦不涉探矿权等专项设施复建</w:t>
      </w:r>
      <w:r>
        <w:rPr>
          <w:rFonts w:hint="eastAsia" w:cs="Times New Roman"/>
        </w:rPr>
        <w:t>、</w:t>
      </w:r>
      <w:r>
        <w:rPr>
          <w:rFonts w:hint="eastAsia" w:cs="Times New Roman"/>
          <w:color w:val="C00000"/>
        </w:rPr>
        <w:t>占用废弃羊圈1处（占地面积3</w:t>
      </w:r>
      <w:r>
        <w:rPr>
          <w:rFonts w:cs="Times New Roman"/>
          <w:color w:val="C00000"/>
        </w:rPr>
        <w:t>00</w:t>
      </w:r>
      <w:r>
        <w:rPr>
          <w:rFonts w:hint="eastAsia" w:cs="Times New Roman"/>
          <w:color w:val="C00000"/>
        </w:rPr>
        <w:t>m</w:t>
      </w:r>
      <w:r>
        <w:rPr>
          <w:rFonts w:cs="Times New Roman"/>
          <w:color w:val="C00000"/>
          <w:vertAlign w:val="superscript"/>
        </w:rPr>
        <w:t>2</w:t>
      </w:r>
      <w:r>
        <w:rPr>
          <w:rFonts w:hint="eastAsia" w:cs="Times New Roman"/>
          <w:color w:val="C00000"/>
        </w:rPr>
        <w:t>）及古代石围墓（年代不详）2处；</w:t>
      </w:r>
      <w:r>
        <w:rPr>
          <w:rFonts w:cs="Times New Roman"/>
        </w:rPr>
        <w:t>工程占地区均为天然草地，不涉及生活、生产及专项设施安置</w:t>
      </w:r>
      <w:r>
        <w:rPr>
          <w:rFonts w:hint="eastAsia" w:cs="Times New Roman"/>
        </w:rPr>
        <w:t>，</w:t>
      </w:r>
      <w:r>
        <w:rPr>
          <w:rFonts w:hint="eastAsia" w:cs="Times New Roman"/>
          <w:color w:val="C00000"/>
        </w:rPr>
        <w:t>废弃羊圈及古代围墓采用一次性货币补偿的方式进行安置。</w:t>
      </w:r>
    </w:p>
    <w:p>
      <w:pPr>
        <w:ind w:firstLine="480"/>
        <w:rPr>
          <w:rFonts w:cs="Times New Roman"/>
        </w:rPr>
      </w:pPr>
    </w:p>
    <w:p>
      <w:pPr>
        <w:pStyle w:val="3"/>
        <w:jc w:val="both"/>
        <w:rPr>
          <w:rFonts w:cs="Times New Roman"/>
          <w:sz w:val="32"/>
        </w:rPr>
      </w:pPr>
      <w:bookmarkStart w:id="40" w:name="_Toc136263280"/>
      <w:bookmarkStart w:id="41" w:name="_Toc181381591"/>
      <w:r>
        <w:rPr>
          <w:rFonts w:cs="Times New Roman"/>
          <w:sz w:val="32"/>
        </w:rPr>
        <w:t>1.6 环境保护目标</w:t>
      </w:r>
      <w:bookmarkEnd w:id="40"/>
      <w:bookmarkEnd w:id="41"/>
    </w:p>
    <w:p>
      <w:pPr>
        <w:pStyle w:val="4"/>
        <w:rPr>
          <w:rFonts w:cs="Times New Roman"/>
        </w:rPr>
      </w:pPr>
      <w:bookmarkStart w:id="42" w:name="_Toc410491255"/>
      <w:bookmarkStart w:id="43" w:name="_Toc467697113"/>
      <w:bookmarkStart w:id="44" w:name="_Toc480275202"/>
      <w:bookmarkStart w:id="45" w:name="_Toc449902434"/>
      <w:bookmarkStart w:id="46" w:name="_Toc469042340"/>
      <w:bookmarkStart w:id="47" w:name="_Toc416877734"/>
      <w:bookmarkStart w:id="48" w:name="_Toc458884623"/>
      <w:bookmarkStart w:id="49" w:name="_Toc456976318"/>
      <w:bookmarkStart w:id="50" w:name="_Toc247540599"/>
      <w:bookmarkStart w:id="51" w:name="_Toc436321114"/>
      <w:r>
        <w:rPr>
          <w:rFonts w:cs="Times New Roman"/>
        </w:rPr>
        <w:t>1.6.1 区域敏感对象</w:t>
      </w:r>
      <w:bookmarkEnd w:id="42"/>
      <w:bookmarkEnd w:id="43"/>
      <w:bookmarkEnd w:id="44"/>
      <w:bookmarkEnd w:id="45"/>
      <w:bookmarkEnd w:id="46"/>
      <w:bookmarkEnd w:id="47"/>
      <w:bookmarkEnd w:id="48"/>
      <w:bookmarkEnd w:id="49"/>
      <w:bookmarkEnd w:id="50"/>
      <w:bookmarkEnd w:id="51"/>
    </w:p>
    <w:p>
      <w:pPr>
        <w:ind w:firstLine="480"/>
        <w:rPr>
          <w:rFonts w:cs="Times New Roman" w:eastAsiaTheme="minorEastAsia"/>
          <w:szCs w:val="24"/>
        </w:rPr>
      </w:pPr>
      <w:r>
        <w:rPr>
          <w:rFonts w:cs="Times New Roman" w:eastAsiaTheme="minorEastAsia"/>
          <w:szCs w:val="24"/>
        </w:rPr>
        <w:t>本项目占地及影响范围内不涉及国家公园、自然保护区、世界自然遗产、重要生境等自然保护地。经叠图分析，代尔昆代水库工程枢纽及淹没区位于东天山水源涵养与生物多样性维护生态保护红线区，淹没、占用红线区约9.35hm</w:t>
      </w:r>
      <w:r>
        <w:rPr>
          <w:rFonts w:cs="Times New Roman" w:eastAsiaTheme="minorEastAsia"/>
          <w:szCs w:val="24"/>
          <w:vertAlign w:val="superscript"/>
        </w:rPr>
        <w:t>2</w:t>
      </w:r>
      <w:r>
        <w:rPr>
          <w:rFonts w:cs="Times New Roman" w:eastAsiaTheme="minorEastAsia"/>
          <w:szCs w:val="24"/>
        </w:rPr>
        <w:t>。</w:t>
      </w:r>
    </w:p>
    <w:p>
      <w:pPr>
        <w:pStyle w:val="4"/>
        <w:rPr>
          <w:rFonts w:cs="Times New Roman"/>
        </w:rPr>
      </w:pPr>
      <w:r>
        <w:rPr>
          <w:rFonts w:cs="Times New Roman"/>
        </w:rPr>
        <w:t>1.6.2 水文情势及地表水环境</w:t>
      </w:r>
    </w:p>
    <w:p>
      <w:pPr>
        <w:ind w:firstLine="480"/>
        <w:rPr>
          <w:rFonts w:cs="Times New Roman"/>
        </w:rPr>
      </w:pPr>
      <w:r>
        <w:rPr>
          <w:rFonts w:cs="Times New Roman"/>
        </w:rPr>
        <w:t>保障代尔昆代水库坝址断面生态流量下泄需求。2024年取得哈密市生态局审查意见的代尔昆代郭勒河流域综合规划环评提出代尔昆代水库坝址断面年内水量较枯时段（1～5月、10～12月）下泄生态水量不低于该断面多年平均流量的10%；6月、9月下泄生态流量不低于多年平均流量的19%；汛期7月、8月下泄生态流量不低于多年平均流量的30%。后期在淖毛湖区域工业用水有替代水源或通过提高工业用水重复利用率、灌溉节水效率后，应适当减少代尔昆代水库向淖毛湖区域供水，使代尔昆代郭勒流域6月、9月下泄生态流量达到多年平均天然流量的30%。</w:t>
      </w:r>
    </w:p>
    <w:p>
      <w:pPr>
        <w:ind w:firstLine="480"/>
        <w:rPr>
          <w:rFonts w:cs="Times New Roman"/>
        </w:rPr>
      </w:pPr>
      <w:r>
        <w:rPr>
          <w:rFonts w:cs="Times New Roman"/>
        </w:rPr>
        <w:t>根据本阶段施工进度安排，水库拟于施工期第三年10月1日下闸蓄水，P=95%来水频率，同年10月24日即可蓄至死水位1960.0m，至次年4月30日蓄至1979.39m，共计212天；根据蓄水计划，蓄水期间水库通过导流洞和放水管放水，P=50%、85%来水频率，按照当月来流量的10%泄放生态基流，各月下泄流量均少于流域综合规划环评提出的生态水量，95%来水频率未考虑泄放生态水量，因此水库初期需水不能满足流域综合规划环评提出的生态基流下泄要求。</w:t>
      </w:r>
    </w:p>
    <w:p>
      <w:pPr>
        <w:ind w:firstLine="480"/>
        <w:rPr>
          <w:rFonts w:cs="Times New Roman"/>
        </w:rPr>
      </w:pPr>
      <w:r>
        <w:rPr>
          <w:rFonts w:cs="Times New Roman"/>
        </w:rPr>
        <w:t>根据工程调度运行，P=50%来水频率，工程坝址断面1月、2月、11月、12月下泄流量占多年平均流量的6.55～8.18%，不足10%，其余3～11月下泄流量占多年平均流量的30.53～208.32%，超过30%；P=85%来水频率，工程坝址断面1～5月、10～12月下泄流量占多年平均流量的5.43～8.7%，不足10%，6月、9月下泄流量占多年平均流量的10.12%，7月、8月下泄流量占多年平均流量的75.96%、25.42%；P=95%来水频率，坝址断面仅7月下泄水量6.64万m</w:t>
      </w:r>
      <w:r>
        <w:rPr>
          <w:rFonts w:cs="Times New Roman"/>
          <w:vertAlign w:val="superscript"/>
        </w:rPr>
        <w:t>3</w:t>
      </w:r>
      <w:r>
        <w:rPr>
          <w:rFonts w:cs="Times New Roman"/>
        </w:rPr>
        <w:t>，占该断面多年平均来水量的9.5%；因此，工程运行期下泄生态流量不满足流域综合规划环评提出的生态基流下泄要求。</w:t>
      </w:r>
    </w:p>
    <w:p>
      <w:pPr>
        <w:ind w:firstLine="480"/>
        <w:rPr>
          <w:rFonts w:cs="Times New Roman"/>
        </w:rPr>
      </w:pPr>
      <w:r>
        <w:rPr>
          <w:rFonts w:cs="Times New Roman"/>
        </w:rPr>
        <w:t>工程布置的生态放水管设计流量0.068m</w:t>
      </w:r>
      <w:r>
        <w:rPr>
          <w:rFonts w:cs="Times New Roman"/>
          <w:vertAlign w:val="superscript"/>
        </w:rPr>
        <w:t>3</w:t>
      </w:r>
      <w:r>
        <w:rPr>
          <w:rFonts w:cs="Times New Roman"/>
        </w:rPr>
        <w:t>/s，占流域多年平均流量的26%，因此工程设计生态放水管规模偏小，流域本阶段设计下泄生态基流不满足流域综合规划环评要求，下阶段需依据规划环评要求优化生态放水管规模和调度运行，以满足流域综合规划环评生态基流泄放要求。</w:t>
      </w:r>
    </w:p>
    <w:p>
      <w:pPr>
        <w:ind w:firstLine="480"/>
        <w:rPr>
          <w:rFonts w:cs="Times New Roman"/>
        </w:rPr>
      </w:pPr>
      <w:r>
        <w:rPr>
          <w:rFonts w:cs="Times New Roman"/>
        </w:rPr>
        <w:t>（2）地表水环境</w:t>
      </w:r>
    </w:p>
    <w:p>
      <w:pPr>
        <w:ind w:firstLine="480"/>
        <w:rPr>
          <w:rFonts w:cs="Times New Roman"/>
          <w:bCs/>
        </w:rPr>
      </w:pPr>
      <w:r>
        <w:rPr>
          <w:rFonts w:cs="Times New Roman"/>
        </w:rPr>
        <w:t>保护代尔昆代水库工程影响河段水质，使其满足流域综合规划环评依据流域使用功能确定的河段水质要求，不因工程实施降低其使用功能。工程所在河段为Ⅱ类水域，各类废污水不得排入河道，须经处理达标后综合利用。</w:t>
      </w:r>
    </w:p>
    <w:p>
      <w:pPr>
        <w:pStyle w:val="4"/>
        <w:rPr>
          <w:rFonts w:cs="Times New Roman"/>
        </w:rPr>
      </w:pPr>
      <w:r>
        <w:rPr>
          <w:rFonts w:cs="Times New Roman"/>
        </w:rPr>
        <w:t>1.6.3 地下水环境</w:t>
      </w:r>
    </w:p>
    <w:p>
      <w:pPr>
        <w:ind w:firstLine="480"/>
        <w:rPr>
          <w:rFonts w:cs="Times New Roman"/>
          <w:bCs/>
        </w:rPr>
      </w:pPr>
      <w:r>
        <w:rPr>
          <w:rFonts w:cs="Times New Roman"/>
        </w:rPr>
        <w:t>本工程评价范围无特殊地下水资源保护区，地下水保护目标主要是维持区域地下水位，避免因代尔昆代水库建设区周边和下游影响区地下水水位产生影响。</w:t>
      </w:r>
    </w:p>
    <w:p>
      <w:pPr>
        <w:pStyle w:val="4"/>
        <w:rPr>
          <w:rFonts w:cs="Times New Roman"/>
        </w:rPr>
      </w:pPr>
      <w:r>
        <w:rPr>
          <w:rFonts w:cs="Times New Roman"/>
        </w:rPr>
        <w:t>1.6.4 生态环境</w:t>
      </w:r>
    </w:p>
    <w:p>
      <w:pPr>
        <w:ind w:firstLine="480"/>
        <w:rPr>
          <w:rFonts w:cs="Times New Roman" w:eastAsiaTheme="minorEastAsia"/>
        </w:rPr>
      </w:pPr>
      <w:r>
        <w:rPr>
          <w:rFonts w:cs="Times New Roman" w:eastAsiaTheme="minorEastAsia"/>
        </w:rPr>
        <w:t>（1）陆生生态</w:t>
      </w:r>
    </w:p>
    <w:p>
      <w:pPr>
        <w:ind w:firstLine="480"/>
        <w:rPr>
          <w:rFonts w:cs="Times New Roman" w:eastAsiaTheme="minorEastAsia"/>
        </w:rPr>
      </w:pPr>
      <w:r>
        <w:rPr>
          <w:rFonts w:hint="eastAsia" w:ascii="宋体" w:hAnsi="宋体" w:cs="宋体"/>
        </w:rPr>
        <w:t>①</w:t>
      </w:r>
      <w:r>
        <w:rPr>
          <w:rFonts w:cs="Times New Roman" w:eastAsiaTheme="minorEastAsia"/>
        </w:rPr>
        <w:t>维持工程影响区域生态系统结构与功能，基本维持评价区景观生态体系的完整性、稳定性和生物多样性；</w:t>
      </w:r>
    </w:p>
    <w:p>
      <w:pPr>
        <w:ind w:firstLine="480"/>
        <w:rPr>
          <w:rFonts w:cs="Times New Roman" w:eastAsiaTheme="minorEastAsia"/>
        </w:rPr>
      </w:pPr>
      <w:r>
        <w:rPr>
          <w:rFonts w:hint="eastAsia" w:ascii="宋体" w:hAnsi="宋体" w:cs="宋体"/>
        </w:rPr>
        <w:t>②</w:t>
      </w:r>
      <w:r>
        <w:rPr>
          <w:rFonts w:cs="Times New Roman" w:eastAsiaTheme="minorEastAsia"/>
        </w:rPr>
        <w:t>严格限定工程建设扰动区域，尽可能减少对区域野生动植物的影响。优化工程布置，尽量避让林草集中分布区，无法避让的按相关规定补偿，并协助林业部门进行补植。加强施工管理和环境保护宣传，建立生态破坏惩罚制度，尽可能减少对区域野生动植物的影响。</w:t>
      </w:r>
    </w:p>
    <w:p>
      <w:pPr>
        <w:ind w:firstLine="480"/>
        <w:rPr>
          <w:rFonts w:cs="Times New Roman" w:eastAsiaTheme="minorEastAsia"/>
        </w:rPr>
      </w:pPr>
      <w:r>
        <w:rPr>
          <w:rFonts w:cs="Times New Roman" w:eastAsiaTheme="minorEastAsia"/>
        </w:rPr>
        <w:t>（2）水生生态</w:t>
      </w:r>
    </w:p>
    <w:p>
      <w:pPr>
        <w:ind w:firstLine="480"/>
        <w:rPr>
          <w:rFonts w:cs="Times New Roman" w:eastAsiaTheme="minorEastAsia"/>
        </w:rPr>
      </w:pPr>
      <w:r>
        <w:rPr>
          <w:rFonts w:cs="Times New Roman" w:eastAsiaTheme="minorEastAsia"/>
        </w:rPr>
        <w:t>评价范围内未发现存在水生鱼类等重要珍稀水生生物。</w:t>
      </w:r>
    </w:p>
    <w:p>
      <w:pPr>
        <w:pStyle w:val="4"/>
        <w:rPr>
          <w:rFonts w:cs="Times New Roman"/>
        </w:rPr>
      </w:pPr>
      <w:r>
        <w:rPr>
          <w:rFonts w:cs="Times New Roman"/>
        </w:rPr>
        <w:t>1.6.5 土壤环境</w:t>
      </w:r>
    </w:p>
    <w:p>
      <w:pPr>
        <w:ind w:firstLine="480"/>
        <w:rPr>
          <w:rFonts w:cs="Times New Roman"/>
        </w:rPr>
      </w:pPr>
      <w:r>
        <w:rPr>
          <w:rFonts w:cs="Times New Roman"/>
        </w:rPr>
        <w:t>保护工程建设及淹没影响区土壤环境，不因工程建设造成土壤环境质量下降，维持地表植被生长所需的基本条件。</w:t>
      </w:r>
    </w:p>
    <w:p>
      <w:pPr>
        <w:pStyle w:val="4"/>
        <w:rPr>
          <w:rFonts w:cs="Times New Roman"/>
        </w:rPr>
      </w:pPr>
      <w:r>
        <w:rPr>
          <w:rFonts w:cs="Times New Roman"/>
        </w:rPr>
        <w:t>1.6.6 环境空气</w:t>
      </w:r>
    </w:p>
    <w:p>
      <w:pPr>
        <w:ind w:firstLine="480"/>
        <w:rPr>
          <w:rFonts w:cs="Times New Roman"/>
        </w:rPr>
      </w:pPr>
      <w:r>
        <w:rPr>
          <w:rFonts w:cs="Times New Roman"/>
        </w:rPr>
        <w:t>工程区及周边无居民点、学校和医院等环境空气和声环境敏感点分布，工程运行期不产生环境空气污染物。保护工程区及周边的环境空气质量，不因工程施工造成施工区周围环境空气质量显著下降，使施工人员生活区域及周围区域达到《环境空气质量标准》（GB3095-2012）二级标准。</w:t>
      </w:r>
    </w:p>
    <w:p>
      <w:pPr>
        <w:pStyle w:val="4"/>
        <w:rPr>
          <w:rFonts w:cs="Times New Roman"/>
        </w:rPr>
      </w:pPr>
      <w:r>
        <w:rPr>
          <w:rFonts w:cs="Times New Roman"/>
        </w:rPr>
        <w:t>1.6.7 声环境</w:t>
      </w:r>
    </w:p>
    <w:p>
      <w:pPr>
        <w:ind w:firstLine="480"/>
        <w:rPr>
          <w:rFonts w:cs="Times New Roman"/>
        </w:rPr>
      </w:pPr>
      <w:r>
        <w:rPr>
          <w:rFonts w:cs="Times New Roman"/>
        </w:rPr>
        <w:t>工程区及周边无居民点、学校和医院等环境空气和声环境敏感点分布，保护施工区声环境质量不因工程施工造成施工区周围声环境质量显著下降，施工期应加强环境管理，对机械运行和施工开挖等产生的噪声进行控制和治理，使施工区声环境达到《声环境质量标准》（GB3096-2008）1类标准，施工场界噪声限值要达到《建筑施工场界环境噪声排放标准》（GB12523-2011）噪声限值。</w:t>
      </w:r>
    </w:p>
    <w:p>
      <w:pPr>
        <w:ind w:firstLine="480"/>
        <w:rPr>
          <w:rFonts w:cs="Times New Roman"/>
        </w:rPr>
      </w:pPr>
    </w:p>
    <w:p>
      <w:pPr>
        <w:pStyle w:val="3"/>
        <w:jc w:val="both"/>
        <w:rPr>
          <w:rFonts w:cs="Times New Roman"/>
          <w:sz w:val="32"/>
        </w:rPr>
      </w:pPr>
      <w:bookmarkStart w:id="52" w:name="_Toc181381592"/>
      <w:bookmarkStart w:id="53" w:name="_Toc136263281"/>
      <w:r>
        <w:rPr>
          <w:rFonts w:cs="Times New Roman"/>
          <w:sz w:val="32"/>
        </w:rPr>
        <w:t>1.7 评价工作水平年</w:t>
      </w:r>
      <w:bookmarkEnd w:id="52"/>
      <w:bookmarkEnd w:id="53"/>
    </w:p>
    <w:p>
      <w:pPr>
        <w:ind w:firstLine="480"/>
        <w:rPr>
          <w:rFonts w:cs="Times New Roman" w:eastAsiaTheme="minorEastAsia"/>
        </w:rPr>
      </w:pPr>
      <w:r>
        <w:rPr>
          <w:rFonts w:cs="Times New Roman" w:eastAsiaTheme="minorEastAsia"/>
        </w:rPr>
        <w:t>（1）现状评价水平年</w:t>
      </w:r>
    </w:p>
    <w:p>
      <w:pPr>
        <w:ind w:firstLine="480"/>
        <w:rPr>
          <w:rFonts w:cs="Times New Roman" w:eastAsiaTheme="minorEastAsia"/>
        </w:rPr>
      </w:pPr>
      <w:r>
        <w:rPr>
          <w:rFonts w:cs="Times New Roman" w:eastAsiaTheme="minorEastAsia"/>
        </w:rPr>
        <w:t>水环境现状评价采用2024年河流水质监测资料，生态环境现状评价以2023年的遥感解译和2024年现场实地调查为背景值，社会经济现状水平年为2023年。</w:t>
      </w:r>
    </w:p>
    <w:p>
      <w:pPr>
        <w:ind w:firstLine="480"/>
        <w:rPr>
          <w:rFonts w:cs="Times New Roman" w:eastAsiaTheme="minorEastAsia"/>
        </w:rPr>
      </w:pPr>
      <w:r>
        <w:rPr>
          <w:rFonts w:cs="Times New Roman" w:eastAsiaTheme="minorEastAsia"/>
        </w:rPr>
        <w:t>（2）预测水平年</w:t>
      </w:r>
    </w:p>
    <w:p>
      <w:pPr>
        <w:ind w:firstLine="480"/>
        <w:rPr>
          <w:rFonts w:cs="Times New Roman" w:eastAsiaTheme="minorEastAsia"/>
        </w:rPr>
      </w:pPr>
      <w:r>
        <w:rPr>
          <w:rFonts w:cs="Times New Roman" w:eastAsiaTheme="minorEastAsia"/>
        </w:rPr>
        <w:t>工程施工期：评价时段为工程施工全过程；预测水平年为施工高峰年。</w:t>
      </w:r>
    </w:p>
    <w:p>
      <w:pPr>
        <w:ind w:firstLine="480"/>
        <w:rPr>
          <w:rFonts w:cs="Times New Roman" w:eastAsiaTheme="minorEastAsia"/>
        </w:rPr>
      </w:pPr>
      <w:r>
        <w:rPr>
          <w:rFonts w:cs="Times New Roman" w:eastAsiaTheme="minorEastAsia"/>
        </w:rPr>
        <w:t>工程运行期：评价时段至工程运行并发挥全部效益后，具体为工程设计水平年</w:t>
      </w:r>
      <w:r>
        <w:rPr>
          <w:rFonts w:hint="eastAsia" w:cs="Times New Roman" w:eastAsiaTheme="minorEastAsia"/>
          <w:lang w:val="en-US" w:eastAsia="zh-CN"/>
        </w:rPr>
        <w:t>至</w:t>
      </w:r>
      <w:r>
        <w:rPr>
          <w:rFonts w:cs="Times New Roman" w:eastAsiaTheme="minorEastAsia"/>
        </w:rPr>
        <w:t>2030年。</w:t>
      </w:r>
    </w:p>
    <w:p>
      <w:pPr>
        <w:pStyle w:val="137"/>
        <w:spacing w:before="48"/>
      </w:pPr>
      <w:r>
        <w:t>表1.7-1                工程环境保护目标及保护要求表</w:t>
      </w:r>
    </w:p>
    <w:tbl>
      <w:tblPr>
        <w:tblStyle w:val="40"/>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728"/>
        <w:gridCol w:w="1674"/>
        <w:gridCol w:w="1985"/>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pPr>
              <w:pStyle w:val="136"/>
            </w:pPr>
            <w:r>
              <w:t>序号</w:t>
            </w:r>
          </w:p>
        </w:tc>
        <w:tc>
          <w:tcPr>
            <w:tcW w:w="0" w:type="auto"/>
            <w:vAlign w:val="center"/>
          </w:tcPr>
          <w:p>
            <w:pPr>
              <w:pStyle w:val="136"/>
            </w:pPr>
            <w:r>
              <w:t>环境</w:t>
            </w:r>
          </w:p>
          <w:p>
            <w:pPr>
              <w:pStyle w:val="136"/>
            </w:pPr>
            <w:r>
              <w:t>要素</w:t>
            </w:r>
          </w:p>
        </w:tc>
        <w:tc>
          <w:tcPr>
            <w:tcW w:w="1674" w:type="dxa"/>
            <w:vAlign w:val="center"/>
          </w:tcPr>
          <w:p>
            <w:pPr>
              <w:pStyle w:val="136"/>
            </w:pPr>
            <w:r>
              <w:t>保护目标</w:t>
            </w:r>
          </w:p>
        </w:tc>
        <w:tc>
          <w:tcPr>
            <w:tcW w:w="1985" w:type="dxa"/>
            <w:vAlign w:val="center"/>
          </w:tcPr>
          <w:p>
            <w:pPr>
              <w:pStyle w:val="136"/>
            </w:pPr>
            <w:r>
              <w:t>位置</w:t>
            </w:r>
          </w:p>
        </w:tc>
        <w:tc>
          <w:tcPr>
            <w:tcW w:w="4678" w:type="dxa"/>
            <w:vAlign w:val="center"/>
          </w:tcPr>
          <w:p>
            <w:pPr>
              <w:pStyle w:val="136"/>
            </w:pPr>
            <w: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136"/>
            </w:pPr>
            <w:r>
              <w:t>1</w:t>
            </w:r>
          </w:p>
        </w:tc>
        <w:tc>
          <w:tcPr>
            <w:tcW w:w="0" w:type="auto"/>
            <w:vAlign w:val="center"/>
          </w:tcPr>
          <w:p>
            <w:pPr>
              <w:pStyle w:val="136"/>
            </w:pPr>
            <w:r>
              <w:t>地表</w:t>
            </w:r>
          </w:p>
          <w:p>
            <w:pPr>
              <w:pStyle w:val="136"/>
            </w:pPr>
            <w:r>
              <w:t>水环境</w:t>
            </w:r>
          </w:p>
        </w:tc>
        <w:tc>
          <w:tcPr>
            <w:tcW w:w="1674" w:type="dxa"/>
            <w:vAlign w:val="center"/>
          </w:tcPr>
          <w:p>
            <w:pPr>
              <w:pStyle w:val="136"/>
            </w:pPr>
            <w:r>
              <w:rPr>
                <w:rFonts w:hint="eastAsia" w:ascii="宋体" w:hAnsi="宋体" w:cs="宋体"/>
              </w:rPr>
              <w:t>①</w:t>
            </w:r>
            <w:r>
              <w:t>生态流量；</w:t>
            </w:r>
          </w:p>
          <w:p>
            <w:pPr>
              <w:pStyle w:val="136"/>
            </w:pPr>
            <w:r>
              <w:rPr>
                <w:rFonts w:hint="eastAsia" w:ascii="宋体" w:hAnsi="宋体" w:cs="宋体"/>
              </w:rPr>
              <w:t>②</w:t>
            </w:r>
            <w:r>
              <w:t>工程影响河段水质。</w:t>
            </w:r>
          </w:p>
        </w:tc>
        <w:tc>
          <w:tcPr>
            <w:tcW w:w="1985" w:type="dxa"/>
            <w:vAlign w:val="center"/>
          </w:tcPr>
          <w:p>
            <w:pPr>
              <w:pStyle w:val="136"/>
              <w:jc w:val="both"/>
            </w:pPr>
            <w:r>
              <w:t>代尔昆代水库坝址断面；</w:t>
            </w:r>
          </w:p>
          <w:p>
            <w:pPr>
              <w:pStyle w:val="136"/>
              <w:jc w:val="both"/>
            </w:pPr>
            <w:r>
              <w:t>代尔昆代水库库区至出山口间河段。</w:t>
            </w:r>
          </w:p>
        </w:tc>
        <w:tc>
          <w:tcPr>
            <w:tcW w:w="4678" w:type="dxa"/>
            <w:vAlign w:val="center"/>
          </w:tcPr>
          <w:p>
            <w:pPr>
              <w:pStyle w:val="136"/>
              <w:jc w:val="both"/>
            </w:pPr>
            <w:r>
              <w:t>代尔昆代水库坝址断面</w:t>
            </w:r>
            <w:r>
              <w:rPr>
                <w:rFonts w:hint="eastAsia"/>
                <w:lang w:val="en-US" w:eastAsia="zh-CN"/>
              </w:rPr>
              <w:t>每</w:t>
            </w:r>
            <w:r>
              <w:t>年1～5月、10～12月下泄生态水量不低于该断面多年平均水量的10%；6月、9月下泄生态水量不低于19%；汛期7月、8月下泄生态水量不低于30%。后期在淖毛湖区域工业用水有替代水源或通过提高工业用水重复利用率、灌溉节水效率后，应适当减少代尔昆代水库向淖毛湖区域供水，使代尔昆代郭勒流域6月、9月下泄生态水量达到30%；</w:t>
            </w:r>
          </w:p>
          <w:p>
            <w:pPr>
              <w:pStyle w:val="136"/>
              <w:jc w:val="both"/>
            </w:pPr>
            <w:r>
              <w:rPr>
                <w:rFonts w:hint="eastAsia" w:ascii="宋体" w:hAnsi="宋体" w:cs="宋体"/>
              </w:rPr>
              <w:t>②</w:t>
            </w:r>
            <w:r>
              <w:t>保护河流水质，使其满足水环境功能区划确定的河段水质要求，不因工程实施降低其使用功能。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136"/>
            </w:pPr>
            <w:r>
              <w:t>2</w:t>
            </w:r>
          </w:p>
        </w:tc>
        <w:tc>
          <w:tcPr>
            <w:tcW w:w="0" w:type="auto"/>
            <w:vAlign w:val="center"/>
          </w:tcPr>
          <w:p>
            <w:pPr>
              <w:pStyle w:val="136"/>
            </w:pPr>
            <w:r>
              <w:t>地下</w:t>
            </w:r>
          </w:p>
          <w:p>
            <w:pPr>
              <w:pStyle w:val="136"/>
            </w:pPr>
            <w:r>
              <w:t>水环境</w:t>
            </w:r>
          </w:p>
        </w:tc>
        <w:tc>
          <w:tcPr>
            <w:tcW w:w="1674" w:type="dxa"/>
            <w:vAlign w:val="center"/>
          </w:tcPr>
          <w:p>
            <w:pPr>
              <w:pStyle w:val="136"/>
            </w:pPr>
            <w:r>
              <w:t>维持区域地下水位。</w:t>
            </w:r>
          </w:p>
        </w:tc>
        <w:tc>
          <w:tcPr>
            <w:tcW w:w="1985" w:type="dxa"/>
            <w:vAlign w:val="center"/>
          </w:tcPr>
          <w:p>
            <w:pPr>
              <w:pStyle w:val="136"/>
              <w:jc w:val="both"/>
            </w:pPr>
            <w:r>
              <w:t>代尔昆代水库库区周围500m范围、导流放水隧洞两侧200m范围，坝址下游6.5km减水河段、下马崖乡周围泉水溢出带。</w:t>
            </w:r>
          </w:p>
        </w:tc>
        <w:tc>
          <w:tcPr>
            <w:tcW w:w="4678" w:type="dxa"/>
            <w:vAlign w:val="center"/>
          </w:tcPr>
          <w:p>
            <w:pPr>
              <w:pStyle w:val="136"/>
              <w:jc w:val="both"/>
            </w:pPr>
            <w:r>
              <w:t>避免因代尔昆代水库建设及引水对库区、洞室沿线、下游河谷、下马崖乡泉水溢出带周边地下水水位产生影响。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0" w:type="auto"/>
            <w:vMerge w:val="restart"/>
            <w:vAlign w:val="center"/>
          </w:tcPr>
          <w:p>
            <w:pPr>
              <w:pStyle w:val="136"/>
            </w:pPr>
            <w:r>
              <w:t>3</w:t>
            </w:r>
          </w:p>
        </w:tc>
        <w:tc>
          <w:tcPr>
            <w:tcW w:w="0" w:type="auto"/>
            <w:vMerge w:val="restart"/>
            <w:vAlign w:val="center"/>
          </w:tcPr>
          <w:p>
            <w:pPr>
              <w:pStyle w:val="136"/>
            </w:pPr>
            <w:r>
              <w:t>陆生</w:t>
            </w:r>
          </w:p>
          <w:p>
            <w:pPr>
              <w:pStyle w:val="136"/>
            </w:pPr>
            <w:r>
              <w:t>生态</w:t>
            </w:r>
          </w:p>
        </w:tc>
        <w:tc>
          <w:tcPr>
            <w:tcW w:w="1674" w:type="dxa"/>
            <w:vAlign w:val="center"/>
          </w:tcPr>
          <w:p>
            <w:pPr>
              <w:tabs>
                <w:tab w:val="right" w:leader="dot" w:pos="8302"/>
              </w:tabs>
              <w:spacing w:line="240" w:lineRule="exact"/>
              <w:ind w:firstLine="0" w:firstLineChars="0"/>
              <w:contextualSpacing/>
              <w:rPr>
                <w:rFonts w:cs="Times New Roman"/>
                <w:color w:val="FF0000"/>
                <w:sz w:val="18"/>
                <w:szCs w:val="18"/>
              </w:rPr>
            </w:pPr>
            <w:r>
              <w:rPr>
                <w:rFonts w:cs="Times New Roman"/>
                <w:color w:val="FF0000"/>
                <w:sz w:val="18"/>
                <w:szCs w:val="18"/>
              </w:rPr>
              <w:t>生态系统功能和结构</w:t>
            </w:r>
          </w:p>
        </w:tc>
        <w:tc>
          <w:tcPr>
            <w:tcW w:w="1985" w:type="dxa"/>
            <w:vAlign w:val="center"/>
          </w:tcPr>
          <w:p>
            <w:pPr>
              <w:tabs>
                <w:tab w:val="right" w:leader="dot" w:pos="8302"/>
              </w:tabs>
              <w:spacing w:line="240" w:lineRule="exact"/>
              <w:ind w:firstLine="0" w:firstLineChars="0"/>
              <w:contextualSpacing/>
              <w:rPr>
                <w:rFonts w:cs="Times New Roman"/>
                <w:color w:val="FF0000"/>
                <w:sz w:val="18"/>
                <w:szCs w:val="18"/>
              </w:rPr>
            </w:pPr>
            <w:r>
              <w:rPr>
                <w:rFonts w:cs="Times New Roman"/>
                <w:color w:val="FF0000"/>
                <w:sz w:val="18"/>
                <w:szCs w:val="18"/>
              </w:rPr>
              <w:t>评价区面积共计170.97km</w:t>
            </w:r>
            <w:r>
              <w:rPr>
                <w:rFonts w:cs="Times New Roman"/>
                <w:color w:val="FF0000"/>
                <w:sz w:val="18"/>
                <w:szCs w:val="18"/>
                <w:vertAlign w:val="superscript"/>
              </w:rPr>
              <w:t>2</w:t>
            </w:r>
            <w:r>
              <w:rPr>
                <w:rFonts w:cs="Times New Roman"/>
                <w:color w:val="FF0000"/>
                <w:sz w:val="18"/>
                <w:szCs w:val="18"/>
              </w:rPr>
              <w:t>。</w:t>
            </w:r>
          </w:p>
        </w:tc>
        <w:tc>
          <w:tcPr>
            <w:tcW w:w="4678" w:type="dxa"/>
            <w:vAlign w:val="center"/>
          </w:tcPr>
          <w:p>
            <w:pPr>
              <w:tabs>
                <w:tab w:val="right" w:leader="dot" w:pos="8302"/>
              </w:tabs>
              <w:spacing w:line="240" w:lineRule="exact"/>
              <w:ind w:firstLine="0" w:firstLineChars="0"/>
              <w:contextualSpacing/>
              <w:rPr>
                <w:rFonts w:cs="Times New Roman"/>
                <w:color w:val="FF0000"/>
                <w:sz w:val="18"/>
                <w:szCs w:val="18"/>
              </w:rPr>
            </w:pPr>
            <w:r>
              <w:rPr>
                <w:rFonts w:cs="Times New Roman"/>
                <w:color w:val="FF0000"/>
                <w:sz w:val="18"/>
                <w:szCs w:val="18"/>
              </w:rPr>
              <w:t>基本维持工程影响区域自然生态系统的结构和功能，基本维持区域景观生态体系的完整性、稳定性和生物多样性。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136"/>
            </w:pPr>
          </w:p>
        </w:tc>
        <w:tc>
          <w:tcPr>
            <w:tcW w:w="0" w:type="auto"/>
            <w:vMerge w:val="continue"/>
            <w:vAlign w:val="center"/>
          </w:tcPr>
          <w:p>
            <w:pPr>
              <w:pStyle w:val="136"/>
            </w:pPr>
          </w:p>
        </w:tc>
        <w:tc>
          <w:tcPr>
            <w:tcW w:w="1674" w:type="dxa"/>
            <w:vAlign w:val="center"/>
          </w:tcPr>
          <w:p>
            <w:pPr>
              <w:tabs>
                <w:tab w:val="right" w:leader="dot" w:pos="8302"/>
              </w:tabs>
              <w:spacing w:line="240" w:lineRule="exact"/>
              <w:ind w:firstLine="0" w:firstLineChars="0"/>
              <w:contextualSpacing/>
              <w:rPr>
                <w:rFonts w:cs="Times New Roman"/>
                <w:color w:val="FF0000"/>
                <w:sz w:val="18"/>
                <w:szCs w:val="18"/>
              </w:rPr>
            </w:pPr>
            <w:r>
              <w:rPr>
                <w:rFonts w:cs="Times New Roman"/>
                <w:color w:val="FF0000"/>
                <w:sz w:val="18"/>
                <w:szCs w:val="18"/>
              </w:rPr>
              <w:t>评价区内陆生动植物</w:t>
            </w:r>
          </w:p>
        </w:tc>
        <w:tc>
          <w:tcPr>
            <w:tcW w:w="1985" w:type="dxa"/>
            <w:vAlign w:val="center"/>
          </w:tcPr>
          <w:p>
            <w:pPr>
              <w:tabs>
                <w:tab w:val="right" w:leader="dot" w:pos="8302"/>
              </w:tabs>
              <w:spacing w:line="240" w:lineRule="exact"/>
              <w:ind w:firstLine="0" w:firstLineChars="0"/>
              <w:contextualSpacing/>
              <w:rPr>
                <w:rFonts w:cs="Times New Roman"/>
                <w:color w:val="FF0000"/>
                <w:sz w:val="18"/>
                <w:szCs w:val="18"/>
              </w:rPr>
            </w:pPr>
            <w:r>
              <w:rPr>
                <w:rFonts w:cs="Times New Roman"/>
                <w:color w:val="FF0000"/>
                <w:sz w:val="18"/>
                <w:szCs w:val="18"/>
              </w:rPr>
              <w:t>工程淹没、占地区</w:t>
            </w:r>
          </w:p>
        </w:tc>
        <w:tc>
          <w:tcPr>
            <w:tcW w:w="4678" w:type="dxa"/>
            <w:vAlign w:val="center"/>
          </w:tcPr>
          <w:p>
            <w:pPr>
              <w:tabs>
                <w:tab w:val="right" w:leader="dot" w:pos="8302"/>
              </w:tabs>
              <w:spacing w:line="240" w:lineRule="exact"/>
              <w:ind w:firstLine="0" w:firstLineChars="0"/>
              <w:contextualSpacing/>
              <w:rPr>
                <w:rFonts w:cs="Times New Roman"/>
                <w:color w:val="FF0000"/>
                <w:sz w:val="18"/>
                <w:szCs w:val="18"/>
              </w:rPr>
            </w:pPr>
            <w:r>
              <w:rPr>
                <w:rFonts w:cs="Times New Roman"/>
                <w:color w:val="FF0000"/>
                <w:sz w:val="18"/>
                <w:szCs w:val="18"/>
              </w:rPr>
              <w:t>严格限定工程建设扰动区域，减少建设活动对地表植被的破坏；保护野生动物，加强施工管理和环境保护宣传，尽可能减少对区域保护动植物的影响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0" w:type="auto"/>
            <w:vMerge w:val="continue"/>
            <w:vAlign w:val="center"/>
          </w:tcPr>
          <w:p>
            <w:pPr>
              <w:pStyle w:val="136"/>
            </w:pPr>
          </w:p>
        </w:tc>
        <w:tc>
          <w:tcPr>
            <w:tcW w:w="0" w:type="auto"/>
            <w:vMerge w:val="continue"/>
            <w:vAlign w:val="center"/>
          </w:tcPr>
          <w:p>
            <w:pPr>
              <w:pStyle w:val="136"/>
            </w:pPr>
          </w:p>
        </w:tc>
        <w:tc>
          <w:tcPr>
            <w:tcW w:w="1674" w:type="dxa"/>
            <w:vAlign w:val="center"/>
          </w:tcPr>
          <w:p>
            <w:pPr>
              <w:tabs>
                <w:tab w:val="right" w:leader="dot" w:pos="8302"/>
              </w:tabs>
              <w:spacing w:line="240" w:lineRule="exact"/>
              <w:ind w:firstLine="0" w:firstLineChars="0"/>
              <w:contextualSpacing/>
              <w:rPr>
                <w:rFonts w:cs="Times New Roman"/>
                <w:color w:val="FF0000"/>
                <w:sz w:val="18"/>
                <w:szCs w:val="18"/>
              </w:rPr>
            </w:pPr>
            <w:r>
              <w:rPr>
                <w:rFonts w:cs="Times New Roman"/>
                <w:color w:val="FF0000"/>
                <w:sz w:val="18"/>
                <w:szCs w:val="18"/>
              </w:rPr>
              <w:t>生态保护红线</w:t>
            </w:r>
          </w:p>
        </w:tc>
        <w:tc>
          <w:tcPr>
            <w:tcW w:w="1985" w:type="dxa"/>
            <w:vAlign w:val="center"/>
          </w:tcPr>
          <w:p>
            <w:pPr>
              <w:tabs>
                <w:tab w:val="right" w:leader="dot" w:pos="8302"/>
              </w:tabs>
              <w:spacing w:line="240" w:lineRule="exact"/>
              <w:ind w:firstLine="0" w:firstLineChars="0"/>
              <w:contextualSpacing/>
              <w:rPr>
                <w:rFonts w:cs="Times New Roman"/>
                <w:color w:val="FF0000"/>
                <w:sz w:val="18"/>
                <w:szCs w:val="18"/>
              </w:rPr>
            </w:pPr>
            <w:r>
              <w:rPr>
                <w:rFonts w:cs="Times New Roman"/>
                <w:color w:val="FF0000"/>
                <w:sz w:val="18"/>
                <w:szCs w:val="18"/>
              </w:rPr>
              <w:t>工程淹没、占用生态保护红线约9.35hm</w:t>
            </w:r>
            <w:r>
              <w:rPr>
                <w:rFonts w:cs="Times New Roman"/>
                <w:color w:val="FF0000"/>
                <w:sz w:val="18"/>
                <w:szCs w:val="18"/>
                <w:vertAlign w:val="superscript"/>
              </w:rPr>
              <w:t>2</w:t>
            </w:r>
            <w:r>
              <w:rPr>
                <w:rFonts w:cs="Times New Roman"/>
                <w:color w:val="FF0000"/>
                <w:sz w:val="18"/>
                <w:szCs w:val="18"/>
              </w:rPr>
              <w:t>。</w:t>
            </w:r>
          </w:p>
        </w:tc>
        <w:tc>
          <w:tcPr>
            <w:tcW w:w="4678" w:type="dxa"/>
            <w:vAlign w:val="center"/>
          </w:tcPr>
          <w:p>
            <w:pPr>
              <w:tabs>
                <w:tab w:val="right" w:leader="dot" w:pos="8302"/>
              </w:tabs>
              <w:spacing w:line="240" w:lineRule="exact"/>
              <w:ind w:firstLine="0" w:firstLineChars="0"/>
              <w:contextualSpacing/>
              <w:rPr>
                <w:rFonts w:cs="Times New Roman"/>
                <w:color w:val="FF0000"/>
                <w:sz w:val="18"/>
                <w:szCs w:val="18"/>
              </w:rPr>
            </w:pPr>
            <w:r>
              <w:rPr>
                <w:rFonts w:cs="Times New Roman"/>
                <w:color w:val="FF0000"/>
                <w:sz w:val="18"/>
                <w:szCs w:val="18"/>
              </w:rPr>
              <w:t xml:space="preserve">根据生态保护红线的相关规定，取得主管部门的同意后，依法办理征占地等相关手续，严格落实生态保护与恢复责任，维护区域主导生态功能。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0" w:type="auto"/>
            <w:vAlign w:val="center"/>
          </w:tcPr>
          <w:p>
            <w:pPr>
              <w:pStyle w:val="136"/>
            </w:pPr>
            <w:r>
              <w:t>4</w:t>
            </w:r>
          </w:p>
        </w:tc>
        <w:tc>
          <w:tcPr>
            <w:tcW w:w="0" w:type="auto"/>
            <w:vAlign w:val="center"/>
          </w:tcPr>
          <w:p>
            <w:pPr>
              <w:pStyle w:val="136"/>
              <w:jc w:val="both"/>
            </w:pPr>
            <w:r>
              <w:t>土壤环境</w:t>
            </w:r>
          </w:p>
        </w:tc>
        <w:tc>
          <w:tcPr>
            <w:tcW w:w="1674" w:type="dxa"/>
            <w:vAlign w:val="center"/>
          </w:tcPr>
          <w:p>
            <w:pPr>
              <w:pStyle w:val="136"/>
            </w:pPr>
            <w:r>
              <w:t>工程建设及淹没影响区土壤环境</w:t>
            </w:r>
          </w:p>
        </w:tc>
        <w:tc>
          <w:tcPr>
            <w:tcW w:w="1985" w:type="dxa"/>
            <w:vAlign w:val="center"/>
          </w:tcPr>
          <w:p>
            <w:pPr>
              <w:pStyle w:val="136"/>
            </w:pPr>
            <w:r>
              <w:t>工程占地区、水库淹没区。</w:t>
            </w:r>
          </w:p>
        </w:tc>
        <w:tc>
          <w:tcPr>
            <w:tcW w:w="4678" w:type="dxa"/>
            <w:vAlign w:val="center"/>
          </w:tcPr>
          <w:p>
            <w:pPr>
              <w:pStyle w:val="136"/>
            </w:pPr>
            <w:r>
              <w:t>不因工程建设造成土壤环境质量下降，维持地表植被生长所需的基本条件。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0" w:type="auto"/>
            <w:vAlign w:val="center"/>
          </w:tcPr>
          <w:p>
            <w:pPr>
              <w:pStyle w:val="136"/>
            </w:pPr>
            <w:r>
              <w:t>5</w:t>
            </w:r>
          </w:p>
        </w:tc>
        <w:tc>
          <w:tcPr>
            <w:tcW w:w="0" w:type="auto"/>
            <w:vAlign w:val="center"/>
          </w:tcPr>
          <w:p>
            <w:pPr>
              <w:pStyle w:val="136"/>
              <w:jc w:val="both"/>
            </w:pPr>
            <w:r>
              <w:t>环境空气、声环境</w:t>
            </w:r>
          </w:p>
        </w:tc>
        <w:tc>
          <w:tcPr>
            <w:tcW w:w="1674" w:type="dxa"/>
            <w:vAlign w:val="center"/>
          </w:tcPr>
          <w:p>
            <w:pPr>
              <w:pStyle w:val="136"/>
            </w:pPr>
            <w:r>
              <w:t>工程区及周边无居民点、学校和医院等环境空气、声环境保护目标分布。</w:t>
            </w:r>
          </w:p>
        </w:tc>
        <w:tc>
          <w:tcPr>
            <w:tcW w:w="1985" w:type="dxa"/>
            <w:vAlign w:val="center"/>
          </w:tcPr>
          <w:p>
            <w:pPr>
              <w:pStyle w:val="136"/>
            </w:pPr>
            <w:r>
              <w:t>/</w:t>
            </w:r>
          </w:p>
        </w:tc>
        <w:tc>
          <w:tcPr>
            <w:tcW w:w="4678" w:type="dxa"/>
            <w:vAlign w:val="center"/>
          </w:tcPr>
          <w:p>
            <w:pPr>
              <w:pStyle w:val="136"/>
              <w:jc w:val="both"/>
            </w:pPr>
            <w:r>
              <w:t>加强施工期环境管理，对施工期大气污染源、噪声进行控制和治理，不因工程施工造成施工区周围环境空气、声环境质量显著下降。</w:t>
            </w:r>
          </w:p>
        </w:tc>
      </w:tr>
    </w:tbl>
    <w:p>
      <w:pPr>
        <w:widowControl/>
        <w:spacing w:line="240" w:lineRule="auto"/>
        <w:ind w:firstLine="0" w:firstLineChars="0"/>
        <w:jc w:val="left"/>
        <w:rPr>
          <w:rFonts w:cs="Times New Roman"/>
        </w:rPr>
      </w:pPr>
      <w:r>
        <w:rPr>
          <w:rFonts w:cs="Times New Roman"/>
        </w:rPr>
        <w:br w:type="page"/>
      </w:r>
    </w:p>
    <w:p>
      <w:pPr>
        <w:pStyle w:val="2"/>
        <w:rPr>
          <w:rFonts w:cs="Times New Roman"/>
        </w:rPr>
      </w:pPr>
      <w:bookmarkStart w:id="54" w:name="_Toc181381593"/>
      <w:bookmarkStart w:id="55" w:name="_Toc136263283"/>
      <w:r>
        <w:rPr>
          <w:rFonts w:cs="Times New Roman"/>
        </w:rPr>
        <w:t>2. 工程概况</w:t>
      </w:r>
      <w:bookmarkEnd w:id="54"/>
    </w:p>
    <w:p>
      <w:pPr>
        <w:pStyle w:val="3"/>
        <w:rPr>
          <w:rFonts w:cs="Times New Roman"/>
        </w:rPr>
      </w:pPr>
      <w:bookmarkStart w:id="56" w:name="_Toc181381594"/>
      <w:r>
        <w:rPr>
          <w:rFonts w:cs="Times New Roman"/>
        </w:rPr>
        <w:t>2.1 代尔昆代郭勒流域综合规划概况</w:t>
      </w:r>
      <w:bookmarkEnd w:id="55"/>
      <w:bookmarkEnd w:id="56"/>
    </w:p>
    <w:p>
      <w:pPr>
        <w:pStyle w:val="4"/>
        <w:rPr>
          <w:rFonts w:cs="Times New Roman"/>
        </w:rPr>
      </w:pPr>
      <w:r>
        <w:rPr>
          <w:rFonts w:cs="Times New Roman"/>
        </w:rPr>
        <w:t>2.1.1 代尔昆代郭勒流域综合规划概况</w:t>
      </w:r>
    </w:p>
    <w:p>
      <w:pPr>
        <w:ind w:firstLine="480"/>
        <w:rPr>
          <w:rFonts w:cs="Times New Roman"/>
        </w:rPr>
      </w:pPr>
      <w:r>
        <w:rPr>
          <w:rFonts w:cs="Times New Roman"/>
        </w:rPr>
        <w:t>代尔昆代郭勒河流域位于伊吾县境内，地处天山山脉东段，西与伊吾河相接，南面以天山山脊线为界，北部为淖毛湖灌区。</w:t>
      </w:r>
    </w:p>
    <w:p>
      <w:pPr>
        <w:ind w:firstLine="480"/>
        <w:rPr>
          <w:rFonts w:cs="Times New Roman"/>
        </w:rPr>
      </w:pPr>
      <w:r>
        <w:rPr>
          <w:rFonts w:cs="Times New Roman"/>
        </w:rPr>
        <w:t>代尔昆代郭勒河发源于东天山末端喀尔里克山北坡，属于山溪性河流；该河由阿腊萨拉和亚喀萨拉两支流汇合形成，河流整体流向自西南向东北，出山后流经广袤的下马崖戈壁，后经下马崖乡后折向北流，最终消失在茫茫戈壁滩。</w:t>
      </w:r>
    </w:p>
    <w:p>
      <w:pPr>
        <w:ind w:firstLine="480"/>
        <w:rPr>
          <w:rFonts w:cs="Times New Roman"/>
        </w:rPr>
      </w:pPr>
      <w:r>
        <w:rPr>
          <w:rFonts w:cs="Times New Roman"/>
        </w:rPr>
        <w:t>代尔昆代郭勒河流域总面积1412km</w:t>
      </w:r>
      <w:r>
        <w:rPr>
          <w:rFonts w:cs="Times New Roman"/>
          <w:vertAlign w:val="superscript"/>
        </w:rPr>
        <w:t>2</w:t>
      </w:r>
      <w:r>
        <w:rPr>
          <w:rFonts w:cs="Times New Roman"/>
        </w:rPr>
        <w:t>，河长总计约142km。根据河流沿线地貌特征等，代尔昆代郭勒河可分为上中下游三段，其中出山口以上河段为上游，河长约18km，流域面积约86.9km</w:t>
      </w:r>
      <w:r>
        <w:rPr>
          <w:rFonts w:cs="Times New Roman"/>
          <w:vertAlign w:val="superscript"/>
        </w:rPr>
        <w:t>2</w:t>
      </w:r>
      <w:r>
        <w:rPr>
          <w:rFonts w:cs="Times New Roman"/>
        </w:rPr>
        <w:t>；代尔昆代水库即位于该河段，水库坝址距下游出山口断面约6km，坝址断面年均径流量834万m</w:t>
      </w:r>
      <w:r>
        <w:rPr>
          <w:rFonts w:cs="Times New Roman"/>
          <w:vertAlign w:val="superscript"/>
        </w:rPr>
        <w:t>3</w:t>
      </w:r>
      <w:r>
        <w:rPr>
          <w:rFonts w:cs="Times New Roman"/>
        </w:rPr>
        <w:t>、年均流量0.26m</w:t>
      </w:r>
      <w:r>
        <w:rPr>
          <w:rFonts w:cs="Times New Roman"/>
          <w:vertAlign w:val="superscript"/>
        </w:rPr>
        <w:t>3</w:t>
      </w:r>
      <w:r>
        <w:rPr>
          <w:rFonts w:cs="Times New Roman"/>
        </w:rPr>
        <w:t>/s；出山口至下游下马崖乡附近铁道线路之间河段为中游河段，河长约47km，期间无支流汇入，处于径流损失区，河道常年无地表径流，河水以地下潜流形式向下游排泄，部分地下潜流以泉的形式在下马崖乡与周边区域山沟潜流相汇后出露并用于下马崖乡农业灌溉；下马崖乡附近铁道线路以下代尔昆代郭勒河河道为下游河段，河长约77km，该河段亦无支流汇入，同处于径流损失区，河道常年无地表径流，河水以地下潜流形式向下游排泄。</w:t>
      </w:r>
    </w:p>
    <w:p>
      <w:pPr>
        <w:ind w:firstLine="480"/>
        <w:rPr>
          <w:rFonts w:cs="Times New Roman"/>
        </w:rPr>
      </w:pPr>
      <w:r>
        <w:rPr>
          <w:rFonts w:cs="Times New Roman"/>
        </w:rPr>
        <w:t>代尔昆代郭勒河主要由季节性融雪水、夏季降雨补给为主，同时基岩裂隙水也具有一定补给作用。由于补给源不稳定且补给量小，加之河床覆盖层以第四系卵砾石为主，下渗严重，山区河段（上游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山区河段水量小，河道水流归槽现象严重，水面宽基本在1m左右，水深不超过10cm；平原区河段（中下游河段）几乎无地表明流，仅汛期，当代尔昆代郭勒河发生洪水时，由于河流的坡降大，区域产生的融雪洪水或暴雨洪水往往洪量少流速大，地表明流可流出山口断面，但很快会消散于下马崖戈壁。</w:t>
      </w:r>
    </w:p>
    <w:p>
      <w:pPr>
        <w:ind w:firstLine="480"/>
        <w:rPr>
          <w:rFonts w:cs="Times New Roman"/>
        </w:rPr>
      </w:pPr>
      <w:r>
        <w:rPr>
          <w:rFonts w:cs="Times New Roman"/>
        </w:rPr>
        <w:t>伊吾县地处东疆干旱地区，县域内水资源十分贫乏，且水资源时空分布极不均衡，然而随着地区经济社会发展尤其是淖毛湖地区矿产资源开发，导致县域经济发展速度较快，随之而来的是经济社会发展需水要求与水资源供需之间的矛盾日益突出。</w:t>
      </w:r>
    </w:p>
    <w:p>
      <w:pPr>
        <w:ind w:firstLine="480"/>
        <w:rPr>
          <w:rFonts w:cs="Times New Roman"/>
        </w:rPr>
      </w:pPr>
      <w:r>
        <w:rPr>
          <w:rFonts w:cs="Times New Roman"/>
        </w:rPr>
        <w:t>为保障淖毛湖地区社会经济可持续发展，缓解其水资源供需矛盾；同时考虑到代尔昆代郭勒流域现状地表水未被开发利用，仍处于天然状态，存在开发潜力，为此，2023年伊吾县水管总站组织编制了《伊吾县代尔昆代郭勒流域综合规划》，2024年10月10日哈密市水利局以哈市水字[2024]157号文出具了该规划审查意见。</w:t>
      </w:r>
    </w:p>
    <w:p>
      <w:pPr>
        <w:ind w:firstLine="480"/>
        <w:rPr>
          <w:rFonts w:cs="Times New Roman"/>
        </w:rPr>
      </w:pPr>
      <w:r>
        <w:rPr>
          <w:rFonts w:cs="Times New Roman"/>
        </w:rPr>
        <w:t>代尔昆代郭勒流域综合规划主要规划内容如下：</w:t>
      </w:r>
    </w:p>
    <w:p>
      <w:pPr>
        <w:pStyle w:val="62"/>
        <w:rPr>
          <w:rFonts w:cs="Times New Roman"/>
        </w:rPr>
      </w:pPr>
      <w:r>
        <w:rPr>
          <w:rFonts w:cs="Times New Roman"/>
        </w:rPr>
        <w:t>2.1.1.1 规划水平年</w:t>
      </w:r>
    </w:p>
    <w:p>
      <w:pPr>
        <w:ind w:firstLine="480"/>
        <w:rPr>
          <w:rFonts w:cs="Times New Roman"/>
        </w:rPr>
      </w:pPr>
      <w:r>
        <w:rPr>
          <w:rFonts w:cs="Times New Roman"/>
        </w:rPr>
        <w:t>现状基准年2020年；近期水平年2025年；远期水平年2030年。</w:t>
      </w:r>
    </w:p>
    <w:p>
      <w:pPr>
        <w:ind w:firstLine="480"/>
        <w:rPr>
          <w:rFonts w:cs="Times New Roman"/>
        </w:rPr>
      </w:pPr>
      <w:r>
        <w:rPr>
          <w:rFonts w:cs="Times New Roman"/>
        </w:rPr>
        <w:t>本流域现状年为2020年，淖毛湖区域供水水源主要为峡沟水库和四道白杨沟水库，四道白杨沟水库为工业供水水库，97%保证率下每年可为淖毛湖工业园区供水498.7万m</w:t>
      </w:r>
      <w:r>
        <w:rPr>
          <w:rFonts w:cs="Times New Roman"/>
          <w:vertAlign w:val="superscript"/>
        </w:rPr>
        <w:t>3</w:t>
      </w:r>
      <w:r>
        <w:rPr>
          <w:rFonts w:cs="Times New Roman"/>
        </w:rPr>
        <w:t>。现区域供水对象为：人、畜饮水、农业灌溉、工业用水、公益林及防风林、生态用水等，均由峡沟水库调节供水。</w:t>
      </w:r>
    </w:p>
    <w:p>
      <w:pPr>
        <w:ind w:firstLine="480"/>
        <w:rPr>
          <w:rFonts w:cs="Times New Roman"/>
        </w:rPr>
      </w:pPr>
      <w:r>
        <w:rPr>
          <w:rFonts w:cs="Times New Roman"/>
        </w:rPr>
        <w:t>规划2030年，代尔昆代水库总需水量由0.47万亩灌溉需水量、人畜需水量及生态需水量三部分组成，经各业需水量分析，代尔昆代水库总需水量为：85%保证率需水量为423.56万m</w:t>
      </w:r>
      <w:r>
        <w:rPr>
          <w:rFonts w:cs="Times New Roman"/>
          <w:vertAlign w:val="superscript"/>
        </w:rPr>
        <w:t>3</w:t>
      </w:r>
      <w:r>
        <w:rPr>
          <w:rFonts w:cs="Times New Roman"/>
        </w:rPr>
        <w:t>；95%保证率需水量为394万m</w:t>
      </w:r>
      <w:r>
        <w:rPr>
          <w:rFonts w:cs="Times New Roman"/>
          <w:vertAlign w:val="superscript"/>
        </w:rPr>
        <w:t>3</w:t>
      </w:r>
      <w:r>
        <w:rPr>
          <w:rFonts w:cs="Times New Roman"/>
        </w:rPr>
        <w:t>。</w:t>
      </w:r>
    </w:p>
    <w:p>
      <w:pPr>
        <w:pStyle w:val="62"/>
        <w:rPr>
          <w:rFonts w:cs="Times New Roman"/>
        </w:rPr>
      </w:pPr>
      <w:r>
        <w:rPr>
          <w:rFonts w:cs="Times New Roman"/>
        </w:rPr>
        <w:t>2.1.2.2 规划范围</w:t>
      </w:r>
    </w:p>
    <w:p>
      <w:pPr>
        <w:ind w:firstLine="480"/>
        <w:rPr>
          <w:rFonts w:cs="Times New Roman"/>
        </w:rPr>
      </w:pPr>
      <w:r>
        <w:rPr>
          <w:rFonts w:cs="Times New Roman"/>
        </w:rPr>
        <w:t>规划范围即为代尔昆代郭勒流域范围，涉及河长142km，流域总面积1412km</w:t>
      </w:r>
      <w:r>
        <w:rPr>
          <w:rFonts w:cs="Times New Roman"/>
          <w:vertAlign w:val="superscript"/>
        </w:rPr>
        <w:t>2</w:t>
      </w:r>
      <w:r>
        <w:rPr>
          <w:rFonts w:cs="Times New Roman"/>
        </w:rPr>
        <w:t>，从行政区划上均属于哈密市伊吾县吐葫芦乡。</w:t>
      </w:r>
    </w:p>
    <w:p>
      <w:pPr>
        <w:pStyle w:val="62"/>
        <w:rPr>
          <w:rFonts w:cs="Times New Roman"/>
        </w:rPr>
      </w:pPr>
      <w:r>
        <w:rPr>
          <w:rFonts w:cs="Times New Roman"/>
        </w:rPr>
        <w:t>2.1.2.3 规划目标</w:t>
      </w:r>
    </w:p>
    <w:p>
      <w:pPr>
        <w:ind w:firstLine="480"/>
        <w:rPr>
          <w:rFonts w:cs="Times New Roman"/>
        </w:rPr>
      </w:pPr>
      <w:r>
        <w:rPr>
          <w:rFonts w:cs="Times New Roman"/>
        </w:rPr>
        <w:t>规划水平年流域形成完善的水资源调度和管理体系，水资源得到合理配置和高效利用；流域生态环境逐步改善，生态安全得到基本保障；流域内各河流水质达到水功能区目标，河流生态系统得到进一步保护和改善；流域水利工程基本配套、完善，供水安全、饮水安全、防洪安全得到有效保障，建立较为完善的水利现代化体系；流域统一管理更加完善，综合管理能力和公共服务水平显著提高。突出重点，补齐短板，水利保障能力大幅提升，水资源配置骨干格局基本形成，用水总量满足控制要求，水资源利用效率效益显著提高，区域供水保障程度进一步增强，防洪减灾体系基本完善，自然灾害的应急响应能力显著提升，区域生态用水更加合理，受损生态得到部分修复，水利信息化与行业能力建设取得重要进展，初步建成现代水管理制度体系。</w:t>
      </w:r>
    </w:p>
    <w:p>
      <w:pPr>
        <w:ind w:firstLine="480"/>
        <w:rPr>
          <w:rFonts w:cs="Times New Roman"/>
        </w:rPr>
      </w:pPr>
      <w:r>
        <w:rPr>
          <w:rFonts w:cs="Times New Roman"/>
        </w:rPr>
        <w:t>（1）水资源综合利用目标</w:t>
      </w:r>
    </w:p>
    <w:p>
      <w:pPr>
        <w:ind w:firstLine="480"/>
        <w:rPr>
          <w:rFonts w:cs="Times New Roman"/>
        </w:rPr>
      </w:pPr>
      <w:r>
        <w:rPr>
          <w:rFonts w:cs="Times New Roman"/>
        </w:rPr>
        <w:t>代尔昆代郭勒河现状无地表水资源利用。规划水平年2030年，拟建设代尔昆代水库，向淖毛湖地区人畜、公益林供水约359.57万m</w:t>
      </w:r>
      <w:r>
        <w:rPr>
          <w:rFonts w:cs="Times New Roman"/>
          <w:vertAlign w:val="superscript"/>
        </w:rPr>
        <w:t>3</w:t>
      </w:r>
      <w:r>
        <w:rPr>
          <w:rFonts w:cs="Times New Roman"/>
        </w:rPr>
        <w:t>（供水保证率为95%）。</w:t>
      </w:r>
    </w:p>
    <w:p>
      <w:pPr>
        <w:ind w:firstLine="480"/>
        <w:rPr>
          <w:rFonts w:cs="Times New Roman"/>
        </w:rPr>
      </w:pPr>
      <w:r>
        <w:rPr>
          <w:rFonts w:cs="Times New Roman"/>
        </w:rPr>
        <w:t>（2）水资源保护目标</w:t>
      </w:r>
    </w:p>
    <w:p>
      <w:pPr>
        <w:ind w:firstLine="480"/>
        <w:rPr>
          <w:rFonts w:cs="Times New Roman"/>
        </w:rPr>
      </w:pPr>
      <w:r>
        <w:rPr>
          <w:rFonts w:cs="Times New Roman"/>
        </w:rPr>
        <w:t>落实最严格水资源管理制度，控制淖毛湖区域用水量控制在“三条红线”用水指标之内。</w:t>
      </w:r>
    </w:p>
    <w:p>
      <w:pPr>
        <w:ind w:firstLine="480"/>
        <w:rPr>
          <w:rFonts w:cs="Times New Roman"/>
        </w:rPr>
      </w:pPr>
      <w:r>
        <w:rPr>
          <w:rFonts w:cs="Times New Roman"/>
        </w:rPr>
        <w:t>（3）水生态环境目标</w:t>
      </w:r>
    </w:p>
    <w:p>
      <w:pPr>
        <w:ind w:firstLine="480"/>
        <w:rPr>
          <w:rFonts w:cs="Times New Roman"/>
        </w:rPr>
      </w:pPr>
      <w:r>
        <w:rPr>
          <w:rFonts w:cs="Times New Roman"/>
        </w:rPr>
        <w:t>根据《新疆重要江河湖泊生态水量保障方案》及《新疆内陆河湖基本生态水量（流量）确定技术指南（试行）》，确定代尔昆代郭勒河流域基本生态水量保证率取85%。</w:t>
      </w:r>
    </w:p>
    <w:p>
      <w:pPr>
        <w:ind w:firstLine="480"/>
        <w:rPr>
          <w:rFonts w:cs="Times New Roman"/>
        </w:rPr>
      </w:pPr>
      <w:r>
        <w:rPr>
          <w:rFonts w:cs="Times New Roman"/>
        </w:rPr>
        <w:t>根据《水利水电工程生态流量计算与泄放设计规范》（SL/T820-2023）附录A表A.1.3，代尔昆代郭勒河河道内生态状态取为一般。</w:t>
      </w:r>
    </w:p>
    <w:p>
      <w:pPr>
        <w:ind w:firstLine="480"/>
        <w:rPr>
          <w:rFonts w:cs="Times New Roman"/>
        </w:rPr>
      </w:pPr>
      <w:r>
        <w:rPr>
          <w:rFonts w:cs="Times New Roman"/>
        </w:rPr>
        <w:t>根据哈密市水文水资源勘测局提供水文资料分析结果，代尔昆代郭勒流域汛期仅为7、8月2个月。</w:t>
      </w:r>
    </w:p>
    <w:p>
      <w:pPr>
        <w:ind w:firstLine="480"/>
        <w:rPr>
          <w:rFonts w:cs="Times New Roman"/>
        </w:rPr>
      </w:pPr>
      <w:r>
        <w:rPr>
          <w:rFonts w:cs="Times New Roman"/>
        </w:rPr>
        <w:t>基于以上分析，代尔昆代水库坝址断面生态流量取值为：年内水量较枯时段（非汛期1～5月、10～12月）生态流量为多年平均天然流量的10%；非汛期6月、9月，生态流量为多年平均天然流量的19%；年内水量较丰时段（汛期7月、8月）生态流量为多年平均天然流量的30%。代尔昆代水库坝址断面多年平均径流量为834.4万m</w:t>
      </w:r>
      <w:r>
        <w:rPr>
          <w:rFonts w:cs="Times New Roman"/>
          <w:vertAlign w:val="superscript"/>
        </w:rPr>
        <w:t>3</w:t>
      </w:r>
      <w:r>
        <w:rPr>
          <w:rFonts w:cs="Times New Roman"/>
        </w:rPr>
        <w:t>，多年平均天然流量为0.265m</w:t>
      </w:r>
      <w:r>
        <w:rPr>
          <w:rFonts w:cs="Times New Roman"/>
          <w:vertAlign w:val="superscript"/>
        </w:rPr>
        <w:t>3</w:t>
      </w:r>
      <w:r>
        <w:rPr>
          <w:rFonts w:cs="Times New Roman"/>
        </w:rPr>
        <w:t>/s，则生态流量非汛期（1～5月、10～12月）为0.0265m</w:t>
      </w:r>
      <w:r>
        <w:rPr>
          <w:rFonts w:cs="Times New Roman"/>
          <w:vertAlign w:val="superscript"/>
        </w:rPr>
        <w:t>3</w:t>
      </w:r>
      <w:r>
        <w:rPr>
          <w:rFonts w:cs="Times New Roman"/>
        </w:rPr>
        <w:t>/s，6月、9月为0.0503m</w:t>
      </w:r>
      <w:r>
        <w:rPr>
          <w:rFonts w:cs="Times New Roman"/>
          <w:vertAlign w:val="superscript"/>
        </w:rPr>
        <w:t>3</w:t>
      </w:r>
      <w:r>
        <w:rPr>
          <w:rFonts w:cs="Times New Roman"/>
        </w:rPr>
        <w:t>/s，汛期（7～8月）为0.0794m</w:t>
      </w:r>
      <w:r>
        <w:rPr>
          <w:rFonts w:cs="Times New Roman"/>
          <w:vertAlign w:val="superscript"/>
        </w:rPr>
        <w:t>3</w:t>
      </w:r>
      <w:r>
        <w:rPr>
          <w:rFonts w:cs="Times New Roman"/>
        </w:rPr>
        <w:t>/s，共计下泄生态水量124.13万m</w:t>
      </w:r>
      <w:r>
        <w:rPr>
          <w:rFonts w:cs="Times New Roman"/>
          <w:vertAlign w:val="superscript"/>
        </w:rPr>
        <w:t>3</w:t>
      </w:r>
      <w:r>
        <w:rPr>
          <w:rFonts w:cs="Times New Roman"/>
        </w:rPr>
        <w:t>。</w:t>
      </w:r>
    </w:p>
    <w:p>
      <w:pPr>
        <w:ind w:firstLine="480"/>
        <w:rPr>
          <w:rFonts w:cs="Times New Roman"/>
        </w:rPr>
      </w:pPr>
      <w:r>
        <w:rPr>
          <w:rFonts w:cs="Times New Roman"/>
        </w:rPr>
        <w:t>（4）防洪目标</w:t>
      </w:r>
    </w:p>
    <w:p>
      <w:pPr>
        <w:ind w:firstLine="480"/>
        <w:rPr>
          <w:rFonts w:cs="Times New Roman"/>
        </w:rPr>
      </w:pPr>
      <w:r>
        <w:rPr>
          <w:rFonts w:cs="Times New Roman"/>
        </w:rPr>
        <w:t>规划采用非工程措施的系统治理对策，建立和完善洪水预警预报系统及防洪减灾保障机制，加强洪水风险管理。</w:t>
      </w:r>
    </w:p>
    <w:p>
      <w:pPr>
        <w:ind w:firstLine="480"/>
        <w:rPr>
          <w:rFonts w:cs="Times New Roman"/>
        </w:rPr>
      </w:pPr>
      <w:r>
        <w:rPr>
          <w:rFonts w:cs="Times New Roman"/>
        </w:rPr>
        <w:t>（5）流域综合管理目标</w:t>
      </w:r>
    </w:p>
    <w:p>
      <w:pPr>
        <w:ind w:firstLine="480"/>
        <w:rPr>
          <w:rFonts w:cs="Times New Roman"/>
        </w:rPr>
      </w:pPr>
      <w:r>
        <w:rPr>
          <w:rFonts w:cs="Times New Roman"/>
        </w:rPr>
        <w:t>以支撑可持续发展水利为目标，以信息技术应用为手段，以建设水利信息采集、传输网络为基础，以水利业务应用开发为核心，以建设管理、运行维护和人才培训为保障，构建水利信息化综合体系。以满足流域经济社会发展需求和提高人民生活质量为出发点，以实现人与自然和谐为核心理念，深化水利各项改革，不断提高水资源利用效率和效益，以水资源的可持续利用保障流域经济社会可持续发展。以水利信息化建设为抓手，以水利改革为契机，按照权威、统一、高效的流域管理体制要求，健全流域管理与区域管理相结合的管理体制，进一步明确各部门的职能，明确流域管理和区域管理的权责划分。</w:t>
      </w:r>
    </w:p>
    <w:p>
      <w:pPr>
        <w:pStyle w:val="62"/>
        <w:rPr>
          <w:rFonts w:cs="Times New Roman"/>
        </w:rPr>
      </w:pPr>
      <w:r>
        <w:rPr>
          <w:rFonts w:cs="Times New Roman"/>
        </w:rPr>
        <w:t>2.1.2.4 总体布局</w:t>
      </w:r>
    </w:p>
    <w:p>
      <w:pPr>
        <w:ind w:firstLine="480"/>
        <w:rPr>
          <w:rFonts w:cs="Times New Roman"/>
        </w:rPr>
      </w:pPr>
      <w:r>
        <w:rPr>
          <w:rFonts w:cs="Times New Roman"/>
        </w:rPr>
        <w:t>伊吾县代尔昆代郭勒河流域规划总体布局如下：</w:t>
      </w:r>
    </w:p>
    <w:p>
      <w:pPr>
        <w:ind w:firstLine="480"/>
        <w:rPr>
          <w:rFonts w:cs="Times New Roman"/>
        </w:rPr>
      </w:pPr>
      <w:r>
        <w:rPr>
          <w:rFonts w:cs="Times New Roman"/>
        </w:rPr>
        <w:t>重大水工程规划布局：修建代尔昆代水库工程，对水资源进行配置和综合利用；代尔昆代水库是为淖毛湖区域人、畜饮水及公益林灌溉补水的小（1）型山区拦河水库，规划设计总库容296.68万m</w:t>
      </w:r>
      <w:r>
        <w:rPr>
          <w:rFonts w:cs="Times New Roman"/>
          <w:vertAlign w:val="superscript"/>
        </w:rPr>
        <w:t>3</w:t>
      </w:r>
      <w:r>
        <w:rPr>
          <w:rFonts w:cs="Times New Roman"/>
        </w:rPr>
        <w:t>；代尔昆代水库建成后，利用水库与伊吾河峡沟水库的联调，向淖毛湖区域补水，用来调节淖毛湖区域灌溉季节（5～9月）的用水矛盾。</w:t>
      </w:r>
    </w:p>
    <w:p>
      <w:pPr>
        <w:ind w:firstLine="480"/>
        <w:rPr>
          <w:rFonts w:cs="Times New Roman"/>
        </w:rPr>
      </w:pPr>
      <w:r>
        <w:rPr>
          <w:rFonts w:cs="Times New Roman"/>
        </w:rPr>
        <w:t>城乡供水规划布局：以代尔昆代水库为水源，后期通过修建管道供水至伊吾河淖毛湖渠首，后经现有供水系统向淖毛湖区域供水。</w:t>
      </w:r>
    </w:p>
    <w:p>
      <w:pPr>
        <w:pStyle w:val="62"/>
        <w:rPr>
          <w:rFonts w:cs="Times New Roman"/>
        </w:rPr>
      </w:pPr>
      <w:r>
        <w:rPr>
          <w:rFonts w:cs="Times New Roman"/>
        </w:rPr>
        <w:t>2.1.2.5 主要规划内容</w:t>
      </w:r>
    </w:p>
    <w:p>
      <w:pPr>
        <w:ind w:firstLine="480"/>
        <w:rPr>
          <w:rFonts w:cs="Times New Roman"/>
        </w:rPr>
      </w:pPr>
      <w:r>
        <w:rPr>
          <w:rFonts w:cs="Times New Roman"/>
        </w:rPr>
        <w:t>代尔昆代郭勒河流域现状无地表水资源利用，也无城镇等重大防洪目标，规划远期水平年2030年流域自身开发水平仍</w:t>
      </w:r>
      <w:r>
        <w:rPr>
          <w:rFonts w:hint="eastAsia" w:cs="Times New Roman"/>
          <w:lang w:eastAsia="zh-CN"/>
        </w:rPr>
        <w:t>将</w:t>
      </w:r>
      <w:r>
        <w:rPr>
          <w:rFonts w:cs="Times New Roman"/>
        </w:rPr>
        <w:t>维持现状。对此，虽然伊吾县代尔昆代郭勒河流域综合规划提出了防洪规划、水资源规划、节约用水规划、城乡供水规划、水资源保护规划、水生态保护与修复规划、水土保持规划、重大水工程规划等专项规划，但上述规划大多以非工程性措施为主，而流域规划报告主要规划内容及唯一工程措施即为代尔昆代水库工程，亦是流域综合规划推荐近期水平年2025年建设项目。</w:t>
      </w:r>
    </w:p>
    <w:p>
      <w:pPr>
        <w:ind w:firstLine="480"/>
        <w:rPr>
          <w:rFonts w:cs="Times New Roman"/>
        </w:rPr>
      </w:pPr>
      <w:r>
        <w:rPr>
          <w:rFonts w:cs="Times New Roman"/>
        </w:rPr>
        <w:t>综上分析，本次规划主要内容主要介绍规划阶段代尔昆代水库工程建设方案：</w:t>
      </w:r>
    </w:p>
    <w:p>
      <w:pPr>
        <w:ind w:firstLine="480"/>
        <w:rPr>
          <w:rFonts w:cs="Times New Roman"/>
        </w:rPr>
      </w:pPr>
      <w:r>
        <w:rPr>
          <w:rFonts w:cs="Times New Roman"/>
        </w:rPr>
        <w:t>（1）建设任务、供水范围</w:t>
      </w:r>
    </w:p>
    <w:p>
      <w:pPr>
        <w:ind w:firstLine="480"/>
        <w:rPr>
          <w:rFonts w:cs="Times New Roman"/>
        </w:rPr>
      </w:pPr>
      <w:r>
        <w:rPr>
          <w:rFonts w:cs="Times New Roman"/>
        </w:rPr>
        <w:t>规划代尔昆代水库是一座为淖毛湖区域人、畜饮水及公益林灌溉补水为主的山区水库。</w:t>
      </w:r>
    </w:p>
    <w:p>
      <w:pPr>
        <w:ind w:firstLine="480"/>
        <w:rPr>
          <w:rFonts w:cs="Times New Roman"/>
        </w:rPr>
      </w:pPr>
      <w:r>
        <w:rPr>
          <w:rFonts w:cs="Times New Roman"/>
        </w:rPr>
        <w:t>与伊吾县伊吾河已建峡沟水库的联调，保障伊吾县淖毛湖地区5～9月的10万居民及3万流动人口及6.3万头牲畜的人畜饮水218万m</w:t>
      </w:r>
      <w:r>
        <w:rPr>
          <w:rFonts w:cs="Times New Roman"/>
          <w:vertAlign w:val="superscript"/>
        </w:rPr>
        <w:t>3</w:t>
      </w:r>
      <w:r>
        <w:rPr>
          <w:rFonts w:cs="Times New Roman"/>
        </w:rPr>
        <w:t>、0.47万亩公益林的灌溉用水141.57万m</w:t>
      </w:r>
      <w:r>
        <w:rPr>
          <w:rFonts w:cs="Times New Roman"/>
          <w:vertAlign w:val="superscript"/>
        </w:rPr>
        <w:t>3</w:t>
      </w:r>
      <w:r>
        <w:rPr>
          <w:rFonts w:cs="Times New Roman"/>
        </w:rPr>
        <w:t>，合计359.57万m</w:t>
      </w:r>
      <w:r>
        <w:rPr>
          <w:rFonts w:cs="Times New Roman"/>
          <w:vertAlign w:val="superscript"/>
        </w:rPr>
        <w:t>3</w:t>
      </w:r>
      <w:r>
        <w:rPr>
          <w:rFonts w:cs="Times New Roman"/>
        </w:rPr>
        <w:t>。</w:t>
      </w:r>
    </w:p>
    <w:p>
      <w:pPr>
        <w:ind w:firstLine="480"/>
        <w:rPr>
          <w:rFonts w:cs="Times New Roman"/>
        </w:rPr>
      </w:pPr>
      <w:r>
        <w:rPr>
          <w:rFonts w:cs="Times New Roman"/>
        </w:rPr>
        <w:t>（2）建设规模</w:t>
      </w:r>
    </w:p>
    <w:p>
      <w:pPr>
        <w:ind w:firstLine="480"/>
        <w:rPr>
          <w:rFonts w:cs="Times New Roman"/>
        </w:rPr>
      </w:pPr>
      <w:r>
        <w:rPr>
          <w:rFonts w:cs="Times New Roman"/>
        </w:rPr>
        <w:t>水库总库容296.68万m</w:t>
      </w:r>
      <w:r>
        <w:rPr>
          <w:rFonts w:cs="Times New Roman"/>
          <w:vertAlign w:val="superscript"/>
        </w:rPr>
        <w:t>3</w:t>
      </w:r>
      <w:r>
        <w:rPr>
          <w:rFonts w:cs="Times New Roman"/>
        </w:rPr>
        <w:t>，正常蓄水位1981.85m，95%保证率下年供水量359.57万m</w:t>
      </w:r>
      <w:r>
        <w:rPr>
          <w:rFonts w:cs="Times New Roman"/>
          <w:vertAlign w:val="superscript"/>
        </w:rPr>
        <w:t>3</w:t>
      </w:r>
      <w:r>
        <w:rPr>
          <w:rFonts w:cs="Times New Roman"/>
        </w:rPr>
        <w:t>。按照《水利水电工程等级划分及洪水标准》（SL252-2017），确定工程规模为小（1）型，工程等别为Ⅳ等。</w:t>
      </w:r>
    </w:p>
    <w:p>
      <w:pPr>
        <w:ind w:firstLine="480"/>
        <w:rPr>
          <w:rFonts w:cs="Times New Roman"/>
        </w:rPr>
      </w:pPr>
      <w:r>
        <w:rPr>
          <w:rFonts w:cs="Times New Roman"/>
        </w:rPr>
        <w:t>（3）建筑物组成</w:t>
      </w:r>
    </w:p>
    <w:p>
      <w:pPr>
        <w:ind w:firstLine="480"/>
        <w:rPr>
          <w:rFonts w:cs="Times New Roman"/>
        </w:rPr>
      </w:pPr>
      <w:r>
        <w:rPr>
          <w:rFonts w:cs="Times New Roman"/>
        </w:rPr>
        <w:t>工程主要建筑物包括挡水建筑物、泄水建筑物和导流放水建筑物。挡水建筑物为碾压混凝土重力坝，最大坝高63.2m，属中坝。代尔昆代水库为拦河水库，水库枢纽主要由挡水建筑物、泄水建筑物和导流、放水建筑物等组成。挡水建筑物主要是碾压混凝土重力坝，大坝由河床溢流坝段以及左、右岸非溢流坝段组成；放水建筑物主要为导流放水隧洞，根据地形条件，导流放水隧洞布置于左坝肩。</w:t>
      </w:r>
    </w:p>
    <w:p>
      <w:pPr>
        <w:ind w:firstLine="480"/>
        <w:rPr>
          <w:rFonts w:cs="Times New Roman"/>
        </w:rPr>
      </w:pPr>
      <w:r>
        <w:rPr>
          <w:rFonts w:cs="Times New Roman"/>
        </w:rPr>
        <w:t>（4）实施进度</w:t>
      </w:r>
    </w:p>
    <w:p>
      <w:pPr>
        <w:ind w:firstLine="480"/>
        <w:rPr>
          <w:rFonts w:cs="Times New Roman"/>
        </w:rPr>
      </w:pPr>
      <w:r>
        <w:rPr>
          <w:rFonts w:cs="Times New Roman"/>
        </w:rPr>
        <w:t>为增加流域调蓄能力，实现水资源更加合理分配，作为流域规划的重大水资源调蓄工程，代尔昆代水库规划建议实施年度</w:t>
      </w:r>
      <w:r>
        <w:rPr>
          <w:rFonts w:hint="eastAsia" w:cs="Times New Roman"/>
          <w:lang w:val="en-US" w:eastAsia="zh-CN"/>
        </w:rPr>
        <w:t>为</w:t>
      </w:r>
      <w:r>
        <w:rPr>
          <w:rFonts w:cs="Times New Roman"/>
        </w:rPr>
        <w:t>2024～2026年。</w:t>
      </w:r>
    </w:p>
    <w:p>
      <w:pPr>
        <w:pStyle w:val="4"/>
        <w:rPr>
          <w:rFonts w:cs="Times New Roman"/>
        </w:rPr>
      </w:pPr>
      <w:r>
        <w:rPr>
          <w:rFonts w:cs="Times New Roman"/>
        </w:rPr>
        <w:t>2.1.2 代尔昆代郭勒流域综合规划环评概况</w:t>
      </w:r>
    </w:p>
    <w:p>
      <w:pPr>
        <w:ind w:firstLine="480"/>
        <w:rPr>
          <w:rFonts w:cs="Times New Roman"/>
        </w:rPr>
      </w:pPr>
      <w:r>
        <w:rPr>
          <w:rFonts w:cs="Times New Roman"/>
        </w:rPr>
        <w:t>2024年6月伊吾县水管总站组织编制了《伊吾县代尔昆代郭勒流域综合规划环境影响报告书》，2024年9月哈密市生态环境局以哈市环审[2024]1号文出具了审查意见。</w:t>
      </w:r>
    </w:p>
    <w:p>
      <w:pPr>
        <w:ind w:firstLine="480"/>
        <w:rPr>
          <w:rFonts w:cs="Times New Roman"/>
        </w:rPr>
      </w:pPr>
      <w:r>
        <w:rPr>
          <w:rFonts w:cs="Times New Roman"/>
        </w:rPr>
        <w:t>（1）流域综合规划环评主要结论</w:t>
      </w:r>
    </w:p>
    <w:p>
      <w:pPr>
        <w:ind w:firstLine="48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hint="eastAsia" w:ascii="宋体" w:hAnsi="宋体" w:cs="宋体"/>
        </w:rPr>
        <w:t>①</w:t>
      </w:r>
      <w:r>
        <w:rPr>
          <w:rFonts w:cs="Times New Roman"/>
        </w:rPr>
        <w:fldChar w:fldCharType="end"/>
      </w:r>
      <w:r>
        <w:rPr>
          <w:rFonts w:cs="Times New Roman"/>
        </w:rPr>
        <w:t>流域概况</w:t>
      </w:r>
    </w:p>
    <w:p>
      <w:pPr>
        <w:ind w:firstLine="480"/>
        <w:rPr>
          <w:rFonts w:cs="Times New Roman"/>
        </w:rPr>
      </w:pPr>
      <w:r>
        <w:rPr>
          <w:rFonts w:cs="Times New Roman"/>
        </w:rPr>
        <w:t>代尔昆代郭勒流域地处东天山末端，南高北低，最高峰海拔3801m，流域平均高程2728m，流域气候干燥，无永久冰川分布，年均降水量97.7mm，是一条季节性山溪河流，目前尚未进行水资源开发利用，亦无大规模土地资源开发。</w:t>
      </w:r>
    </w:p>
    <w:p>
      <w:pPr>
        <w:ind w:firstLine="480"/>
        <w:rPr>
          <w:rFonts w:cs="Times New Roman"/>
        </w:rPr>
      </w:pPr>
      <w:r>
        <w:rPr>
          <w:rFonts w:cs="Times New Roman"/>
        </w:rPr>
        <w:t>流域南部中高山区山势峋磷陡峭，多梳状的纵深沟谷，该区降水相对丰富，但植被立地条件差，沟底缓坡发育栗钙土和草甸土，稀疏生长少量林草植被，</w:t>
      </w:r>
      <w:r>
        <w:rPr>
          <w:rFonts w:hint="eastAsia" w:cs="Times New Roman"/>
          <w:lang w:eastAsia="zh-CN"/>
        </w:rPr>
        <w:t>植被盖度</w:t>
      </w:r>
      <w:r>
        <w:rPr>
          <w:rFonts w:cs="Times New Roman"/>
        </w:rPr>
        <w:t>20～60%左右，河槽内受洪水冲蚀影响，植物零星生长；中低山区和山前戈壁区上部降水稀少，地表植被更为稀疏，</w:t>
      </w:r>
      <w:r>
        <w:rPr>
          <w:rFonts w:hint="eastAsia" w:cs="Times New Roman"/>
          <w:lang w:eastAsia="zh-CN"/>
        </w:rPr>
        <w:t>植被盖度</w:t>
      </w:r>
      <w:r>
        <w:rPr>
          <w:rFonts w:cs="Times New Roman"/>
        </w:rPr>
        <w:t>5～20%；下马崖乡泉水溢出带附近，</w:t>
      </w:r>
      <w:r>
        <w:rPr>
          <w:rFonts w:hint="eastAsia" w:cs="Times New Roman"/>
          <w:lang w:eastAsia="zh-CN"/>
        </w:rPr>
        <w:t>植被盖度</w:t>
      </w:r>
      <w:r>
        <w:rPr>
          <w:rFonts w:cs="Times New Roman"/>
        </w:rPr>
        <w:t>相对高，可达70%；下马崖乡下游，降水更为稀少，河谷几乎无地表明流，砾石覆盖层较厚，植物零星生长，无集中连片河谷林草发育。</w:t>
      </w:r>
    </w:p>
    <w:p>
      <w:pPr>
        <w:ind w:firstLine="480"/>
        <w:rPr>
          <w:rFonts w:cs="Times New Roman"/>
        </w:rPr>
      </w:pPr>
      <w:r>
        <w:rPr>
          <w:rFonts w:cs="Times New Roman"/>
        </w:rPr>
        <w:t>代尔昆代郭勒河为季节性河流，无长流水，据现场调查、查阅资料、访谈调查流域无鱼类资源。</w:t>
      </w:r>
    </w:p>
    <w:p>
      <w:pPr>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主要环境影响</w:t>
      </w:r>
    </w:p>
    <w:p>
      <w:pPr>
        <w:ind w:firstLine="480"/>
        <w:rPr>
          <w:rFonts w:cs="Times New Roman"/>
        </w:rPr>
      </w:pPr>
      <w:r>
        <w:rPr>
          <w:rFonts w:cs="Times New Roman"/>
        </w:rPr>
        <w:t>A.水文水资源变化</w:t>
      </w:r>
    </w:p>
    <w:p>
      <w:pPr>
        <w:ind w:firstLine="480"/>
        <w:rPr>
          <w:rFonts w:cs="Times New Roman"/>
        </w:rPr>
      </w:pPr>
      <w:r>
        <w:rPr>
          <w:rFonts w:cs="Times New Roman"/>
        </w:rPr>
        <w:t>代尔昆代郭勒流域综合规划实施后，远期水平年2030年，</w:t>
      </w:r>
      <w:r>
        <w:rPr>
          <w:rFonts w:hint="eastAsia" w:cs="Times New Roman"/>
          <w:lang w:eastAsia="zh-CN"/>
        </w:rPr>
        <w:t>将</w:t>
      </w:r>
      <w:r>
        <w:rPr>
          <w:rFonts w:cs="Times New Roman"/>
        </w:rPr>
        <w:t>向淖毛湖区域供水359.57万m³，其中用于人畜饮水供水量218万m³，用于0.47万亩公益林灌溉供水量141.57万m³。</w:t>
      </w:r>
      <w:r>
        <w:rPr>
          <w:rFonts w:hint="eastAsia" w:cs="Times New Roman"/>
          <w:lang w:eastAsia="zh-CN"/>
        </w:rPr>
        <w:t>将</w:t>
      </w:r>
      <w:r>
        <w:rPr>
          <w:rFonts w:cs="Times New Roman"/>
        </w:rPr>
        <w:t>使代尔昆代郭勒河水资源利用率由现状未开发利用，提升至43.11%，下泄河道水量相应减少。</w:t>
      </w:r>
    </w:p>
    <w:p>
      <w:pPr>
        <w:ind w:firstLine="480"/>
        <w:rPr>
          <w:rFonts w:cs="Times New Roman"/>
        </w:rPr>
      </w:pPr>
      <w:r>
        <w:rPr>
          <w:rFonts w:cs="Times New Roman"/>
        </w:rPr>
        <w:t>流域水资源调蓄工程代尔昆代水库建成运行后，坝址断面各月下泄河道流量均明显减小，水库在10月～次年3月蓄水，坝址处仅下泄生态流量；4～9月水库放水满足供水区灌溉人畜生活及公益林用水，坝址断面主要下泄生态流量。年内水量较枯时段（1～5月、10～12月）下泄河道生态流量不低于多年平均来流量的10%；6月、9月下泄生态流量不低于多年平均来流量的19%；汛期7月、8月下泄生态流量不低于多年平均来流量的30%。</w:t>
      </w:r>
    </w:p>
    <w:p>
      <w:pPr>
        <w:ind w:firstLine="480"/>
        <w:rPr>
          <w:rFonts w:cs="Times New Roman"/>
        </w:rPr>
      </w:pPr>
      <w:r>
        <w:rPr>
          <w:rFonts w:cs="Times New Roman"/>
        </w:rPr>
        <w:t>B.生态流量满足程度分析</w:t>
      </w:r>
    </w:p>
    <w:p>
      <w:pPr>
        <w:ind w:firstLine="480"/>
        <w:rPr>
          <w:rFonts w:cs="Times New Roman"/>
        </w:rPr>
      </w:pPr>
      <w:r>
        <w:rPr>
          <w:rFonts w:cs="Times New Roman"/>
        </w:rPr>
        <w:t>代尔昆代水库建成后，其坝址断面生态流量保证率为85%，坝址处年下泄生态水量124.13万m</w:t>
      </w:r>
      <w:r>
        <w:rPr>
          <w:rFonts w:cs="Times New Roman"/>
          <w:vertAlign w:val="superscript"/>
        </w:rPr>
        <w:t>3</w:t>
      </w:r>
      <w:r>
        <w:rPr>
          <w:rFonts w:cs="Times New Roman"/>
        </w:rPr>
        <w:t>，满足哈密市生态环境局《关于对﹤关于征求伊吾县代尔昆代郭勒河流生态基流相关事宜意见建议的函﹥的复函》要求。</w:t>
      </w:r>
    </w:p>
    <w:p>
      <w:pPr>
        <w:ind w:firstLine="480"/>
        <w:rPr>
          <w:rFonts w:cs="Times New Roman"/>
        </w:rPr>
      </w:pPr>
      <w:r>
        <w:rPr>
          <w:rFonts w:cs="Times New Roman"/>
        </w:rPr>
        <w:t>C.水环境变化</w:t>
      </w:r>
    </w:p>
    <w:p>
      <w:pPr>
        <w:ind w:firstLine="480"/>
        <w:rPr>
          <w:rFonts w:cs="Times New Roman"/>
        </w:rPr>
      </w:pPr>
      <w:r>
        <w:rPr>
          <w:rFonts w:cs="Times New Roman"/>
        </w:rPr>
        <w:t>规划代尔昆代水库工程建成运行后，受上游坝前水库的拦蓄影响，漂浮物</w:t>
      </w:r>
      <w:r>
        <w:rPr>
          <w:rFonts w:hint="eastAsia" w:cs="Times New Roman"/>
          <w:lang w:eastAsia="zh-CN"/>
        </w:rPr>
        <w:t>将</w:t>
      </w:r>
      <w:r>
        <w:rPr>
          <w:rFonts w:cs="Times New Roman"/>
        </w:rPr>
        <w:t>会被拦截、泥沙</w:t>
      </w:r>
      <w:r>
        <w:rPr>
          <w:rFonts w:hint="eastAsia" w:cs="Times New Roman"/>
          <w:lang w:eastAsia="zh-CN"/>
        </w:rPr>
        <w:t>将</w:t>
      </w:r>
      <w:r>
        <w:rPr>
          <w:rFonts w:cs="Times New Roman"/>
        </w:rPr>
        <w:t>会大量沉积，对下游河道河水水质和引水渠道引用水质</w:t>
      </w:r>
      <w:r>
        <w:rPr>
          <w:rFonts w:hint="eastAsia" w:cs="Times New Roman"/>
          <w:lang w:eastAsia="zh-CN"/>
        </w:rPr>
        <w:t>将</w:t>
      </w:r>
      <w:r>
        <w:rPr>
          <w:rFonts w:cs="Times New Roman"/>
        </w:rPr>
        <w:t>起到一定的改善作用。</w:t>
      </w:r>
    </w:p>
    <w:p>
      <w:pPr>
        <w:ind w:firstLine="480"/>
        <w:rPr>
          <w:rFonts w:cs="Times New Roman"/>
        </w:rPr>
      </w:pPr>
      <w:r>
        <w:rPr>
          <w:rFonts w:cs="Times New Roman"/>
        </w:rPr>
        <w:t>代尔昆代水库为水温分层型水库，水温变化主要影响对象为水库供水对象，工程建设任务为人畜饮水和公益林灌溉，水温变化不会对其产生明显不利影响。</w:t>
      </w:r>
    </w:p>
    <w:p>
      <w:pPr>
        <w:ind w:firstLine="480"/>
        <w:rPr>
          <w:rFonts w:cs="Times New Roman"/>
        </w:rPr>
      </w:pPr>
      <w:r>
        <w:rPr>
          <w:rFonts w:cs="Times New Roman"/>
        </w:rPr>
        <w:t>D.对地下水环境影响</w:t>
      </w:r>
    </w:p>
    <w:p>
      <w:pPr>
        <w:ind w:firstLine="480"/>
        <w:rPr>
          <w:rFonts w:cs="Times New Roman"/>
        </w:rPr>
      </w:pPr>
      <w:r>
        <w:rPr>
          <w:rFonts w:cs="Times New Roman"/>
        </w:rPr>
        <w:t>水库蓄水不会导致水库周围山谷地下水水位显著抬升，水文变化不会对下游河谷区地下水水位造成大的影响。</w:t>
      </w:r>
    </w:p>
    <w:p>
      <w:pPr>
        <w:ind w:firstLine="480"/>
        <w:rPr>
          <w:rFonts w:cs="Times New Roman"/>
        </w:rPr>
      </w:pPr>
      <w:r>
        <w:rPr>
          <w:rFonts w:cs="Times New Roman"/>
        </w:rPr>
        <w:t>水库工程实施后，P=85%来水频率，</w:t>
      </w:r>
      <w:r>
        <w:rPr>
          <w:rFonts w:hint="eastAsia" w:cs="Times New Roman"/>
          <w:lang w:eastAsia="zh-CN"/>
        </w:rPr>
        <w:t>将</w:t>
      </w:r>
      <w:r>
        <w:rPr>
          <w:rFonts w:cs="Times New Roman"/>
        </w:rPr>
        <w:t>使下马崖乡一带地下水总补给量减少264.87万m</w:t>
      </w:r>
      <w:r>
        <w:rPr>
          <w:rFonts w:cs="Times New Roman"/>
          <w:vertAlign w:val="superscript"/>
        </w:rPr>
        <w:t>3</w:t>
      </w:r>
      <w:r>
        <w:rPr>
          <w:rFonts w:cs="Times New Roman"/>
        </w:rPr>
        <w:t>/a，补给减少量远小于下马崖乡一带地下水开采潜力865万m</w:t>
      </w:r>
      <w:r>
        <w:rPr>
          <w:rFonts w:cs="Times New Roman"/>
          <w:vertAlign w:val="superscript"/>
        </w:rPr>
        <w:t>3</w:t>
      </w:r>
      <w:r>
        <w:rPr>
          <w:rFonts w:cs="Times New Roman"/>
        </w:rPr>
        <w:t>/a，现状该区并未地下水开采利用，说明规划水库工程实施对下马崖乡一带地下水的影响有限。</w:t>
      </w:r>
    </w:p>
    <w:p>
      <w:pPr>
        <w:ind w:firstLine="480"/>
        <w:rPr>
          <w:rFonts w:cs="Times New Roman"/>
        </w:rPr>
      </w:pPr>
      <w:r>
        <w:rPr>
          <w:rFonts w:cs="Times New Roman"/>
        </w:rPr>
        <w:t>E.对流域陆生生态影响</w:t>
      </w:r>
    </w:p>
    <w:p>
      <w:pPr>
        <w:ind w:firstLine="480"/>
        <w:rPr>
          <w:rFonts w:cs="Times New Roman"/>
        </w:rPr>
      </w:pPr>
      <w:r>
        <w:rPr>
          <w:rFonts w:cs="Times New Roman"/>
        </w:rPr>
        <w:t>规划实施不会造成流域天然植被物种种数变化，对其资源量影响程度有限，亦不会对流域所处功能区生态服务功能产生明显不利影响。</w:t>
      </w:r>
    </w:p>
    <w:p>
      <w:pPr>
        <w:ind w:firstLine="480"/>
        <w:rPr>
          <w:rFonts w:cs="Times New Roman"/>
        </w:rPr>
      </w:pPr>
      <w:r>
        <w:rPr>
          <w:rFonts w:cs="Times New Roman"/>
        </w:rPr>
        <w:t>规划控制性水库工程位于流域下游，以荒漠植被为主，对中上游区域的水源涵养功能影响有限，流域工程建设、水资源开发对新疆哈密东天山生态功能自然保护区、东天山水源涵养与生物多样性维护生态保护红线区的水源涵养功能不会产生大的负面影响。</w:t>
      </w:r>
    </w:p>
    <w:p>
      <w:pPr>
        <w:ind w:firstLine="480"/>
        <w:rPr>
          <w:rFonts w:cs="Times New Roman"/>
        </w:rPr>
      </w:pPr>
      <w:r>
        <w:rPr>
          <w:rFonts w:cs="Times New Roman"/>
        </w:rPr>
        <w:t>F.对流域水生生态影响</w:t>
      </w:r>
    </w:p>
    <w:p>
      <w:pPr>
        <w:ind w:firstLine="480"/>
        <w:rPr>
          <w:rFonts w:cs="Times New Roman"/>
        </w:rPr>
      </w:pPr>
      <w:r>
        <w:rPr>
          <w:rFonts w:cs="Times New Roman"/>
        </w:rPr>
        <w:t>规划水库实施后，河流水文情势变化对水生生物及其资源量影响不大，总体上，规划水库实施后流域水生生物资源仍</w:t>
      </w:r>
      <w:r>
        <w:rPr>
          <w:rFonts w:hint="eastAsia" w:cs="Times New Roman"/>
          <w:lang w:eastAsia="zh-CN"/>
        </w:rPr>
        <w:t>将</w:t>
      </w:r>
      <w:r>
        <w:rPr>
          <w:rFonts w:cs="Times New Roman"/>
        </w:rPr>
        <w:t>维持原来水平，规划的实施对水生生态环境影响较小。</w:t>
      </w:r>
    </w:p>
    <w:p>
      <w:pPr>
        <w:ind w:firstLine="480"/>
        <w:rPr>
          <w:rFonts w:cs="Times New Roman"/>
        </w:rPr>
      </w:pPr>
      <w:r>
        <w:rPr>
          <w:rFonts w:cs="Times New Roman"/>
        </w:rPr>
        <w:t>G.生态风险评价</w:t>
      </w:r>
    </w:p>
    <w:p>
      <w:pPr>
        <w:ind w:firstLine="480"/>
        <w:rPr>
          <w:rFonts w:cs="Times New Roman"/>
        </w:rPr>
      </w:pPr>
      <w:r>
        <w:rPr>
          <w:rFonts w:cs="Times New Roman"/>
        </w:rPr>
        <w:t>规划实施过程中，非保灌区因供水条件变化，弃耕撂荒引起的土地荒漠化或沙化问题。</w:t>
      </w:r>
    </w:p>
    <w:p>
      <w:pPr>
        <w:ind w:firstLine="480"/>
        <w:rPr>
          <w:rFonts w:cs="Times New Roman"/>
        </w:rPr>
      </w:pPr>
      <w:r>
        <w:rPr>
          <w:rFonts w:cs="Times New Roman"/>
        </w:rPr>
        <w:t>规划实施后若未按照规划保灌面积控制灌溉用水，或节水措施部分未实现等，存在多引水且不按照要求下泄生态流量（水量）风险，</w:t>
      </w:r>
      <w:r>
        <w:rPr>
          <w:rFonts w:hint="eastAsia" w:cs="Times New Roman"/>
          <w:lang w:eastAsia="zh-CN"/>
        </w:rPr>
        <w:t>将</w:t>
      </w:r>
      <w:r>
        <w:rPr>
          <w:rFonts w:cs="Times New Roman"/>
        </w:rPr>
        <w:t>对代尔昆代郭勒流域中、下游干流生态环境产生不利影响。</w:t>
      </w:r>
    </w:p>
    <w:p>
      <w:pPr>
        <w:ind w:firstLine="480"/>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hint="eastAsia" w:ascii="宋体" w:hAnsi="宋体" w:cs="宋体"/>
        </w:rPr>
        <w:t>③</w:t>
      </w:r>
      <w:r>
        <w:rPr>
          <w:rFonts w:cs="Times New Roman"/>
        </w:rPr>
        <w:fldChar w:fldCharType="end"/>
      </w:r>
      <w:r>
        <w:rPr>
          <w:rFonts w:cs="Times New Roman"/>
        </w:rPr>
        <w:t>生态保护目标可达性结论</w:t>
      </w:r>
    </w:p>
    <w:p>
      <w:pPr>
        <w:ind w:firstLine="480"/>
        <w:rPr>
          <w:rFonts w:cs="Times New Roman"/>
        </w:rPr>
      </w:pPr>
      <w:r>
        <w:rPr>
          <w:rFonts w:cs="Times New Roman"/>
        </w:rPr>
        <w:t>A.水资源与水文情势评价指标变化分析</w:t>
      </w:r>
    </w:p>
    <w:p>
      <w:pPr>
        <w:ind w:firstLine="480"/>
        <w:rPr>
          <w:rFonts w:cs="Times New Roman"/>
        </w:rPr>
      </w:pPr>
      <w:r>
        <w:rPr>
          <w:rFonts w:cs="Times New Roman"/>
        </w:rPr>
        <w:t>规划年通过严格控制开采量，发展农业高效节水等措施，流域供水范围需水量由现状4706.91万m</w:t>
      </w:r>
      <w:r>
        <w:rPr>
          <w:rFonts w:cs="Times New Roman"/>
          <w:vertAlign w:val="superscript"/>
        </w:rPr>
        <w:t>3</w:t>
      </w:r>
      <w:r>
        <w:rPr>
          <w:rFonts w:cs="Times New Roman"/>
        </w:rPr>
        <w:t>减少至规划年的3255.77万m</w:t>
      </w:r>
      <w:r>
        <w:rPr>
          <w:rFonts w:cs="Times New Roman"/>
          <w:vertAlign w:val="superscript"/>
        </w:rPr>
        <w:t>3</w:t>
      </w:r>
      <w:r>
        <w:rPr>
          <w:rFonts w:cs="Times New Roman"/>
        </w:rPr>
        <w:t>，流域综合规划实施后，规划代尔昆代水库工程，向淖毛湖灌区增加地表水供给量359.57万m</w:t>
      </w:r>
      <w:r>
        <w:rPr>
          <w:rFonts w:cs="Times New Roman"/>
          <w:vertAlign w:val="superscript"/>
        </w:rPr>
        <w:t>3</w:t>
      </w:r>
      <w:r>
        <w:rPr>
          <w:rFonts w:cs="Times New Roman"/>
        </w:rPr>
        <w:t>，</w:t>
      </w:r>
      <w:r>
        <w:rPr>
          <w:rFonts w:hint="eastAsia" w:cs="Times New Roman"/>
          <w:lang w:eastAsia="zh-CN"/>
        </w:rPr>
        <w:t>将</w:t>
      </w:r>
      <w:r>
        <w:rPr>
          <w:rFonts w:cs="Times New Roman"/>
        </w:rPr>
        <w:t>使淖毛湖灌区地表水供水量增为3901.56万 m</w:t>
      </w:r>
      <w:r>
        <w:rPr>
          <w:rFonts w:cs="Times New Roman"/>
          <w:vertAlign w:val="superscript"/>
        </w:rPr>
        <w:t>3</w:t>
      </w:r>
      <w:r>
        <w:rPr>
          <w:rFonts w:cs="Times New Roman"/>
        </w:rPr>
        <w:t>，同时地下水供水量减为572.92万m</w:t>
      </w:r>
      <w:r>
        <w:rPr>
          <w:rFonts w:cs="Times New Roman"/>
          <w:vertAlign w:val="superscript"/>
        </w:rPr>
        <w:t>3</w:t>
      </w:r>
      <w:r>
        <w:rPr>
          <w:rFonts w:cs="Times New Roman"/>
        </w:rPr>
        <w:t>，分别较2030年淖毛湖灌区地表水、地下水用水控制指标值低920.94万m</w:t>
      </w:r>
      <w:r>
        <w:rPr>
          <w:rFonts w:cs="Times New Roman"/>
          <w:vertAlign w:val="superscript"/>
        </w:rPr>
        <w:t>3</w:t>
      </w:r>
      <w:r>
        <w:rPr>
          <w:rFonts w:cs="Times New Roman"/>
        </w:rPr>
        <w:t>、9.38万m</w:t>
      </w:r>
      <w:r>
        <w:rPr>
          <w:rFonts w:cs="Times New Roman"/>
          <w:vertAlign w:val="superscript"/>
        </w:rPr>
        <w:t>3</w:t>
      </w:r>
      <w:r>
        <w:rPr>
          <w:rFonts w:cs="Times New Roman"/>
        </w:rPr>
        <w:t>，符合伊吾县淖毛湖灌区用水总量控制指标要求。</w:t>
      </w:r>
    </w:p>
    <w:p>
      <w:pPr>
        <w:ind w:firstLine="480"/>
        <w:rPr>
          <w:rFonts w:cs="Times New Roman"/>
        </w:rPr>
      </w:pPr>
      <w:r>
        <w:rPr>
          <w:rFonts w:cs="Times New Roman"/>
        </w:rPr>
        <w:t>综合上述分析，在规划投资有保障的基础上，规划提出的各项节水措施、控制性和调蓄性工程均落实、监督管理要求均满足的前提下，规划实施后，水源开发利用均符合最严格水资源管理制度要求，农田灌溉水利用系数可达到0.65的控制指标要求；万元工业增加值用水定额由现状的42.54m</w:t>
      </w:r>
      <w:r>
        <w:rPr>
          <w:rFonts w:cs="Times New Roman"/>
          <w:vertAlign w:val="superscript"/>
        </w:rPr>
        <w:t>3</w:t>
      </w:r>
      <w:r>
        <w:rPr>
          <w:rFonts w:cs="Times New Roman"/>
        </w:rPr>
        <w:t>/万元降至30m</w:t>
      </w:r>
      <w:r>
        <w:rPr>
          <w:rFonts w:cs="Times New Roman"/>
          <w:vertAlign w:val="superscript"/>
        </w:rPr>
        <w:t>3</w:t>
      </w:r>
      <w:r>
        <w:rPr>
          <w:rFonts w:cs="Times New Roman"/>
        </w:rPr>
        <w:t>/万元，实现工业节水。规划实施可保障流域水资源可持续利用。</w:t>
      </w:r>
    </w:p>
    <w:p>
      <w:pPr>
        <w:ind w:firstLine="480"/>
        <w:rPr>
          <w:rFonts w:cs="Times New Roman"/>
        </w:rPr>
      </w:pPr>
      <w:r>
        <w:rPr>
          <w:rFonts w:cs="Times New Roman"/>
        </w:rPr>
        <w:t xml:space="preserve">B.水环境保护目标可达性 </w:t>
      </w:r>
    </w:p>
    <w:p>
      <w:pPr>
        <w:ind w:firstLine="480"/>
        <w:rPr>
          <w:rFonts w:cs="Times New Roman"/>
        </w:rPr>
      </w:pPr>
      <w:r>
        <w:rPr>
          <w:rFonts w:cs="Times New Roman"/>
        </w:rPr>
        <w:t>代尔昆代郭勒流域上游没有任何工业开发活动，仅在代尔昆代郭勒流域中下部有人畜活动，主要污染源类型为水土流失和少量牧业污染。规划实施不会对河流水环境产生明显不利影响，流域水质达标率为100%，水质目标可以实现。</w:t>
      </w:r>
    </w:p>
    <w:p>
      <w:pPr>
        <w:ind w:firstLine="480"/>
        <w:rPr>
          <w:rFonts w:cs="Times New Roman"/>
        </w:rPr>
      </w:pPr>
      <w:r>
        <w:rPr>
          <w:rFonts w:cs="Times New Roman"/>
        </w:rPr>
        <w:t>C.生态保护目标可达性</w:t>
      </w:r>
    </w:p>
    <w:p>
      <w:pPr>
        <w:ind w:firstLine="480"/>
        <w:rPr>
          <w:rFonts w:cs="Times New Roman"/>
        </w:rPr>
      </w:pPr>
      <w:r>
        <w:rPr>
          <w:rFonts w:cs="Times New Roman"/>
        </w:rPr>
        <w:t>规划工程占用范围不及流域荒漠草地植被总面积的1%，因此不会对其种类产生较大的影响，亦不会对野生动物的种群及数量产生较大影响。在落实相关规划调整建议并采取植被恢复等环保措施后，代尔昆代郭勒流域的生态环境目标基本可达。</w:t>
      </w:r>
    </w:p>
    <w:p>
      <w:pPr>
        <w:ind w:firstLine="480"/>
        <w:rPr>
          <w:rFonts w:cs="Times New Roman"/>
        </w:rPr>
      </w:pPr>
      <w:r>
        <w:rPr>
          <w:rFonts w:cs="Times New Roman"/>
        </w:rPr>
        <w:t>规划代尔昆代水库坝址处河段无鱼类资源，河段内无水生重要生物。规划实施对水生生物不会产生影响。</w:t>
      </w:r>
    </w:p>
    <w:p>
      <w:pPr>
        <w:ind w:firstLine="480"/>
        <w:rPr>
          <w:rFonts w:cs="Times New Roman"/>
        </w:rPr>
      </w:pPr>
      <w:r>
        <w:rPr>
          <w:rFonts w:cs="Times New Roman"/>
        </w:rPr>
        <w:fldChar w:fldCharType="begin"/>
      </w:r>
      <w:r>
        <w:rPr>
          <w:rFonts w:cs="Times New Roman"/>
        </w:rPr>
        <w:instrText xml:space="preserve"> = 4 \* GB3 </w:instrText>
      </w:r>
      <w:r>
        <w:rPr>
          <w:rFonts w:cs="Times New Roman"/>
        </w:rPr>
        <w:fldChar w:fldCharType="separate"/>
      </w:r>
      <w:r>
        <w:rPr>
          <w:rFonts w:hint="eastAsia" w:ascii="宋体" w:hAnsi="宋体" w:cs="宋体"/>
        </w:rPr>
        <w:t>④</w:t>
      </w:r>
      <w:r>
        <w:rPr>
          <w:rFonts w:cs="Times New Roman"/>
        </w:rPr>
        <w:fldChar w:fldCharType="end"/>
      </w:r>
      <w:r>
        <w:rPr>
          <w:rFonts w:cs="Times New Roman"/>
        </w:rPr>
        <w:t>优化调整建议及保护对策措施</w:t>
      </w:r>
    </w:p>
    <w:p>
      <w:pPr>
        <w:ind w:firstLine="480"/>
        <w:rPr>
          <w:rFonts w:cs="Times New Roman"/>
        </w:rPr>
      </w:pPr>
      <w:r>
        <w:rPr>
          <w:rFonts w:cs="Times New Roman"/>
        </w:rPr>
        <w:t>A.优化调整建议</w:t>
      </w:r>
    </w:p>
    <w:p>
      <w:pPr>
        <w:ind w:firstLine="480"/>
        <w:rPr>
          <w:rFonts w:cs="Times New Roman"/>
        </w:rPr>
      </w:pPr>
      <w:r>
        <w:rPr>
          <w:rFonts w:cs="Times New Roman"/>
        </w:rPr>
        <w:t>流域综合规划环评针对城乡供水规划、灌区规划、水土保持规划、节约用水规划、坝址选址、生态红线、生态基流量提出的优化调整建议见表2.1-1。</w:t>
      </w:r>
    </w:p>
    <w:p>
      <w:pPr>
        <w:pStyle w:val="137"/>
        <w:spacing w:before="48"/>
      </w:pPr>
      <w:r>
        <w:t>表2.1-1   代尔昆代郭勒流域综合规划环境影响评价优化调整建议汇总表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pStyle w:val="136"/>
            </w:pPr>
            <w:r>
              <w:t>专项规划</w:t>
            </w:r>
          </w:p>
        </w:tc>
        <w:tc>
          <w:tcPr>
            <w:tcW w:w="7308" w:type="dxa"/>
            <w:vAlign w:val="center"/>
          </w:tcPr>
          <w:p>
            <w:pPr>
              <w:pStyle w:val="136"/>
            </w:pPr>
            <w:r>
              <w:t>优化调整建议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pStyle w:val="136"/>
            </w:pPr>
            <w:r>
              <w:t>城乡供水规划</w:t>
            </w:r>
          </w:p>
        </w:tc>
        <w:tc>
          <w:tcPr>
            <w:tcW w:w="7308" w:type="dxa"/>
            <w:vAlign w:val="center"/>
          </w:tcPr>
          <w:p>
            <w:pPr>
              <w:pStyle w:val="136"/>
            </w:pPr>
            <w:r>
              <w:t>地表水水源供水工程建成后，其引水量及引水过程，须满足规划提出的水资源配置方案要求及最严格水资源管理规定“三条红线”指标要求，避免超引水。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pStyle w:val="136"/>
            </w:pPr>
          </w:p>
        </w:tc>
        <w:tc>
          <w:tcPr>
            <w:tcW w:w="7308" w:type="dxa"/>
            <w:vAlign w:val="center"/>
          </w:tcPr>
          <w:p>
            <w:pPr>
              <w:pStyle w:val="136"/>
            </w:pPr>
            <w:r>
              <w:t>地下水水源工程，开采量应严格控制在区域地下水可开采量范围内，避免超采引发相关地下水问题。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0" w:type="dxa"/>
            <w:vMerge w:val="continue"/>
            <w:vAlign w:val="center"/>
          </w:tcPr>
          <w:p>
            <w:pPr>
              <w:pStyle w:val="136"/>
            </w:pPr>
          </w:p>
        </w:tc>
        <w:tc>
          <w:tcPr>
            <w:tcW w:w="7308" w:type="dxa"/>
            <w:vAlign w:val="center"/>
          </w:tcPr>
          <w:p>
            <w:pPr>
              <w:pStyle w:val="136"/>
            </w:pPr>
            <w:r>
              <w:t>随着供水工程建设以及城乡规模发展，各城区供水量</w:t>
            </w:r>
            <w:r>
              <w:rPr>
                <w:rFonts w:hint="eastAsia"/>
                <w:lang w:eastAsia="zh-CN"/>
              </w:rPr>
              <w:t>将</w:t>
            </w:r>
            <w:r>
              <w:t>有所增加，由此，各城乡污水排放量也</w:t>
            </w:r>
            <w:r>
              <w:rPr>
                <w:rFonts w:hint="eastAsia"/>
                <w:lang w:eastAsia="zh-CN"/>
              </w:rPr>
              <w:t>将</w:t>
            </w:r>
            <w:r>
              <w:t>相应增加，建议应在各城乡配套新建或改建现有污水处理厂，提高污水处理能力，同时，合理规划污水出路，避免对河流水质产生影响。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pStyle w:val="136"/>
            </w:pPr>
            <w:r>
              <w:t>灌区规划</w:t>
            </w:r>
          </w:p>
        </w:tc>
        <w:tc>
          <w:tcPr>
            <w:tcW w:w="7308" w:type="dxa"/>
            <w:vAlign w:val="center"/>
          </w:tcPr>
          <w:p>
            <w:pPr>
              <w:pStyle w:val="136"/>
            </w:pPr>
            <w:r>
              <w:t>所有渠首改建后，其引水量及引水过程，须满足规划提出的水资源配置方案要求及最严格水资源管理规定“三条红线  ”指标要求，避免超引水，避免因渠首改建后增引水造成供水灌区灌溉面积增加。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pStyle w:val="136"/>
            </w:pPr>
          </w:p>
        </w:tc>
        <w:tc>
          <w:tcPr>
            <w:tcW w:w="7308" w:type="dxa"/>
            <w:vAlign w:val="center"/>
          </w:tcPr>
          <w:p>
            <w:pPr>
              <w:pStyle w:val="136"/>
            </w:pPr>
            <w:r>
              <w:t>a规划代尔昆代水库坝址断面引水口断面应确保生态流量下泄。</w:t>
            </w:r>
          </w:p>
          <w:p>
            <w:pPr>
              <w:pStyle w:val="136"/>
            </w:pPr>
            <w:r>
              <w:t>b代尔昆代水库供水灌区引水量及引水过程，须满足规划提出的水资源配置方案要求及最严格水资源管理规定“三条红线”指标要求，避免超引水，避免因水库建成后增引水造成供水灌区灌溉面积增加。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pStyle w:val="136"/>
            </w:pPr>
          </w:p>
        </w:tc>
        <w:tc>
          <w:tcPr>
            <w:tcW w:w="7308" w:type="dxa"/>
            <w:vAlign w:val="center"/>
          </w:tcPr>
          <w:p>
            <w:pPr>
              <w:pStyle w:val="136"/>
            </w:pPr>
            <w:r>
              <w:t>a优化供水管道工程设计，减少占地面积，降低工程占地对灌区土地利用、陆生生态的影响。</w:t>
            </w:r>
          </w:p>
          <w:p>
            <w:pPr>
              <w:pStyle w:val="136"/>
            </w:pPr>
            <w:r>
              <w:t>b下阶段应优化输水工程设计，减少占地面积，降低工程占地对灌区土地利用、陆生生态的影响。采用对野生动物友好的管道、隧道或其它封闭形式输水，以减免阻隔影响。</w:t>
            </w:r>
          </w:p>
          <w:p>
            <w:pPr>
              <w:pStyle w:val="136"/>
            </w:pPr>
            <w:r>
              <w:t>C 加强施工期环境管理，降低施工活动对周边环境的影响。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pStyle w:val="136"/>
            </w:pPr>
            <w:r>
              <w:t>水土保持规划</w:t>
            </w:r>
          </w:p>
        </w:tc>
        <w:tc>
          <w:tcPr>
            <w:tcW w:w="7308" w:type="dxa"/>
            <w:vAlign w:val="center"/>
          </w:tcPr>
          <w:p>
            <w:pPr>
              <w:pStyle w:val="136"/>
            </w:pPr>
            <w:r>
              <w:t>针对水土保持规划提出的人工种草等，应与灌区大农业结构调整相结合，避免因种植人工草场而增大灌溉面积，同时，公益林及人工草地灌溉用水，应符合流域规划拟定的水资源配置方案，满足最严格水资源管理规定“三条红线”指标要求，杜绝超引水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pStyle w:val="136"/>
            </w:pPr>
            <w:r>
              <w:t>节约用水规划</w:t>
            </w:r>
          </w:p>
        </w:tc>
        <w:tc>
          <w:tcPr>
            <w:tcW w:w="7308" w:type="dxa"/>
            <w:vAlign w:val="center"/>
          </w:tcPr>
          <w:p>
            <w:pPr>
              <w:pStyle w:val="136"/>
            </w:pPr>
            <w:r>
              <w:t>提高淖毛湖镇生活污水收集率，对淖毛湖镇污水处理厂处理工艺提标改造，提高污水处理后的再生水利用率，使达标尾水有效回用，降低再生水资源浪费。规划水平年2030年完成对淖毛湖工业园区废污水处理厂和中水厂及配套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pStyle w:val="136"/>
            </w:pPr>
          </w:p>
        </w:tc>
        <w:tc>
          <w:tcPr>
            <w:tcW w:w="7308" w:type="dxa"/>
            <w:vAlign w:val="center"/>
          </w:tcPr>
          <w:p>
            <w:pPr>
              <w:pStyle w:val="136"/>
            </w:pPr>
            <w:r>
              <w:t>规划应提出具体的节水工程措施，如细化农业田间节水工程措施、节水工程自动化具体要求及相应工程的建设时序。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pStyle w:val="136"/>
            </w:pPr>
            <w:r>
              <w:t>坝址选址</w:t>
            </w:r>
          </w:p>
        </w:tc>
        <w:tc>
          <w:tcPr>
            <w:tcW w:w="7308" w:type="dxa"/>
            <w:vAlign w:val="center"/>
          </w:tcPr>
          <w:p>
            <w:pPr>
              <w:pStyle w:val="136"/>
            </w:pPr>
            <w:r>
              <w:t>坝址选址应充分考虑土石方平衡，减少土石方数量，做好土地复垦、弃方造地和恢复植被设计。加强对本规划实施的适用性、环境保护等方面综合设计。规划选址应贯彻落实水土保持法规，并采取相应的技术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pStyle w:val="136"/>
            </w:pPr>
            <w:r>
              <w:t>生态红线</w:t>
            </w:r>
          </w:p>
        </w:tc>
        <w:tc>
          <w:tcPr>
            <w:tcW w:w="7308" w:type="dxa"/>
            <w:vAlign w:val="center"/>
          </w:tcPr>
          <w:p>
            <w:pPr>
              <w:pStyle w:val="136"/>
            </w:pPr>
            <w:r>
              <w:t>在后续开发利用过程中，对于占用红线区工程，必须严格遵循生态保护红线的要求。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pStyle w:val="136"/>
            </w:pPr>
            <w:r>
              <w:t>生态基流量</w:t>
            </w:r>
          </w:p>
        </w:tc>
        <w:tc>
          <w:tcPr>
            <w:tcW w:w="7308" w:type="dxa"/>
            <w:vAlign w:val="center"/>
          </w:tcPr>
          <w:p>
            <w:pPr>
              <w:pStyle w:val="136"/>
            </w:pPr>
            <w:r>
              <w:t>建立生态基流量监测体系、制定合理的用水计划、推广节水技术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pStyle w:val="136"/>
            </w:pPr>
          </w:p>
        </w:tc>
        <w:tc>
          <w:tcPr>
            <w:tcW w:w="7308" w:type="dxa"/>
            <w:vAlign w:val="center"/>
          </w:tcPr>
          <w:p>
            <w:pPr>
              <w:pStyle w:val="136"/>
            </w:pPr>
            <w:r>
              <w:t>在淖毛湖区域工业用水有替代水源或通过提高工业用水重复利用率、灌溉节水效率后，应适当减少代尔昆代水库对淖毛湖区域调水，使代尔昆代郭勒流域6月、9月下泄生态水量达到多年平均天然流量的30%。</w:t>
            </w:r>
          </w:p>
        </w:tc>
      </w:tr>
    </w:tbl>
    <w:p>
      <w:pPr>
        <w:ind w:firstLine="480"/>
        <w:rPr>
          <w:rFonts w:cs="Times New Roman"/>
        </w:rPr>
      </w:pPr>
    </w:p>
    <w:p>
      <w:pPr>
        <w:ind w:firstLine="480"/>
        <w:rPr>
          <w:rFonts w:cs="Times New Roman"/>
        </w:rPr>
      </w:pPr>
      <w:r>
        <w:rPr>
          <w:rFonts w:cs="Times New Roman"/>
        </w:rPr>
        <w:t>B.主要环境保护对策措施</w:t>
      </w:r>
    </w:p>
    <w:p>
      <w:pPr>
        <w:ind w:firstLine="480"/>
        <w:rPr>
          <w:rFonts w:cs="Times New Roman"/>
        </w:rPr>
      </w:pPr>
      <w:r>
        <w:rPr>
          <w:rFonts w:cs="Times New Roman"/>
        </w:rPr>
        <w:t>a.水文水资源保护对策措施</w:t>
      </w:r>
    </w:p>
    <w:p>
      <w:pPr>
        <w:ind w:firstLine="480"/>
        <w:rPr>
          <w:rFonts w:cs="Times New Roman"/>
        </w:rPr>
      </w:pPr>
      <w:r>
        <w:rPr>
          <w:rFonts w:cs="Times New Roman"/>
        </w:rPr>
        <w:t>加强水资源管理，建立健全水资源管理机构和制度，实施水资源集中统一调度。强化节水型社会建设，积极推广节水措施。</w:t>
      </w:r>
    </w:p>
    <w:p>
      <w:pPr>
        <w:ind w:firstLine="480"/>
        <w:rPr>
          <w:rFonts w:cs="Times New Roman"/>
        </w:rPr>
      </w:pPr>
      <w:r>
        <w:rPr>
          <w:rFonts w:cs="Times New Roman"/>
        </w:rPr>
        <w:t>b.水环境保护对策措施</w:t>
      </w:r>
    </w:p>
    <w:p>
      <w:pPr>
        <w:ind w:firstLine="480"/>
        <w:rPr>
          <w:rFonts w:cs="Times New Roman"/>
        </w:rPr>
      </w:pPr>
      <w:r>
        <w:rPr>
          <w:rFonts w:cs="Times New Roman"/>
        </w:rPr>
        <w:t>代尔昆代郭勒水库承担饮用水供水任务，流域综合规划实施后，</w:t>
      </w:r>
      <w:r>
        <w:rPr>
          <w:rFonts w:hint="eastAsia" w:cs="Times New Roman"/>
          <w:lang w:eastAsia="zh-CN"/>
        </w:rPr>
        <w:t>将</w:t>
      </w:r>
      <w:r>
        <w:rPr>
          <w:rFonts w:cs="Times New Roman"/>
        </w:rPr>
        <w:t>代尔昆代郭勒水库及以上区域划为饮用水水源保护区，严格按照国家及地方的相关的饮用水水源保护区的法律、法规、条例执行，以保障用水水质。</w:t>
      </w:r>
    </w:p>
    <w:p>
      <w:pPr>
        <w:ind w:firstLine="480"/>
        <w:rPr>
          <w:rFonts w:cs="Times New Roman"/>
        </w:rPr>
      </w:pPr>
      <w:r>
        <w:rPr>
          <w:rFonts w:cs="Times New Roman"/>
        </w:rPr>
        <w:t>加强水资源、水环境管理，禁止向水体排放污水或其它污染物，做好上游水源涵养。</w:t>
      </w:r>
    </w:p>
    <w:p>
      <w:pPr>
        <w:ind w:firstLine="480"/>
        <w:rPr>
          <w:rFonts w:cs="Times New Roman"/>
        </w:rPr>
      </w:pPr>
      <w:r>
        <w:rPr>
          <w:rFonts w:cs="Times New Roman"/>
        </w:rPr>
        <w:t>c.地下水环境保护对策措施</w:t>
      </w:r>
    </w:p>
    <w:p>
      <w:pPr>
        <w:ind w:firstLine="480"/>
        <w:rPr>
          <w:rFonts w:cs="Times New Roman"/>
        </w:rPr>
      </w:pPr>
      <w:r>
        <w:rPr>
          <w:rFonts w:cs="Times New Roman"/>
        </w:rPr>
        <w:t>严格按照“三条红线”管理水资源利用要求，在合理开发利用地下水资源的基础上，减少地下水资源的过度开采，尤其是禁止开采流域深层地下水。开展节水工作，提高地下水用水效率和节水潜力，把节水工程建设，纳入当地节水规划中。在下马崖乡一带上、中、下游分别设置地下水水位动态观测井1眼，用于下马崖乡地下水水位、水质同步监测。</w:t>
      </w:r>
    </w:p>
    <w:p>
      <w:pPr>
        <w:ind w:firstLine="480"/>
        <w:rPr>
          <w:rFonts w:cs="Times New Roman"/>
        </w:rPr>
      </w:pPr>
      <w:r>
        <w:rPr>
          <w:rFonts w:cs="Times New Roman"/>
        </w:rPr>
        <w:t>d.生态保护对策措施</w:t>
      </w:r>
    </w:p>
    <w:p>
      <w:pPr>
        <w:ind w:firstLine="480"/>
        <w:rPr>
          <w:rFonts w:cs="Times New Roman"/>
        </w:rPr>
      </w:pPr>
      <w:r>
        <w:rPr>
          <w:rFonts w:cs="Times New Roman"/>
        </w:rPr>
        <w:t>规划实施期间需科学选址，合理布置，一地多能，综合利用，尽可能少占或者不占用陆生植物集中分布的区域，加强管理及时恢复</w:t>
      </w:r>
      <w:r>
        <w:rPr>
          <w:rFonts w:hint="eastAsia" w:cs="Times New Roman"/>
          <w:lang w:eastAsia="zh-CN"/>
        </w:rPr>
        <w:t>占用地区植被</w:t>
      </w:r>
      <w:r>
        <w:rPr>
          <w:rFonts w:cs="Times New Roman"/>
        </w:rPr>
        <w:t xml:space="preserve">，根据实际情况预留动物通道。 </w:t>
      </w:r>
    </w:p>
    <w:p>
      <w:pPr>
        <w:ind w:firstLine="480"/>
        <w:rPr>
          <w:rFonts w:cs="Times New Roman"/>
        </w:rPr>
      </w:pPr>
      <w:r>
        <w:rPr>
          <w:rFonts w:cs="Times New Roman"/>
        </w:rPr>
        <w:t>落实生态基流泄放措施，开展生态流量在线监测，加强水资源有效统一的管理，严格限定灌区的引水量，并通过水资源优化调配限额控制地下水开采量，有效维持地下水位以涵养荒漠植被生长，从而有效改善区域生态环境。规划水平年代尔昆代郭勒河道85%保证率下，河道天然来水量507万m</w:t>
      </w:r>
      <w:r>
        <w:rPr>
          <w:rFonts w:cs="Times New Roman"/>
          <w:vertAlign w:val="superscript"/>
        </w:rPr>
        <w:t>3</w:t>
      </w:r>
      <w:r>
        <w:rPr>
          <w:rFonts w:cs="Times New Roman"/>
        </w:rPr>
        <w:t>，可供水量382.87万m</w:t>
      </w:r>
      <w:r>
        <w:rPr>
          <w:rFonts w:cs="Times New Roman"/>
          <w:vertAlign w:val="superscript"/>
        </w:rPr>
        <w:t>3</w:t>
      </w:r>
      <w:r>
        <w:rPr>
          <w:rFonts w:cs="Times New Roman"/>
        </w:rPr>
        <w:t>，可人工控制用于下泄的生态环境水量为124.13万m</w:t>
      </w:r>
      <w:r>
        <w:rPr>
          <w:rFonts w:cs="Times New Roman"/>
          <w:vertAlign w:val="superscript"/>
        </w:rPr>
        <w:t>3</w:t>
      </w:r>
      <w:r>
        <w:rPr>
          <w:rFonts w:cs="Times New Roman"/>
        </w:rPr>
        <w:t>。</w:t>
      </w:r>
    </w:p>
    <w:p>
      <w:pPr>
        <w:ind w:firstLine="480"/>
        <w:rPr>
          <w:rFonts w:cs="Times New Roman"/>
        </w:rPr>
      </w:pPr>
      <w:r>
        <w:rPr>
          <w:rFonts w:cs="Times New Roman"/>
        </w:rPr>
        <w:t>保护下马崖一带植被，合理调控水资源，确保生态流量的稳定下泄，以维护流域生态系统的健康与稳定。</w:t>
      </w:r>
    </w:p>
    <w:p>
      <w:pPr>
        <w:ind w:firstLine="480"/>
        <w:rPr>
          <w:rFonts w:cs="Times New Roman"/>
        </w:rPr>
      </w:pPr>
      <w:r>
        <w:rPr>
          <w:rFonts w:cs="Times New Roman"/>
        </w:rPr>
        <w:t>e.风险防范对策</w:t>
      </w:r>
    </w:p>
    <w:p>
      <w:pPr>
        <w:ind w:firstLine="480"/>
        <w:rPr>
          <w:rFonts w:cs="Times New Roman"/>
        </w:rPr>
      </w:pPr>
      <w:r>
        <w:rPr>
          <w:rFonts w:cs="Times New Roman"/>
        </w:rPr>
        <w:t>代尔昆代郭勒流域内相关管理机构应针对各自管辖范围内非保灌区域，因地制宜的制定防范土地荒漠化或沙化工作方案，并落实责任主体、强化监督管理，必要时进行封育、封禁以及丰水期适量补水，促进其自然植被恢复。</w:t>
      </w:r>
    </w:p>
    <w:p>
      <w:pPr>
        <w:ind w:firstLine="480"/>
        <w:rPr>
          <w:rFonts w:cs="Times New Roman"/>
        </w:rPr>
      </w:pPr>
      <w:r>
        <w:rPr>
          <w:rFonts w:cs="Times New Roman"/>
        </w:rPr>
        <w:t>加强流域的水资源管理、加强节水农业灌溉管理、制定严格的节水政策、加强水资源监测、改善灌溉设施、严格落实流域水资源的分配方案。引导农户科学种植，减少弃耕撂荒现象的发生。</w:t>
      </w:r>
    </w:p>
    <w:p>
      <w:pPr>
        <w:ind w:firstLine="480"/>
        <w:rPr>
          <w:rFonts w:cs="Times New Roman"/>
        </w:rPr>
      </w:pPr>
      <w:r>
        <w:rPr>
          <w:rFonts w:cs="Times New Roman"/>
        </w:rPr>
        <w:t>（2）流域综合规划环评主要审查意见</w:t>
      </w:r>
    </w:p>
    <w:p>
      <w:pPr>
        <w:ind w:firstLine="480"/>
        <w:rPr>
          <w:rFonts w:cs="Times New Roman"/>
        </w:rPr>
      </w:pPr>
      <w:r>
        <w:rPr>
          <w:rFonts w:cs="Times New Roman"/>
        </w:rPr>
        <w:t>一、《规划》应按《报告书》的建议，特别</w:t>
      </w:r>
      <w:r>
        <w:rPr>
          <w:rFonts w:hint="eastAsia" w:cs="Times New Roman"/>
          <w:lang w:val="en-US" w:eastAsia="zh-CN"/>
        </w:rPr>
        <w:t>是</w:t>
      </w:r>
      <w:r>
        <w:rPr>
          <w:rFonts w:cs="Times New Roman"/>
        </w:rPr>
        <w:t>以下方面进行补充和优化调整。</w:t>
      </w:r>
    </w:p>
    <w:p>
      <w:pPr>
        <w:ind w:firstLine="480"/>
        <w:rPr>
          <w:rFonts w:cs="Times New Roman"/>
        </w:rPr>
      </w:pPr>
      <w:r>
        <w:rPr>
          <w:rFonts w:cs="Times New Roman"/>
        </w:rPr>
        <w:t>（一）水库工程坝址断面下泄生态流量：丰水期不小于多年平均天然径流量的30%、枯水期不小于多年平均天然径流量的10%。</w:t>
      </w:r>
    </w:p>
    <w:p>
      <w:pPr>
        <w:ind w:firstLine="480"/>
        <w:rPr>
          <w:rFonts w:cs="Times New Roman"/>
        </w:rPr>
      </w:pPr>
      <w:r>
        <w:rPr>
          <w:rFonts w:cs="Times New Roman"/>
        </w:rPr>
        <w:t>（二）建议提高淖毛湖镇生活污水收集率，对淖毛湖镇污水处理厂处理工艺提标改造，使达标尾水有效回用，提高污水处理后的再生水利用率。规划水平年2030年完成对淖毛湖工业园区废污水处理厂和中水厂及配套设施建设。</w:t>
      </w:r>
    </w:p>
    <w:p>
      <w:pPr>
        <w:ind w:firstLine="480"/>
        <w:rPr>
          <w:rFonts w:cs="Times New Roman"/>
        </w:rPr>
      </w:pPr>
      <w:r>
        <w:rPr>
          <w:rFonts w:cs="Times New Roman"/>
        </w:rPr>
        <w:t>（三）优化输水工程设计，减少占地面积，降低工程占地对土地利用、陆生生态的影响。采用对野生动物友好的管道、隧道或其它封闭形式输水，以减免阻隔影响。</w:t>
      </w:r>
    </w:p>
    <w:p>
      <w:pPr>
        <w:ind w:firstLine="480"/>
        <w:rPr>
          <w:rFonts w:cs="Times New Roman"/>
        </w:rPr>
      </w:pPr>
      <w:r>
        <w:rPr>
          <w:rFonts w:cs="Times New Roman"/>
        </w:rPr>
        <w:t>（四）进一步优化水库工程设计方案，通过下移坝址或下调蓄水位等方式避让红线区，避免占用和影响红线区天然植被，无法避让时应根据生态保护红线的相关管理规定，取得主管部门的同意后，依法理征占地等相关手续，严格落实生态保护与恢复责任。</w:t>
      </w:r>
    </w:p>
    <w:p>
      <w:pPr>
        <w:ind w:firstLine="480"/>
        <w:rPr>
          <w:rFonts w:cs="Times New Roman"/>
        </w:rPr>
      </w:pPr>
      <w:r>
        <w:rPr>
          <w:rFonts w:cs="Times New Roman"/>
        </w:rPr>
        <w:t>（五）本次规划环评参照自治区“三线一单”成果，以及流域涉及的国家、自治区主体功能区划、各类生态功能区划、环境质量功能区划对流域空间管控、环境质量的相关要求，梳理出了流域开发的“三线一单”约束性要求。流域后续开发活动应按照“生态保护红线、环境质量底线、资源利用上线和产业准入清单”约束要求，强化空间管制，具体是：规划水库工程选址、输水工程选线应符合生态保护红线保护要求，要依法优先避让各类环境敏感区；资源开发利用上不得突破资源利用上线，并确保不突破区域环境质量底线。</w:t>
      </w:r>
    </w:p>
    <w:p>
      <w:pPr>
        <w:ind w:firstLine="480"/>
        <w:rPr>
          <w:rFonts w:cs="Times New Roman"/>
        </w:rPr>
      </w:pPr>
      <w:r>
        <w:rPr>
          <w:rFonts w:cs="Times New Roman"/>
        </w:rPr>
        <w:t>（六）规划方案的实施，不可避免</w:t>
      </w:r>
      <w:r>
        <w:rPr>
          <w:rFonts w:hint="eastAsia" w:cs="Times New Roman"/>
          <w:lang w:eastAsia="zh-CN"/>
        </w:rPr>
        <w:t>将</w:t>
      </w:r>
      <w:r>
        <w:rPr>
          <w:rFonts w:cs="Times New Roman"/>
        </w:rPr>
        <w:t>对区域自然植被、景观、水生生态造成不利影响。对于规划水库工程，应在单项工程阶段，随着设计深度的增加，进一步优化设计，合理选址选线，减少施工占地，减少占地对林草植被的影响，尽量避开植被覆</w:t>
      </w:r>
      <w:r>
        <w:rPr>
          <w:rFonts w:hint="eastAsia" w:cs="Times New Roman"/>
          <w:lang w:eastAsia="zh-CN"/>
        </w:rPr>
        <w:t>植盖度</w:t>
      </w:r>
      <w:r>
        <w:rPr>
          <w:rFonts w:cs="Times New Roman"/>
        </w:rPr>
        <w:t>较高的区域，尽可能选择对区域环境和景观影响小的方案，保护区域生态环境及景观。</w:t>
      </w:r>
    </w:p>
    <w:p>
      <w:pPr>
        <w:ind w:firstLine="480"/>
        <w:rPr>
          <w:rFonts w:cs="Times New Roman"/>
        </w:rPr>
      </w:pPr>
      <w:r>
        <w:rPr>
          <w:rFonts w:cs="Times New Roman"/>
        </w:rPr>
        <w:t>（七）按《报告书》要求，落实对规划环境保护目标可达性、生态保护红线、生态保护与恢复等优化调整要求。</w:t>
      </w:r>
    </w:p>
    <w:p>
      <w:pPr>
        <w:ind w:firstLine="480"/>
        <w:rPr>
          <w:rFonts w:cs="Times New Roman"/>
        </w:rPr>
      </w:pPr>
      <w:r>
        <w:rPr>
          <w:rFonts w:cs="Times New Roman"/>
        </w:rPr>
        <w:t>二、在规划实施应重点做好以下工作：</w:t>
      </w:r>
    </w:p>
    <w:p>
      <w:pPr>
        <w:ind w:firstLine="480"/>
        <w:rPr>
          <w:rFonts w:cs="Times New Roman"/>
        </w:rPr>
      </w:pPr>
      <w:r>
        <w:rPr>
          <w:rFonts w:cs="Times New Roman"/>
        </w:rPr>
        <w:t>（一）严格保护生态空间，优化规划布局。加强与“三线一单”分区管控等有关要求的衔接，确保符合相关管控和保护要求，实现流域综合规划与生态环境保护、人居环境安全相协调。进一步优化规划工程布局，重点关注涉及生态保护红线的工程，需按照生态红线管理规定，坚持“避让”优先原则，后期做好与国土空间规划有效衔接。避免国民经济用水超引，确保流域生态用水得到保障。</w:t>
      </w:r>
    </w:p>
    <w:p>
      <w:pPr>
        <w:ind w:firstLine="480"/>
        <w:rPr>
          <w:rFonts w:cs="Times New Roman"/>
        </w:rPr>
      </w:pPr>
      <w:r>
        <w:rPr>
          <w:rFonts w:cs="Times New Roman"/>
        </w:rPr>
        <w:t>（二）严格限制流域开发强度，优化开发方案，严格控制水资源开发强度，确保用水总量控制、用水效率控制、水功能区水质达标率三项控制指标达到“三条红线”要求。</w:t>
      </w:r>
      <w:r>
        <w:rPr>
          <w:rFonts w:hint="eastAsia" w:cs="Times New Roman"/>
          <w:lang w:eastAsia="zh-CN"/>
        </w:rPr>
        <w:t>将</w:t>
      </w:r>
      <w:r>
        <w:rPr>
          <w:rFonts w:cs="Times New Roman"/>
        </w:rPr>
        <w:t>灌区节水作为流域新增用水指标的前提，保障各断面生态流量要求，避免对流域生态环境产生不良影响。水资源开发利用应确保生态保护目标的生态需水量与径流过程要求，落实生态流量监控、生态流量泄放等保障措施。开展常态化生态及水量、水质监测。</w:t>
      </w:r>
    </w:p>
    <w:p>
      <w:pPr>
        <w:ind w:firstLine="480"/>
        <w:rPr>
          <w:rFonts w:cs="Times New Roman"/>
        </w:rPr>
      </w:pPr>
      <w:r>
        <w:rPr>
          <w:rFonts w:cs="Times New Roman"/>
        </w:rPr>
        <w:t>（三）强化流域水环境综合整治，切实改善流域水环境质量，确保饮用水水源保护区水质达标，保障饮用水安全。</w:t>
      </w:r>
    </w:p>
    <w:p>
      <w:pPr>
        <w:ind w:firstLine="480"/>
        <w:rPr>
          <w:rFonts w:cs="Times New Roman"/>
        </w:rPr>
      </w:pPr>
      <w:r>
        <w:rPr>
          <w:rFonts w:cs="Times New Roman"/>
        </w:rPr>
        <w:t>（四）全面推进河长制管理，加强流域综合管理，健全长效机制。建立健全水文、水环境、生态流量、水陆生生态等监测体系，根据跟踪监测情况，落实和完善生态环境保护对策措施。</w:t>
      </w:r>
    </w:p>
    <w:p>
      <w:pPr>
        <w:ind w:firstLine="480"/>
        <w:rPr>
          <w:rFonts w:cs="Times New Roman"/>
        </w:rPr>
      </w:pPr>
    </w:p>
    <w:p>
      <w:pPr>
        <w:pStyle w:val="3"/>
        <w:rPr>
          <w:rFonts w:cs="Times New Roman"/>
        </w:rPr>
      </w:pPr>
      <w:bookmarkStart w:id="57" w:name="_Toc181381595"/>
      <w:bookmarkStart w:id="58" w:name="_Toc136263285"/>
      <w:r>
        <w:rPr>
          <w:rFonts w:cs="Times New Roman"/>
        </w:rPr>
        <w:t>2.2 工程建设必要性</w:t>
      </w:r>
      <w:bookmarkEnd w:id="57"/>
    </w:p>
    <w:p>
      <w:pPr>
        <w:ind w:firstLine="480"/>
        <w:rPr>
          <w:rFonts w:cs="Times New Roman"/>
        </w:rPr>
      </w:pPr>
      <w:r>
        <w:rPr>
          <w:rFonts w:cs="Times New Roman"/>
        </w:rPr>
        <w:t>（1）是开发利用区域地表水、优化配置区域水资源，解决淖毛湖区域供用水矛盾的需要。</w:t>
      </w:r>
    </w:p>
    <w:p>
      <w:pPr>
        <w:ind w:firstLine="480"/>
        <w:rPr>
          <w:rFonts w:cs="Times New Roman"/>
        </w:rPr>
      </w:pPr>
      <w:r>
        <w:rPr>
          <w:rFonts w:cs="Times New Roman"/>
        </w:rPr>
        <w:t>自治区党委书记</w:t>
      </w:r>
      <w:bookmarkStart w:id="162" w:name="_GoBack"/>
      <w:bookmarkEnd w:id="162"/>
      <w:r>
        <w:rPr>
          <w:rFonts w:cs="Times New Roman"/>
        </w:rPr>
        <w:t>2022年8月在伊吾县调研时指出：伊吾县的地表水开发利用不足，蓄水能力不足。伊吾县水资源十分贫乏，属资源性缺水地区。由于地处亚欧大陆腹地，气候干旱，水资源受季节因素影响，时空分布极不均衡，导致生活、生产和生态用水争水的矛盾长期存在。</w:t>
      </w:r>
    </w:p>
    <w:p>
      <w:pPr>
        <w:ind w:firstLine="480"/>
        <w:rPr>
          <w:rFonts w:cs="Times New Roman"/>
        </w:rPr>
      </w:pPr>
      <w:r>
        <w:rPr>
          <w:rFonts w:cs="Times New Roman"/>
        </w:rPr>
        <w:t>淖毛湖是伊吾县经济发展的重点区域，具有丰富和独特的煤炭、光热、旅游资源，同时淖毛湖也是闻名遐迩的晚熟哈密瓜生产基地和旅游胜地。随着地区经济社会快速发展，对水资源的需求逐年攀增，用水矛盾突出，地表水资源紧缺。</w:t>
      </w:r>
    </w:p>
    <w:p>
      <w:pPr>
        <w:ind w:firstLine="480"/>
        <w:rPr>
          <w:rFonts w:cs="Times New Roman"/>
        </w:rPr>
      </w:pPr>
      <w:r>
        <w:rPr>
          <w:rFonts w:cs="Times New Roman"/>
        </w:rPr>
        <w:t>代尔昆代郭勒河流域现状地表水资源基本处于天然状态，具有一定开发潜力。代尔昆代水库建成后，通过合理开发利用代尔昆代郭勒河流域地表水，可解决淖毛湖区域供用水矛盾。</w:t>
      </w:r>
    </w:p>
    <w:p>
      <w:pPr>
        <w:ind w:firstLine="480"/>
        <w:rPr>
          <w:rFonts w:cs="Times New Roman"/>
        </w:rPr>
      </w:pPr>
      <w:r>
        <w:rPr>
          <w:rFonts w:cs="Times New Roman"/>
        </w:rPr>
        <w:t>（2）是实行最严格水资源管理制度“三条红线”控制指标的有力措施。</w:t>
      </w:r>
    </w:p>
    <w:p>
      <w:pPr>
        <w:ind w:firstLine="480"/>
        <w:rPr>
          <w:rFonts w:cs="Times New Roman"/>
        </w:rPr>
      </w:pPr>
      <w:r>
        <w:rPr>
          <w:rFonts w:cs="Times New Roman"/>
        </w:rPr>
        <w:t>近年来，随着伊吾县尤其是淖毛湖区域的经济不断发展，人口不断增加，尤其是旅游季节和哈密瓜成熟采摘季节，流动人口达到3万人，致使生活用水量增加；灌溉季节5～9月淖毛湖区域各业争水严重，季节性供需矛盾日益突出，致使农业和公益林不得不抽取地下水灌溉，导致地下水超出最严格水资源管理制度“三条红线”用水总量指标。</w:t>
      </w:r>
    </w:p>
    <w:p>
      <w:pPr>
        <w:ind w:firstLine="480"/>
        <w:rPr>
          <w:rFonts w:cs="Times New Roman"/>
        </w:rPr>
      </w:pPr>
      <w:r>
        <w:rPr>
          <w:rFonts w:cs="Times New Roman"/>
        </w:rPr>
        <w:t>代尔昆代水库工程建成后，通过与伊吾县伊吾河峡沟水库联调，可向淖毛湖区域人、畜饮水和公益林灌溉补水，以减少区域地下水开采量，使淖毛湖区域地下水用水量控制在“三条红线”用水指标之内。</w:t>
      </w:r>
    </w:p>
    <w:p>
      <w:pPr>
        <w:ind w:firstLine="480"/>
        <w:rPr>
          <w:rFonts w:cs="Times New Roman"/>
        </w:rPr>
      </w:pPr>
      <w:r>
        <w:rPr>
          <w:rFonts w:cs="Times New Roman"/>
        </w:rPr>
        <w:t>（3）是促进乡村振兴、发展特色产业的需要。</w:t>
      </w:r>
    </w:p>
    <w:p>
      <w:pPr>
        <w:ind w:firstLine="480"/>
        <w:rPr>
          <w:rFonts w:cs="Times New Roman"/>
        </w:rPr>
      </w:pPr>
      <w:r>
        <w:rPr>
          <w:rFonts w:cs="Times New Roman"/>
        </w:rPr>
        <w:t>伊吾县是全疆21个牧业县之一，近年来按照“稳粮、扩经、增草”的农业发展思路，在确保全县粮食面积稳定、产量持续稳步增长的基础上，以有机农业为主攻方向，种植业以哈密瓜、沙棘、苹果、野山杏种植为主；畜牧业以肉羊、肉牛、奶驼、奶驴养殖为主。</w:t>
      </w:r>
    </w:p>
    <w:p>
      <w:pPr>
        <w:ind w:firstLine="480"/>
        <w:rPr>
          <w:rFonts w:cs="Times New Roman"/>
        </w:rPr>
      </w:pPr>
      <w:r>
        <w:rPr>
          <w:rFonts w:cs="Times New Roman"/>
        </w:rPr>
        <w:t>作为哈密市发展特色农业，“名、优、特”产品的基地,淖毛湖镇的特色农业发展严重地受着水资源的制约，水已成为淖毛湖镇人民的生命之源。</w:t>
      </w:r>
    </w:p>
    <w:p>
      <w:pPr>
        <w:ind w:firstLine="480"/>
        <w:rPr>
          <w:rFonts w:cs="Times New Roman"/>
        </w:rPr>
      </w:pPr>
      <w:r>
        <w:rPr>
          <w:rFonts w:cs="Times New Roman"/>
        </w:rPr>
        <w:t>代尔昆代水库工程建设，与峡沟水库联调向淖毛湖区域补水，有助于乡村振兴和特色农业的发展，</w:t>
      </w:r>
      <w:r>
        <w:rPr>
          <w:rFonts w:hint="eastAsia" w:cs="Times New Roman"/>
          <w:lang w:eastAsia="zh-CN"/>
        </w:rPr>
        <w:t>将</w:t>
      </w:r>
      <w:r>
        <w:rPr>
          <w:rFonts w:cs="Times New Roman"/>
        </w:rPr>
        <w:t>当地的资源优势转化为经济优势，为当地经济注入新活力，对促进地区经济社会发展、提高人民生活水平和社会稳定都有重要的意义。</w:t>
      </w:r>
    </w:p>
    <w:p>
      <w:pPr>
        <w:ind w:firstLine="480"/>
        <w:rPr>
          <w:rFonts w:cs="Times New Roman"/>
        </w:rPr>
      </w:pPr>
    </w:p>
    <w:p>
      <w:pPr>
        <w:pStyle w:val="3"/>
        <w:rPr>
          <w:rFonts w:cs="Times New Roman"/>
        </w:rPr>
      </w:pPr>
      <w:bookmarkStart w:id="59" w:name="_Toc181381596"/>
      <w:r>
        <w:rPr>
          <w:rFonts w:cs="Times New Roman"/>
        </w:rPr>
        <w:t>2.3 工程概况</w:t>
      </w:r>
      <w:bookmarkEnd w:id="58"/>
      <w:bookmarkEnd w:id="59"/>
    </w:p>
    <w:p>
      <w:pPr>
        <w:pStyle w:val="4"/>
        <w:rPr>
          <w:rFonts w:cs="Times New Roman"/>
        </w:rPr>
      </w:pPr>
      <w:r>
        <w:rPr>
          <w:rFonts w:cs="Times New Roman"/>
        </w:rPr>
        <w:t>2.3.1 工程地理位置</w:t>
      </w:r>
    </w:p>
    <w:p>
      <w:pPr>
        <w:ind w:firstLine="480"/>
        <w:rPr>
          <w:rFonts w:cs="Times New Roman"/>
        </w:rPr>
      </w:pPr>
      <w:r>
        <w:rPr>
          <w:rFonts w:cs="Times New Roman"/>
        </w:rPr>
        <w:t>代尔昆代水库位于哈密市伊吾县吐葫芦乡境内，距哈密市207km，距伊吾县城约25km。水库坝址位于代尔昆代郭勒沟出山口以上约6.5km处，地理坐标为东经94°47′24″，北纬43°07′40″。工程地理位置见附图。</w:t>
      </w:r>
    </w:p>
    <w:p>
      <w:pPr>
        <w:pStyle w:val="4"/>
        <w:rPr>
          <w:rFonts w:cs="Times New Roman"/>
        </w:rPr>
      </w:pPr>
      <w:r>
        <w:rPr>
          <w:rFonts w:cs="Times New Roman"/>
        </w:rPr>
        <w:t>2.3.2 工程任务</w:t>
      </w:r>
    </w:p>
    <w:p>
      <w:pPr>
        <w:ind w:firstLine="480"/>
        <w:rPr>
          <w:rFonts w:cs="Times New Roman"/>
        </w:rPr>
      </w:pPr>
      <w:r>
        <w:rPr>
          <w:rFonts w:cs="Times New Roman"/>
        </w:rPr>
        <w:t>代尔昆代水库工程建设任务是与伊吾县伊吾河已建峡沟水库联调，在灌溉季节（5～9月）用水高峰期向淖毛湖区域人、畜饮水及公益林灌溉补水，调节淖毛湖区域灌溉季节的用水矛盾，保障人、畜饮水安全。</w:t>
      </w:r>
    </w:p>
    <w:p>
      <w:pPr>
        <w:ind w:firstLine="480"/>
        <w:rPr>
          <w:rFonts w:cs="Times New Roman"/>
        </w:rPr>
      </w:pPr>
      <w:r>
        <w:rPr>
          <w:rFonts w:cs="Times New Roman"/>
        </w:rPr>
        <w:t>代尔昆代水库供水对象包括伊吾县淖毛湖镇的10万居民及3万流动人口及6.3万头牲畜的人畜饮水，淖毛湖镇0.47万亩公益林的灌溉用水，设计水平年2030年，代尔昆代水库95%保证率供水量合计359.57万m</w:t>
      </w:r>
      <w:r>
        <w:rPr>
          <w:rFonts w:cs="Times New Roman"/>
          <w:vertAlign w:val="superscript"/>
        </w:rPr>
        <w:t>3</w:t>
      </w:r>
      <w:r>
        <w:rPr>
          <w:rFonts w:cs="Times New Roman"/>
        </w:rPr>
        <w:t>，其中生活供水量218万m</w:t>
      </w:r>
      <w:r>
        <w:rPr>
          <w:rFonts w:cs="Times New Roman"/>
          <w:vertAlign w:val="superscript"/>
        </w:rPr>
        <w:t>3</w:t>
      </w:r>
      <w:r>
        <w:rPr>
          <w:rFonts w:cs="Times New Roman"/>
        </w:rPr>
        <w:t>、灌溉供水量141.57万m</w:t>
      </w:r>
      <w:r>
        <w:rPr>
          <w:rFonts w:cs="Times New Roman"/>
          <w:vertAlign w:val="superscript"/>
        </w:rPr>
        <w:t>3</w:t>
      </w:r>
      <w:r>
        <w:rPr>
          <w:rFonts w:cs="Times New Roman"/>
        </w:rPr>
        <w:t>。</w:t>
      </w:r>
    </w:p>
    <w:p>
      <w:pPr>
        <w:pStyle w:val="4"/>
        <w:rPr>
          <w:rFonts w:cs="Times New Roman"/>
        </w:rPr>
      </w:pPr>
      <w:r>
        <w:rPr>
          <w:rFonts w:cs="Times New Roman"/>
        </w:rPr>
        <w:t>2.3.3 设计水平年及供水保证率</w:t>
      </w:r>
    </w:p>
    <w:p>
      <w:pPr>
        <w:ind w:firstLine="480"/>
        <w:rPr>
          <w:rFonts w:cs="Times New Roman"/>
        </w:rPr>
      </w:pPr>
      <w:r>
        <w:rPr>
          <w:rFonts w:cs="Times New Roman"/>
        </w:rPr>
        <w:t>现状水平年为2020年，设计水平年为2030年。</w:t>
      </w:r>
    </w:p>
    <w:p>
      <w:pPr>
        <w:ind w:firstLine="480"/>
        <w:rPr>
          <w:rFonts w:cs="Times New Roman"/>
        </w:rPr>
      </w:pPr>
      <w:r>
        <w:rPr>
          <w:rFonts w:cs="Times New Roman"/>
        </w:rPr>
        <w:t>人、畜饮水设计供水保证率为95%。0.47万亩公益林灌溉方式为滴灌，故灌溉设计保证率为P=85%。</w:t>
      </w:r>
    </w:p>
    <w:p>
      <w:pPr>
        <w:ind w:firstLine="480"/>
        <w:rPr>
          <w:rFonts w:cs="Times New Roman"/>
        </w:rPr>
      </w:pPr>
      <w:r>
        <w:rPr>
          <w:rFonts w:cs="Times New Roman"/>
        </w:rPr>
        <w:t>根据《新疆重要江河湖泊生态水量保障方案》及《新疆内陆河湖基本生态水量（流量）确定技术指南（试行）》，确定代尔昆代郭勒河流域基本生态水量保证率取85%。</w:t>
      </w:r>
    </w:p>
    <w:p>
      <w:pPr>
        <w:pStyle w:val="4"/>
        <w:rPr>
          <w:rFonts w:cs="Times New Roman"/>
        </w:rPr>
      </w:pPr>
      <w:r>
        <w:rPr>
          <w:rFonts w:cs="Times New Roman"/>
        </w:rPr>
        <w:t>2.3.4 水资源配置</w:t>
      </w:r>
    </w:p>
    <w:p>
      <w:pPr>
        <w:pStyle w:val="62"/>
        <w:rPr>
          <w:rFonts w:cs="Times New Roman"/>
        </w:rPr>
      </w:pPr>
      <w:r>
        <w:rPr>
          <w:rFonts w:cs="Times New Roman"/>
        </w:rPr>
        <w:t>2.3.4.1 社会经济用水需求</w:t>
      </w:r>
    </w:p>
    <w:p>
      <w:pPr>
        <w:ind w:firstLine="480"/>
        <w:rPr>
          <w:rFonts w:cs="Times New Roman"/>
        </w:rPr>
      </w:pPr>
      <w:r>
        <w:rPr>
          <w:rFonts w:cs="Times New Roman"/>
        </w:rPr>
        <w:t>根据设计水平年2030年淖毛湖区域水资源供需分析结果，淖毛湖区域需代尔昆代水库补水359.57万m</w:t>
      </w:r>
      <w:r>
        <w:rPr>
          <w:rFonts w:cs="Times New Roman"/>
          <w:vertAlign w:val="superscript"/>
        </w:rPr>
        <w:t>3</w:t>
      </w:r>
      <w:r>
        <w:rPr>
          <w:rFonts w:cs="Times New Roman"/>
        </w:rPr>
        <w:t>，其中5～9月向人畜供水218万m</w:t>
      </w:r>
      <w:r>
        <w:rPr>
          <w:rFonts w:cs="Times New Roman"/>
          <w:vertAlign w:val="superscript"/>
        </w:rPr>
        <w:t>3</w:t>
      </w:r>
      <w:r>
        <w:rPr>
          <w:rFonts w:cs="Times New Roman"/>
        </w:rPr>
        <w:t>，每月供水43.6万m</w:t>
      </w:r>
      <w:r>
        <w:rPr>
          <w:rFonts w:cs="Times New Roman"/>
          <w:vertAlign w:val="superscript"/>
        </w:rPr>
        <w:t>3</w:t>
      </w:r>
      <w:r>
        <w:rPr>
          <w:rFonts w:cs="Times New Roman"/>
        </w:rPr>
        <w:t>；4～9月向0.47万亩公益林灌溉供水141.57万m</w:t>
      </w:r>
      <w:r>
        <w:rPr>
          <w:rFonts w:cs="Times New Roman"/>
          <w:vertAlign w:val="superscript"/>
        </w:rPr>
        <w:t>3</w:t>
      </w:r>
      <w:r>
        <w:rPr>
          <w:rFonts w:cs="Times New Roman"/>
        </w:rPr>
        <w:t>。</w:t>
      </w:r>
    </w:p>
    <w:p>
      <w:pPr>
        <w:pStyle w:val="137"/>
        <w:spacing w:before="48"/>
      </w:pPr>
      <w:r>
        <w:t>表2.3-1</w:t>
      </w:r>
      <w:r>
        <w:tab/>
      </w:r>
      <w:r>
        <w:t xml:space="preserve">                    代尔昆代水库需水过程线              单位：万m</w:t>
      </w:r>
      <w:r>
        <w:rPr>
          <w:vertAlign w:val="superscript"/>
        </w:rPr>
        <w:t>3</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4"/>
        <w:gridCol w:w="637"/>
        <w:gridCol w:w="813"/>
        <w:gridCol w:w="813"/>
        <w:gridCol w:w="813"/>
        <w:gridCol w:w="813"/>
        <w:gridCol w:w="813"/>
        <w:gridCol w:w="809"/>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207" w:type="pct"/>
            <w:vAlign w:val="center"/>
          </w:tcPr>
          <w:p>
            <w:pPr>
              <w:pStyle w:val="136"/>
            </w:pPr>
            <w:r>
              <w:t>名称</w:t>
            </w:r>
          </w:p>
        </w:tc>
        <w:tc>
          <w:tcPr>
            <w:tcW w:w="362" w:type="pct"/>
            <w:vAlign w:val="center"/>
          </w:tcPr>
          <w:p>
            <w:pPr>
              <w:pStyle w:val="136"/>
            </w:pPr>
            <w:r>
              <w:t>4月</w:t>
            </w:r>
          </w:p>
        </w:tc>
        <w:tc>
          <w:tcPr>
            <w:tcW w:w="462" w:type="pct"/>
            <w:vAlign w:val="center"/>
          </w:tcPr>
          <w:p>
            <w:pPr>
              <w:pStyle w:val="136"/>
            </w:pPr>
            <w:r>
              <w:t>5月</w:t>
            </w:r>
          </w:p>
        </w:tc>
        <w:tc>
          <w:tcPr>
            <w:tcW w:w="462" w:type="pct"/>
            <w:vAlign w:val="center"/>
          </w:tcPr>
          <w:p>
            <w:pPr>
              <w:pStyle w:val="136"/>
            </w:pPr>
            <w:r>
              <w:t>6月</w:t>
            </w:r>
          </w:p>
        </w:tc>
        <w:tc>
          <w:tcPr>
            <w:tcW w:w="462" w:type="pct"/>
            <w:vAlign w:val="center"/>
          </w:tcPr>
          <w:p>
            <w:pPr>
              <w:pStyle w:val="136"/>
            </w:pPr>
            <w:r>
              <w:t>7月</w:t>
            </w:r>
          </w:p>
        </w:tc>
        <w:tc>
          <w:tcPr>
            <w:tcW w:w="462" w:type="pct"/>
            <w:vAlign w:val="center"/>
          </w:tcPr>
          <w:p>
            <w:pPr>
              <w:pStyle w:val="136"/>
            </w:pPr>
            <w:r>
              <w:t>8月</w:t>
            </w:r>
          </w:p>
        </w:tc>
        <w:tc>
          <w:tcPr>
            <w:tcW w:w="462" w:type="pct"/>
            <w:vAlign w:val="center"/>
          </w:tcPr>
          <w:p>
            <w:pPr>
              <w:pStyle w:val="136"/>
            </w:pPr>
            <w:r>
              <w:t>9月</w:t>
            </w:r>
          </w:p>
        </w:tc>
        <w:tc>
          <w:tcPr>
            <w:tcW w:w="460" w:type="pct"/>
            <w:vAlign w:val="center"/>
          </w:tcPr>
          <w:p>
            <w:pPr>
              <w:pStyle w:val="136"/>
            </w:pPr>
            <w:r>
              <w:t>10月</w:t>
            </w:r>
          </w:p>
        </w:tc>
        <w:tc>
          <w:tcPr>
            <w:tcW w:w="661" w:type="pct"/>
            <w:vAlign w:val="center"/>
          </w:tcPr>
          <w:p>
            <w:pPr>
              <w:pStyle w:val="136"/>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exact"/>
          <w:jc w:val="center"/>
        </w:trPr>
        <w:tc>
          <w:tcPr>
            <w:tcW w:w="1207" w:type="pct"/>
            <w:vAlign w:val="center"/>
          </w:tcPr>
          <w:p>
            <w:pPr>
              <w:pStyle w:val="136"/>
            </w:pPr>
            <w:r>
              <w:t>公益林需水量</w:t>
            </w:r>
          </w:p>
        </w:tc>
        <w:tc>
          <w:tcPr>
            <w:tcW w:w="362" w:type="pct"/>
            <w:vAlign w:val="center"/>
          </w:tcPr>
          <w:p>
            <w:pPr>
              <w:pStyle w:val="136"/>
            </w:pPr>
            <w:r>
              <w:t>8.85</w:t>
            </w:r>
          </w:p>
        </w:tc>
        <w:tc>
          <w:tcPr>
            <w:tcW w:w="462" w:type="pct"/>
            <w:vAlign w:val="center"/>
          </w:tcPr>
          <w:p>
            <w:pPr>
              <w:pStyle w:val="136"/>
            </w:pPr>
            <w:r>
              <w:t>17.70</w:t>
            </w:r>
          </w:p>
        </w:tc>
        <w:tc>
          <w:tcPr>
            <w:tcW w:w="462" w:type="pct"/>
            <w:vAlign w:val="center"/>
          </w:tcPr>
          <w:p>
            <w:pPr>
              <w:pStyle w:val="136"/>
            </w:pPr>
            <w:r>
              <w:t>26.54</w:t>
            </w:r>
          </w:p>
        </w:tc>
        <w:tc>
          <w:tcPr>
            <w:tcW w:w="462" w:type="pct"/>
            <w:vAlign w:val="center"/>
          </w:tcPr>
          <w:p>
            <w:pPr>
              <w:pStyle w:val="136"/>
            </w:pPr>
            <w:r>
              <w:t>35.39</w:t>
            </w:r>
          </w:p>
        </w:tc>
        <w:tc>
          <w:tcPr>
            <w:tcW w:w="462" w:type="pct"/>
            <w:vAlign w:val="center"/>
          </w:tcPr>
          <w:p>
            <w:pPr>
              <w:pStyle w:val="136"/>
            </w:pPr>
            <w:r>
              <w:t>26.54</w:t>
            </w:r>
          </w:p>
        </w:tc>
        <w:tc>
          <w:tcPr>
            <w:tcW w:w="462" w:type="pct"/>
            <w:vAlign w:val="center"/>
          </w:tcPr>
          <w:p>
            <w:pPr>
              <w:pStyle w:val="136"/>
            </w:pPr>
            <w:r>
              <w:t>17.70</w:t>
            </w:r>
          </w:p>
        </w:tc>
        <w:tc>
          <w:tcPr>
            <w:tcW w:w="460" w:type="pct"/>
            <w:vAlign w:val="center"/>
          </w:tcPr>
          <w:p>
            <w:pPr>
              <w:pStyle w:val="136"/>
            </w:pPr>
            <w:r>
              <w:t>8.85</w:t>
            </w:r>
          </w:p>
        </w:tc>
        <w:tc>
          <w:tcPr>
            <w:tcW w:w="661" w:type="pct"/>
            <w:vAlign w:val="center"/>
          </w:tcPr>
          <w:p>
            <w:pPr>
              <w:pStyle w:val="136"/>
            </w:pPr>
            <w:r>
              <w:t>141.57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exact"/>
          <w:jc w:val="center"/>
        </w:trPr>
        <w:tc>
          <w:tcPr>
            <w:tcW w:w="1207" w:type="pct"/>
            <w:vAlign w:val="center"/>
          </w:tcPr>
          <w:p>
            <w:pPr>
              <w:pStyle w:val="136"/>
            </w:pPr>
            <w:r>
              <w:t>人畜需水量</w:t>
            </w:r>
          </w:p>
        </w:tc>
        <w:tc>
          <w:tcPr>
            <w:tcW w:w="362" w:type="pct"/>
            <w:vAlign w:val="center"/>
          </w:tcPr>
          <w:p>
            <w:pPr>
              <w:pStyle w:val="136"/>
            </w:pPr>
          </w:p>
        </w:tc>
        <w:tc>
          <w:tcPr>
            <w:tcW w:w="462" w:type="pct"/>
            <w:vAlign w:val="center"/>
          </w:tcPr>
          <w:p>
            <w:pPr>
              <w:pStyle w:val="136"/>
            </w:pPr>
            <w:r>
              <w:t>43.60</w:t>
            </w:r>
          </w:p>
        </w:tc>
        <w:tc>
          <w:tcPr>
            <w:tcW w:w="462" w:type="pct"/>
            <w:vAlign w:val="center"/>
          </w:tcPr>
          <w:p>
            <w:pPr>
              <w:pStyle w:val="136"/>
            </w:pPr>
            <w:r>
              <w:t>43.60</w:t>
            </w:r>
          </w:p>
        </w:tc>
        <w:tc>
          <w:tcPr>
            <w:tcW w:w="462" w:type="pct"/>
            <w:vAlign w:val="center"/>
          </w:tcPr>
          <w:p>
            <w:pPr>
              <w:pStyle w:val="136"/>
            </w:pPr>
            <w:r>
              <w:t>43.60</w:t>
            </w:r>
          </w:p>
        </w:tc>
        <w:tc>
          <w:tcPr>
            <w:tcW w:w="462" w:type="pct"/>
            <w:vAlign w:val="center"/>
          </w:tcPr>
          <w:p>
            <w:pPr>
              <w:pStyle w:val="136"/>
            </w:pPr>
            <w:r>
              <w:t>43.60</w:t>
            </w:r>
          </w:p>
        </w:tc>
        <w:tc>
          <w:tcPr>
            <w:tcW w:w="462" w:type="pct"/>
            <w:vAlign w:val="center"/>
          </w:tcPr>
          <w:p>
            <w:pPr>
              <w:pStyle w:val="136"/>
            </w:pPr>
            <w:r>
              <w:t>43.60</w:t>
            </w:r>
          </w:p>
        </w:tc>
        <w:tc>
          <w:tcPr>
            <w:tcW w:w="460" w:type="pct"/>
            <w:vAlign w:val="center"/>
          </w:tcPr>
          <w:p>
            <w:pPr>
              <w:pStyle w:val="136"/>
            </w:pPr>
          </w:p>
        </w:tc>
        <w:tc>
          <w:tcPr>
            <w:tcW w:w="661" w:type="pct"/>
            <w:vAlign w:val="center"/>
          </w:tcPr>
          <w:p>
            <w:pPr>
              <w:pStyle w:val="136"/>
            </w:pPr>
            <w:r>
              <w:t>218.00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exact"/>
          <w:jc w:val="center"/>
        </w:trPr>
        <w:tc>
          <w:tcPr>
            <w:tcW w:w="1207" w:type="pct"/>
            <w:vAlign w:val="center"/>
          </w:tcPr>
          <w:p>
            <w:pPr>
              <w:pStyle w:val="136"/>
            </w:pPr>
            <w:r>
              <w:t>合计</w:t>
            </w:r>
          </w:p>
        </w:tc>
        <w:tc>
          <w:tcPr>
            <w:tcW w:w="362" w:type="pct"/>
            <w:vAlign w:val="center"/>
          </w:tcPr>
          <w:p>
            <w:pPr>
              <w:pStyle w:val="136"/>
            </w:pPr>
            <w:r>
              <w:t>8.85</w:t>
            </w:r>
          </w:p>
        </w:tc>
        <w:tc>
          <w:tcPr>
            <w:tcW w:w="462" w:type="pct"/>
            <w:vAlign w:val="center"/>
          </w:tcPr>
          <w:p>
            <w:pPr>
              <w:pStyle w:val="136"/>
            </w:pPr>
            <w:r>
              <w:t>61.30</w:t>
            </w:r>
          </w:p>
        </w:tc>
        <w:tc>
          <w:tcPr>
            <w:tcW w:w="462" w:type="pct"/>
            <w:vAlign w:val="center"/>
          </w:tcPr>
          <w:p>
            <w:pPr>
              <w:pStyle w:val="136"/>
            </w:pPr>
            <w:r>
              <w:t>70.14</w:t>
            </w:r>
          </w:p>
        </w:tc>
        <w:tc>
          <w:tcPr>
            <w:tcW w:w="462" w:type="pct"/>
            <w:vAlign w:val="center"/>
          </w:tcPr>
          <w:p>
            <w:pPr>
              <w:pStyle w:val="136"/>
            </w:pPr>
            <w:r>
              <w:t>78.99</w:t>
            </w:r>
          </w:p>
        </w:tc>
        <w:tc>
          <w:tcPr>
            <w:tcW w:w="462" w:type="pct"/>
            <w:vAlign w:val="center"/>
          </w:tcPr>
          <w:p>
            <w:pPr>
              <w:pStyle w:val="136"/>
            </w:pPr>
            <w:r>
              <w:t>70.14</w:t>
            </w:r>
          </w:p>
        </w:tc>
        <w:tc>
          <w:tcPr>
            <w:tcW w:w="462" w:type="pct"/>
            <w:vAlign w:val="center"/>
          </w:tcPr>
          <w:p>
            <w:pPr>
              <w:pStyle w:val="136"/>
            </w:pPr>
            <w:r>
              <w:t>61.30</w:t>
            </w:r>
          </w:p>
        </w:tc>
        <w:tc>
          <w:tcPr>
            <w:tcW w:w="460" w:type="pct"/>
            <w:vAlign w:val="center"/>
          </w:tcPr>
          <w:p>
            <w:pPr>
              <w:pStyle w:val="136"/>
            </w:pPr>
            <w:r>
              <w:t>8.85</w:t>
            </w:r>
          </w:p>
        </w:tc>
        <w:tc>
          <w:tcPr>
            <w:tcW w:w="661" w:type="pct"/>
            <w:vAlign w:val="center"/>
          </w:tcPr>
          <w:p>
            <w:pPr>
              <w:pStyle w:val="136"/>
            </w:pPr>
            <w:r>
              <w:t>359.57</w:t>
            </w:r>
          </w:p>
        </w:tc>
      </w:tr>
    </w:tbl>
    <w:p>
      <w:pPr>
        <w:ind w:firstLine="480"/>
        <w:rPr>
          <w:rFonts w:cs="Times New Roman"/>
        </w:rPr>
      </w:pPr>
    </w:p>
    <w:p>
      <w:pPr>
        <w:pStyle w:val="62"/>
        <w:rPr>
          <w:rFonts w:cs="Times New Roman"/>
        </w:rPr>
      </w:pPr>
      <w:r>
        <w:rPr>
          <w:rFonts w:cs="Times New Roman"/>
        </w:rPr>
        <w:t>2.3.4.2 生态用水需求</w:t>
      </w:r>
    </w:p>
    <w:p>
      <w:pPr>
        <w:ind w:firstLine="480"/>
        <w:rPr>
          <w:rFonts w:cs="Times New Roman"/>
        </w:rPr>
      </w:pPr>
      <w:r>
        <w:rPr>
          <w:rFonts w:cs="Times New Roman"/>
        </w:rPr>
        <w:t>根据《新疆重要江河湖泊生态水量保障方案》及《新疆内陆河湖基本生态水量（流量）确定技术指南（试行）》，确定代尔昆代郭勒河流域基本生态水量保证率取85%。</w:t>
      </w:r>
    </w:p>
    <w:p>
      <w:pPr>
        <w:ind w:firstLine="480"/>
        <w:rPr>
          <w:rFonts w:cs="Times New Roman"/>
        </w:rPr>
      </w:pPr>
      <w:r>
        <w:rPr>
          <w:rFonts w:cs="Times New Roman"/>
        </w:rPr>
        <w:t>根据《水利水电工程生态流量计算与泄放设计规范》（SL/T820-2023）附录A表A.1.3，代尔昆代郭勒河河道内生态状态取为一般。</w:t>
      </w:r>
    </w:p>
    <w:p>
      <w:pPr>
        <w:ind w:firstLine="480"/>
        <w:rPr>
          <w:rFonts w:cs="Times New Roman"/>
        </w:rPr>
      </w:pPr>
      <w:r>
        <w:rPr>
          <w:rFonts w:cs="Times New Roman"/>
        </w:rPr>
        <w:t>基于以上分析，代尔昆代水库坝址断面生态流量取值为坝址断面多年平均来水条件下各月月均天然流量的10%；代尔昆代水库坝址断面多年平均径流量为834.4万m</w:t>
      </w:r>
      <w:r>
        <w:rPr>
          <w:rFonts w:cs="Times New Roman"/>
          <w:vertAlign w:val="superscript"/>
        </w:rPr>
        <w:t>3</w:t>
      </w:r>
      <w:r>
        <w:rPr>
          <w:rFonts w:cs="Times New Roman"/>
        </w:rPr>
        <w:t>，则生态水量为83.44万m</w:t>
      </w:r>
      <w:r>
        <w:rPr>
          <w:rFonts w:cs="Times New Roman"/>
          <w:vertAlign w:val="superscript"/>
        </w:rPr>
        <w:t>3</w:t>
      </w:r>
      <w:r>
        <w:rPr>
          <w:rFonts w:cs="Times New Roman"/>
        </w:rPr>
        <w:t>。</w:t>
      </w:r>
    </w:p>
    <w:p>
      <w:pPr>
        <w:ind w:firstLine="480"/>
        <w:rPr>
          <w:rFonts w:cs="Times New Roman"/>
        </w:rPr>
      </w:pPr>
      <w:r>
        <w:rPr>
          <w:rFonts w:cs="Times New Roman"/>
        </w:rPr>
        <w:t>代尔昆代水库坝址下泄生态水量及过程见表2.3-2。</w:t>
      </w:r>
    </w:p>
    <w:p>
      <w:pPr>
        <w:ind w:firstLine="480"/>
        <w:rPr>
          <w:rFonts w:cs="Times New Roman"/>
        </w:rPr>
      </w:pPr>
    </w:p>
    <w:p>
      <w:pPr>
        <w:ind w:firstLine="480"/>
        <w:rPr>
          <w:rFonts w:cs="Times New Roman"/>
        </w:rPr>
      </w:pPr>
    </w:p>
    <w:p>
      <w:pPr>
        <w:ind w:firstLine="480"/>
        <w:rPr>
          <w:rFonts w:cs="Times New Roman"/>
        </w:rPr>
      </w:pPr>
    </w:p>
    <w:p>
      <w:pPr>
        <w:pStyle w:val="137"/>
        <w:spacing w:before="48"/>
      </w:pPr>
      <w:r>
        <w:t>表2.3-2             代尔昆代水库坝址生态水量及流量下泄过程</w:t>
      </w:r>
    </w:p>
    <w:tbl>
      <w:tblPr>
        <w:tblStyle w:val="40"/>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39"/>
        <w:gridCol w:w="593"/>
        <w:gridCol w:w="593"/>
        <w:gridCol w:w="593"/>
        <w:gridCol w:w="593"/>
        <w:gridCol w:w="593"/>
        <w:gridCol w:w="593"/>
        <w:gridCol w:w="593"/>
        <w:gridCol w:w="593"/>
        <w:gridCol w:w="593"/>
        <w:gridCol w:w="593"/>
        <w:gridCol w:w="593"/>
        <w:gridCol w:w="593"/>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blHeader/>
          <w:jc w:val="center"/>
        </w:trPr>
        <w:tc>
          <w:tcPr>
            <w:tcW w:w="1539" w:type="dxa"/>
            <w:vAlign w:val="center"/>
          </w:tcPr>
          <w:p>
            <w:pPr>
              <w:pStyle w:val="136"/>
            </w:pPr>
            <w:r>
              <w:t>月份</w:t>
            </w:r>
          </w:p>
        </w:tc>
        <w:tc>
          <w:tcPr>
            <w:tcW w:w="593" w:type="dxa"/>
            <w:vAlign w:val="center"/>
          </w:tcPr>
          <w:p>
            <w:pPr>
              <w:pStyle w:val="136"/>
            </w:pPr>
            <w:r>
              <w:t>1月</w:t>
            </w:r>
          </w:p>
        </w:tc>
        <w:tc>
          <w:tcPr>
            <w:tcW w:w="593" w:type="dxa"/>
            <w:vAlign w:val="center"/>
          </w:tcPr>
          <w:p>
            <w:pPr>
              <w:pStyle w:val="136"/>
            </w:pPr>
            <w:r>
              <w:t>2月</w:t>
            </w:r>
          </w:p>
        </w:tc>
        <w:tc>
          <w:tcPr>
            <w:tcW w:w="593" w:type="dxa"/>
            <w:vAlign w:val="center"/>
          </w:tcPr>
          <w:p>
            <w:pPr>
              <w:pStyle w:val="136"/>
            </w:pPr>
            <w:r>
              <w:t>3月</w:t>
            </w:r>
          </w:p>
        </w:tc>
        <w:tc>
          <w:tcPr>
            <w:tcW w:w="593" w:type="dxa"/>
            <w:vAlign w:val="center"/>
          </w:tcPr>
          <w:p>
            <w:pPr>
              <w:pStyle w:val="136"/>
            </w:pPr>
            <w:r>
              <w:t>4月</w:t>
            </w:r>
          </w:p>
        </w:tc>
        <w:tc>
          <w:tcPr>
            <w:tcW w:w="593" w:type="dxa"/>
            <w:vAlign w:val="center"/>
          </w:tcPr>
          <w:p>
            <w:pPr>
              <w:pStyle w:val="136"/>
            </w:pPr>
            <w:r>
              <w:t>5月</w:t>
            </w:r>
          </w:p>
        </w:tc>
        <w:tc>
          <w:tcPr>
            <w:tcW w:w="593" w:type="dxa"/>
            <w:vAlign w:val="center"/>
          </w:tcPr>
          <w:p>
            <w:pPr>
              <w:pStyle w:val="136"/>
            </w:pPr>
            <w:r>
              <w:t>6月</w:t>
            </w:r>
          </w:p>
        </w:tc>
        <w:tc>
          <w:tcPr>
            <w:tcW w:w="593" w:type="dxa"/>
            <w:vAlign w:val="center"/>
          </w:tcPr>
          <w:p>
            <w:pPr>
              <w:pStyle w:val="136"/>
            </w:pPr>
            <w:r>
              <w:t>7月</w:t>
            </w:r>
          </w:p>
        </w:tc>
        <w:tc>
          <w:tcPr>
            <w:tcW w:w="593" w:type="dxa"/>
            <w:vAlign w:val="center"/>
          </w:tcPr>
          <w:p>
            <w:pPr>
              <w:pStyle w:val="136"/>
            </w:pPr>
            <w:r>
              <w:t>8月</w:t>
            </w:r>
          </w:p>
        </w:tc>
        <w:tc>
          <w:tcPr>
            <w:tcW w:w="593" w:type="dxa"/>
            <w:vAlign w:val="center"/>
          </w:tcPr>
          <w:p>
            <w:pPr>
              <w:pStyle w:val="136"/>
            </w:pPr>
            <w:r>
              <w:t>9月</w:t>
            </w:r>
          </w:p>
        </w:tc>
        <w:tc>
          <w:tcPr>
            <w:tcW w:w="593" w:type="dxa"/>
            <w:vAlign w:val="center"/>
          </w:tcPr>
          <w:p>
            <w:pPr>
              <w:pStyle w:val="136"/>
            </w:pPr>
            <w:r>
              <w:t>10月</w:t>
            </w:r>
          </w:p>
        </w:tc>
        <w:tc>
          <w:tcPr>
            <w:tcW w:w="593" w:type="dxa"/>
            <w:vAlign w:val="center"/>
          </w:tcPr>
          <w:p>
            <w:pPr>
              <w:pStyle w:val="136"/>
            </w:pPr>
            <w:r>
              <w:t>11月</w:t>
            </w:r>
          </w:p>
        </w:tc>
        <w:tc>
          <w:tcPr>
            <w:tcW w:w="593" w:type="dxa"/>
            <w:vAlign w:val="center"/>
          </w:tcPr>
          <w:p>
            <w:pPr>
              <w:pStyle w:val="136"/>
            </w:pPr>
            <w:r>
              <w:t>12月</w:t>
            </w:r>
          </w:p>
        </w:tc>
        <w:tc>
          <w:tcPr>
            <w:tcW w:w="591" w:type="dxa"/>
            <w:vAlign w:val="center"/>
          </w:tcPr>
          <w:p>
            <w:pPr>
              <w:pStyle w:val="136"/>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1539" w:type="dxa"/>
            <w:vAlign w:val="center"/>
          </w:tcPr>
          <w:p>
            <w:pPr>
              <w:pStyle w:val="136"/>
            </w:pPr>
            <w:r>
              <w:t>多年平均</w:t>
            </w:r>
          </w:p>
          <w:p>
            <w:pPr>
              <w:pStyle w:val="136"/>
              <w:jc w:val="both"/>
            </w:pPr>
            <w:r>
              <w:t>年径流量（万m</w:t>
            </w:r>
            <w:r>
              <w:rPr>
                <w:vertAlign w:val="superscript"/>
              </w:rPr>
              <w:t>3</w:t>
            </w:r>
            <w:r>
              <w:t>）</w:t>
            </w:r>
          </w:p>
        </w:tc>
        <w:tc>
          <w:tcPr>
            <w:tcW w:w="593" w:type="dxa"/>
            <w:vAlign w:val="center"/>
          </w:tcPr>
          <w:p>
            <w:pPr>
              <w:pStyle w:val="136"/>
            </w:pPr>
            <w:r>
              <w:t>45.6</w:t>
            </w:r>
          </w:p>
        </w:tc>
        <w:tc>
          <w:tcPr>
            <w:tcW w:w="593" w:type="dxa"/>
            <w:vAlign w:val="center"/>
          </w:tcPr>
          <w:p>
            <w:pPr>
              <w:pStyle w:val="136"/>
            </w:pPr>
            <w:r>
              <w:t>44.2</w:t>
            </w:r>
          </w:p>
        </w:tc>
        <w:tc>
          <w:tcPr>
            <w:tcW w:w="593" w:type="dxa"/>
            <w:vAlign w:val="center"/>
          </w:tcPr>
          <w:p>
            <w:pPr>
              <w:pStyle w:val="136"/>
            </w:pPr>
            <w:r>
              <w:t>42.9</w:t>
            </w:r>
          </w:p>
        </w:tc>
        <w:tc>
          <w:tcPr>
            <w:tcW w:w="593" w:type="dxa"/>
            <w:vAlign w:val="center"/>
          </w:tcPr>
          <w:p>
            <w:pPr>
              <w:pStyle w:val="136"/>
            </w:pPr>
            <w:r>
              <w:t>36.6</w:t>
            </w:r>
          </w:p>
        </w:tc>
        <w:tc>
          <w:tcPr>
            <w:tcW w:w="593" w:type="dxa"/>
            <w:vAlign w:val="center"/>
          </w:tcPr>
          <w:p>
            <w:pPr>
              <w:pStyle w:val="136"/>
            </w:pPr>
            <w:r>
              <w:t>29.8</w:t>
            </w:r>
          </w:p>
        </w:tc>
        <w:tc>
          <w:tcPr>
            <w:tcW w:w="593" w:type="dxa"/>
            <w:vAlign w:val="center"/>
          </w:tcPr>
          <w:p>
            <w:pPr>
              <w:pStyle w:val="136"/>
            </w:pPr>
            <w:r>
              <w:t>68.2</w:t>
            </w:r>
          </w:p>
        </w:tc>
        <w:tc>
          <w:tcPr>
            <w:tcW w:w="593" w:type="dxa"/>
            <w:vAlign w:val="center"/>
          </w:tcPr>
          <w:p>
            <w:pPr>
              <w:pStyle w:val="136"/>
            </w:pPr>
            <w:r>
              <w:t>156</w:t>
            </w:r>
          </w:p>
        </w:tc>
        <w:tc>
          <w:tcPr>
            <w:tcW w:w="593" w:type="dxa"/>
            <w:vAlign w:val="center"/>
          </w:tcPr>
          <w:p>
            <w:pPr>
              <w:pStyle w:val="136"/>
            </w:pPr>
            <w:r>
              <w:t>177</w:t>
            </w:r>
          </w:p>
        </w:tc>
        <w:tc>
          <w:tcPr>
            <w:tcW w:w="593" w:type="dxa"/>
            <w:vAlign w:val="center"/>
          </w:tcPr>
          <w:p>
            <w:pPr>
              <w:pStyle w:val="136"/>
            </w:pPr>
            <w:r>
              <w:t>68.2</w:t>
            </w:r>
          </w:p>
        </w:tc>
        <w:tc>
          <w:tcPr>
            <w:tcW w:w="593" w:type="dxa"/>
            <w:vAlign w:val="center"/>
          </w:tcPr>
          <w:p>
            <w:pPr>
              <w:pStyle w:val="136"/>
            </w:pPr>
            <w:r>
              <w:t>60.6</w:t>
            </w:r>
          </w:p>
        </w:tc>
        <w:tc>
          <w:tcPr>
            <w:tcW w:w="593" w:type="dxa"/>
            <w:vAlign w:val="center"/>
          </w:tcPr>
          <w:p>
            <w:pPr>
              <w:pStyle w:val="136"/>
            </w:pPr>
            <w:r>
              <w:t>55.1</w:t>
            </w:r>
          </w:p>
        </w:tc>
        <w:tc>
          <w:tcPr>
            <w:tcW w:w="593" w:type="dxa"/>
            <w:vAlign w:val="center"/>
          </w:tcPr>
          <w:p>
            <w:pPr>
              <w:pStyle w:val="136"/>
            </w:pPr>
            <w:r>
              <w:t>50.2</w:t>
            </w:r>
          </w:p>
        </w:tc>
        <w:tc>
          <w:tcPr>
            <w:tcW w:w="591" w:type="dxa"/>
            <w:vAlign w:val="center"/>
          </w:tcPr>
          <w:p>
            <w:pPr>
              <w:pStyle w:val="136"/>
            </w:pPr>
            <w:r>
              <w:t>834.4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exact"/>
          <w:jc w:val="center"/>
        </w:trPr>
        <w:tc>
          <w:tcPr>
            <w:tcW w:w="1539" w:type="dxa"/>
            <w:vAlign w:val="center"/>
          </w:tcPr>
          <w:p>
            <w:pPr>
              <w:pStyle w:val="136"/>
            </w:pPr>
            <w:r>
              <w:t>分配比例（%）</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3" w:type="dxa"/>
            <w:vAlign w:val="center"/>
          </w:tcPr>
          <w:p>
            <w:pPr>
              <w:pStyle w:val="136"/>
            </w:pPr>
            <w:r>
              <w:t>10</w:t>
            </w:r>
          </w:p>
        </w:tc>
        <w:tc>
          <w:tcPr>
            <w:tcW w:w="591" w:type="dxa"/>
            <w:vAlign w:val="center"/>
          </w:tcPr>
          <w:p>
            <w:pPr>
              <w:pStyle w:val="136"/>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exact"/>
          <w:jc w:val="center"/>
        </w:trPr>
        <w:tc>
          <w:tcPr>
            <w:tcW w:w="1539" w:type="dxa"/>
            <w:vAlign w:val="center"/>
          </w:tcPr>
          <w:p>
            <w:pPr>
              <w:pStyle w:val="136"/>
            </w:pPr>
            <w:r>
              <w:t>基本生态水量</w:t>
            </w:r>
          </w:p>
          <w:p>
            <w:pPr>
              <w:pStyle w:val="136"/>
            </w:pPr>
            <w:r>
              <w:t>（万m</w:t>
            </w:r>
            <w:r>
              <w:rPr>
                <w:vertAlign w:val="superscript"/>
              </w:rPr>
              <w:t>3</w:t>
            </w:r>
            <w:r>
              <w:t>）</w:t>
            </w:r>
          </w:p>
        </w:tc>
        <w:tc>
          <w:tcPr>
            <w:tcW w:w="593" w:type="dxa"/>
            <w:vAlign w:val="center"/>
          </w:tcPr>
          <w:p>
            <w:pPr>
              <w:pStyle w:val="136"/>
            </w:pPr>
            <w:r>
              <w:t>4.56</w:t>
            </w:r>
          </w:p>
        </w:tc>
        <w:tc>
          <w:tcPr>
            <w:tcW w:w="593" w:type="dxa"/>
            <w:vAlign w:val="center"/>
          </w:tcPr>
          <w:p>
            <w:pPr>
              <w:pStyle w:val="136"/>
            </w:pPr>
            <w:r>
              <w:t>4.42</w:t>
            </w:r>
          </w:p>
        </w:tc>
        <w:tc>
          <w:tcPr>
            <w:tcW w:w="593" w:type="dxa"/>
            <w:vAlign w:val="center"/>
          </w:tcPr>
          <w:p>
            <w:pPr>
              <w:pStyle w:val="136"/>
            </w:pPr>
            <w:r>
              <w:t>4.29</w:t>
            </w:r>
          </w:p>
        </w:tc>
        <w:tc>
          <w:tcPr>
            <w:tcW w:w="593" w:type="dxa"/>
            <w:vAlign w:val="center"/>
          </w:tcPr>
          <w:p>
            <w:pPr>
              <w:pStyle w:val="136"/>
            </w:pPr>
            <w:r>
              <w:t>3.66</w:t>
            </w:r>
          </w:p>
        </w:tc>
        <w:tc>
          <w:tcPr>
            <w:tcW w:w="593" w:type="dxa"/>
            <w:vAlign w:val="center"/>
          </w:tcPr>
          <w:p>
            <w:pPr>
              <w:pStyle w:val="136"/>
            </w:pPr>
            <w:r>
              <w:t>2.98</w:t>
            </w:r>
          </w:p>
        </w:tc>
        <w:tc>
          <w:tcPr>
            <w:tcW w:w="593" w:type="dxa"/>
            <w:vAlign w:val="center"/>
          </w:tcPr>
          <w:p>
            <w:pPr>
              <w:pStyle w:val="136"/>
            </w:pPr>
            <w:r>
              <w:t>6.82</w:t>
            </w:r>
          </w:p>
        </w:tc>
        <w:tc>
          <w:tcPr>
            <w:tcW w:w="593" w:type="dxa"/>
            <w:vAlign w:val="center"/>
          </w:tcPr>
          <w:p>
            <w:pPr>
              <w:pStyle w:val="136"/>
            </w:pPr>
            <w:r>
              <w:t>15.6</w:t>
            </w:r>
          </w:p>
        </w:tc>
        <w:tc>
          <w:tcPr>
            <w:tcW w:w="593" w:type="dxa"/>
            <w:vAlign w:val="center"/>
          </w:tcPr>
          <w:p>
            <w:pPr>
              <w:pStyle w:val="136"/>
            </w:pPr>
            <w:r>
              <w:t>17.7</w:t>
            </w:r>
          </w:p>
        </w:tc>
        <w:tc>
          <w:tcPr>
            <w:tcW w:w="593" w:type="dxa"/>
            <w:vAlign w:val="center"/>
          </w:tcPr>
          <w:p>
            <w:pPr>
              <w:pStyle w:val="136"/>
            </w:pPr>
            <w:r>
              <w:t>6.82</w:t>
            </w:r>
          </w:p>
        </w:tc>
        <w:tc>
          <w:tcPr>
            <w:tcW w:w="593" w:type="dxa"/>
            <w:vAlign w:val="center"/>
          </w:tcPr>
          <w:p>
            <w:pPr>
              <w:pStyle w:val="136"/>
            </w:pPr>
            <w:r>
              <w:t>6.06</w:t>
            </w:r>
          </w:p>
        </w:tc>
        <w:tc>
          <w:tcPr>
            <w:tcW w:w="593" w:type="dxa"/>
            <w:vAlign w:val="center"/>
          </w:tcPr>
          <w:p>
            <w:pPr>
              <w:pStyle w:val="136"/>
            </w:pPr>
            <w:r>
              <w:t>5.51</w:t>
            </w:r>
          </w:p>
        </w:tc>
        <w:tc>
          <w:tcPr>
            <w:tcW w:w="593" w:type="dxa"/>
            <w:vAlign w:val="center"/>
          </w:tcPr>
          <w:p>
            <w:pPr>
              <w:pStyle w:val="136"/>
            </w:pPr>
            <w:r>
              <w:t>5.02</w:t>
            </w:r>
          </w:p>
        </w:tc>
        <w:tc>
          <w:tcPr>
            <w:tcW w:w="591" w:type="dxa"/>
            <w:vAlign w:val="center"/>
          </w:tcPr>
          <w:p>
            <w:pPr>
              <w:pStyle w:val="136"/>
            </w:pPr>
            <w:r>
              <w:t>83.44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exact"/>
          <w:jc w:val="center"/>
        </w:trPr>
        <w:tc>
          <w:tcPr>
            <w:tcW w:w="1539" w:type="dxa"/>
            <w:vAlign w:val="center"/>
          </w:tcPr>
          <w:p>
            <w:pPr>
              <w:pStyle w:val="136"/>
            </w:pPr>
            <w:r>
              <w:t>生态流量</w:t>
            </w:r>
          </w:p>
          <w:p>
            <w:pPr>
              <w:pStyle w:val="136"/>
            </w:pPr>
            <w:r>
              <w:t>（m</w:t>
            </w:r>
            <w:r>
              <w:rPr>
                <w:vertAlign w:val="superscript"/>
              </w:rPr>
              <w:t>3</w:t>
            </w:r>
            <w:r>
              <w:t>/s）</w:t>
            </w:r>
          </w:p>
        </w:tc>
        <w:tc>
          <w:tcPr>
            <w:tcW w:w="593" w:type="dxa"/>
            <w:vAlign w:val="center"/>
          </w:tcPr>
          <w:p>
            <w:pPr>
              <w:pStyle w:val="136"/>
            </w:pPr>
            <w:r>
              <w:t>0.017</w:t>
            </w:r>
          </w:p>
        </w:tc>
        <w:tc>
          <w:tcPr>
            <w:tcW w:w="593" w:type="dxa"/>
            <w:vAlign w:val="center"/>
          </w:tcPr>
          <w:p>
            <w:pPr>
              <w:pStyle w:val="136"/>
            </w:pPr>
            <w:r>
              <w:t>0.018</w:t>
            </w:r>
          </w:p>
        </w:tc>
        <w:tc>
          <w:tcPr>
            <w:tcW w:w="593" w:type="dxa"/>
            <w:vAlign w:val="center"/>
          </w:tcPr>
          <w:p>
            <w:pPr>
              <w:pStyle w:val="136"/>
            </w:pPr>
            <w:r>
              <w:t>0.016</w:t>
            </w:r>
          </w:p>
        </w:tc>
        <w:tc>
          <w:tcPr>
            <w:tcW w:w="593" w:type="dxa"/>
            <w:vAlign w:val="center"/>
          </w:tcPr>
          <w:p>
            <w:pPr>
              <w:pStyle w:val="136"/>
            </w:pPr>
            <w:r>
              <w:t>0.014</w:t>
            </w:r>
          </w:p>
        </w:tc>
        <w:tc>
          <w:tcPr>
            <w:tcW w:w="593" w:type="dxa"/>
            <w:vAlign w:val="center"/>
          </w:tcPr>
          <w:p>
            <w:pPr>
              <w:pStyle w:val="136"/>
            </w:pPr>
            <w:r>
              <w:t>0.011</w:t>
            </w:r>
          </w:p>
        </w:tc>
        <w:tc>
          <w:tcPr>
            <w:tcW w:w="593" w:type="dxa"/>
            <w:vAlign w:val="center"/>
          </w:tcPr>
          <w:p>
            <w:pPr>
              <w:pStyle w:val="136"/>
            </w:pPr>
            <w:r>
              <w:t>0.026</w:t>
            </w:r>
          </w:p>
        </w:tc>
        <w:tc>
          <w:tcPr>
            <w:tcW w:w="593" w:type="dxa"/>
            <w:vAlign w:val="center"/>
          </w:tcPr>
          <w:p>
            <w:pPr>
              <w:pStyle w:val="136"/>
            </w:pPr>
            <w:r>
              <w:t>0.058</w:t>
            </w:r>
          </w:p>
        </w:tc>
        <w:tc>
          <w:tcPr>
            <w:tcW w:w="593" w:type="dxa"/>
            <w:vAlign w:val="center"/>
          </w:tcPr>
          <w:p>
            <w:pPr>
              <w:pStyle w:val="136"/>
            </w:pPr>
            <w:r>
              <w:t>0.066</w:t>
            </w:r>
          </w:p>
        </w:tc>
        <w:tc>
          <w:tcPr>
            <w:tcW w:w="593" w:type="dxa"/>
            <w:vAlign w:val="center"/>
          </w:tcPr>
          <w:p>
            <w:pPr>
              <w:pStyle w:val="136"/>
            </w:pPr>
            <w:r>
              <w:t>0.026</w:t>
            </w:r>
          </w:p>
        </w:tc>
        <w:tc>
          <w:tcPr>
            <w:tcW w:w="593" w:type="dxa"/>
            <w:vAlign w:val="center"/>
          </w:tcPr>
          <w:p>
            <w:pPr>
              <w:pStyle w:val="136"/>
            </w:pPr>
            <w:r>
              <w:t>0.023</w:t>
            </w:r>
          </w:p>
        </w:tc>
        <w:tc>
          <w:tcPr>
            <w:tcW w:w="593" w:type="dxa"/>
            <w:vAlign w:val="center"/>
          </w:tcPr>
          <w:p>
            <w:pPr>
              <w:pStyle w:val="136"/>
            </w:pPr>
            <w:r>
              <w:t>0.021</w:t>
            </w:r>
          </w:p>
        </w:tc>
        <w:tc>
          <w:tcPr>
            <w:tcW w:w="593" w:type="dxa"/>
            <w:vAlign w:val="center"/>
          </w:tcPr>
          <w:p>
            <w:pPr>
              <w:pStyle w:val="136"/>
            </w:pPr>
            <w:r>
              <w:t>0.019</w:t>
            </w:r>
          </w:p>
        </w:tc>
        <w:tc>
          <w:tcPr>
            <w:tcW w:w="591" w:type="dxa"/>
            <w:vAlign w:val="center"/>
          </w:tcPr>
          <w:p>
            <w:pPr>
              <w:pStyle w:val="136"/>
            </w:pPr>
            <w:r>
              <w:t>0.026</w:t>
            </w:r>
          </w:p>
        </w:tc>
      </w:tr>
    </w:tbl>
    <w:p>
      <w:pPr>
        <w:ind w:firstLine="480"/>
        <w:rPr>
          <w:rFonts w:cs="Times New Roman"/>
        </w:rPr>
      </w:pPr>
    </w:p>
    <w:p>
      <w:pPr>
        <w:pStyle w:val="4"/>
        <w:rPr>
          <w:rFonts w:cs="Times New Roman"/>
        </w:rPr>
      </w:pPr>
      <w:r>
        <w:rPr>
          <w:rFonts w:cs="Times New Roman"/>
        </w:rPr>
        <w:t>2.3.5 工程项目组成</w:t>
      </w:r>
    </w:p>
    <w:p>
      <w:pPr>
        <w:ind w:firstLine="480"/>
        <w:rPr>
          <w:rFonts w:cs="Times New Roman"/>
        </w:rPr>
      </w:pPr>
      <w:r>
        <w:rPr>
          <w:rFonts w:cs="Times New Roman"/>
        </w:rPr>
        <w:t>代尔昆代水库建设内容主要由主体工程、辅助工程、公用工程、储运工程、移民安置工程等部分组成。工程项目组成见表2.3-3。</w:t>
      </w:r>
    </w:p>
    <w:p>
      <w:pPr>
        <w:pStyle w:val="137"/>
        <w:spacing w:before="48"/>
      </w:pPr>
      <w:r>
        <w:t>表2.3-3                 代尔昆代水库工程项目组成表</w:t>
      </w:r>
    </w:p>
    <w:tbl>
      <w:tblPr>
        <w:tblStyle w:val="40"/>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431"/>
        <w:gridCol w:w="6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31" w:type="pct"/>
            <w:shd w:val="clear" w:color="auto" w:fill="auto"/>
            <w:vAlign w:val="center"/>
          </w:tcPr>
          <w:p>
            <w:pPr>
              <w:pStyle w:val="136"/>
            </w:pPr>
            <w:r>
              <w:t>工程项目</w:t>
            </w:r>
          </w:p>
        </w:tc>
        <w:tc>
          <w:tcPr>
            <w:tcW w:w="4369" w:type="pct"/>
            <w:gridSpan w:val="2"/>
            <w:shd w:val="clear" w:color="auto" w:fill="auto"/>
            <w:vAlign w:val="center"/>
          </w:tcPr>
          <w:p>
            <w:pPr>
              <w:pStyle w:val="136"/>
            </w:pPr>
            <w:r>
              <w:t>工程组成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1" w:type="pct"/>
            <w:vMerge w:val="restart"/>
            <w:shd w:val="clear" w:color="auto" w:fill="auto"/>
            <w:vAlign w:val="center"/>
          </w:tcPr>
          <w:p>
            <w:pPr>
              <w:pStyle w:val="136"/>
            </w:pPr>
            <w:r>
              <w:t>主体工程</w:t>
            </w:r>
          </w:p>
        </w:tc>
        <w:tc>
          <w:tcPr>
            <w:tcW w:w="781" w:type="pct"/>
            <w:shd w:val="clear" w:color="auto" w:fill="auto"/>
            <w:vAlign w:val="center"/>
          </w:tcPr>
          <w:p>
            <w:pPr>
              <w:pStyle w:val="136"/>
            </w:pPr>
            <w:r>
              <w:t>挡水建筑物</w:t>
            </w:r>
          </w:p>
        </w:tc>
        <w:tc>
          <w:tcPr>
            <w:tcW w:w="3588" w:type="pct"/>
            <w:shd w:val="clear" w:color="auto" w:fill="auto"/>
            <w:vAlign w:val="center"/>
          </w:tcPr>
          <w:p>
            <w:pPr>
              <w:pStyle w:val="136"/>
              <w:jc w:val="both"/>
            </w:pPr>
            <w:r>
              <w:t>采用碾压砼重力坝，坝顶高程1984.3m，最大坝高63.93m，坝顶长度195m，坝顶宽度6m。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31" w:type="pct"/>
            <w:vMerge w:val="continue"/>
            <w:vAlign w:val="center"/>
          </w:tcPr>
          <w:p>
            <w:pPr>
              <w:pStyle w:val="136"/>
            </w:pPr>
          </w:p>
        </w:tc>
        <w:tc>
          <w:tcPr>
            <w:tcW w:w="781" w:type="pct"/>
            <w:shd w:val="clear" w:color="auto" w:fill="auto"/>
            <w:vAlign w:val="center"/>
          </w:tcPr>
          <w:p>
            <w:pPr>
              <w:pStyle w:val="136"/>
            </w:pPr>
            <w:r>
              <w:t>泄水建筑物</w:t>
            </w:r>
          </w:p>
        </w:tc>
        <w:tc>
          <w:tcPr>
            <w:tcW w:w="3588" w:type="pct"/>
            <w:shd w:val="clear" w:color="auto" w:fill="auto"/>
            <w:vAlign w:val="center"/>
          </w:tcPr>
          <w:p>
            <w:pPr>
              <w:pStyle w:val="136"/>
              <w:jc w:val="both"/>
            </w:pPr>
            <w:r>
              <w:t>溢流坝段布置于碾压砼重力坝中部，为6#坝段，坝段长25m（0+092-0+117）。溢流堰采用WES堰形式。起调水位为正常蓄水位1981.85m。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1" w:type="pct"/>
            <w:vMerge w:val="continue"/>
            <w:vAlign w:val="center"/>
          </w:tcPr>
          <w:p>
            <w:pPr>
              <w:pStyle w:val="136"/>
            </w:pPr>
          </w:p>
        </w:tc>
        <w:tc>
          <w:tcPr>
            <w:tcW w:w="781" w:type="pct"/>
            <w:shd w:val="clear" w:color="auto" w:fill="auto"/>
            <w:vAlign w:val="center"/>
          </w:tcPr>
          <w:p>
            <w:pPr>
              <w:pStyle w:val="136"/>
            </w:pPr>
            <w:r>
              <w:t>导流建筑物</w:t>
            </w:r>
          </w:p>
        </w:tc>
        <w:tc>
          <w:tcPr>
            <w:tcW w:w="3588" w:type="pct"/>
            <w:shd w:val="clear" w:color="auto" w:fill="auto"/>
            <w:vAlign w:val="center"/>
          </w:tcPr>
          <w:p>
            <w:pPr>
              <w:pStyle w:val="136"/>
              <w:jc w:val="both"/>
            </w:pPr>
            <w:r>
              <w:t>导流放水隧洞布置在坝体左岸山体内。一洞多用兼有导流、放水、冲砂、放空作用。隧洞全长330m，由进口段)、闸井段)、洞身段、出口消能防冲段组成。洞身段采用城门洞型，为无压隧洞。进口底板高程1951m。出口消能段采用挑流扩散式消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1" w:type="pct"/>
            <w:vMerge w:val="continue"/>
            <w:vAlign w:val="center"/>
          </w:tcPr>
          <w:p>
            <w:pPr>
              <w:pStyle w:val="136"/>
            </w:pPr>
          </w:p>
        </w:tc>
        <w:tc>
          <w:tcPr>
            <w:tcW w:w="781" w:type="pct"/>
            <w:shd w:val="clear" w:color="auto" w:fill="auto"/>
            <w:vAlign w:val="center"/>
          </w:tcPr>
          <w:p>
            <w:pPr>
              <w:pStyle w:val="136"/>
            </w:pPr>
            <w:r>
              <w:t>放水建筑物</w:t>
            </w:r>
          </w:p>
        </w:tc>
        <w:tc>
          <w:tcPr>
            <w:tcW w:w="3588" w:type="pct"/>
            <w:shd w:val="clear" w:color="auto" w:fill="auto"/>
            <w:vAlign w:val="center"/>
          </w:tcPr>
          <w:p>
            <w:pPr>
              <w:pStyle w:val="136"/>
              <w:jc w:val="both"/>
            </w:pPr>
            <w:r>
              <w:t>水库放水管设计流量为0.48m</w:t>
            </w:r>
            <w:r>
              <w:rPr>
                <w:vertAlign w:val="superscript"/>
              </w:rPr>
              <w:t>3</w:t>
            </w:r>
            <w:r>
              <w:t>/s，取水口位置布置在导流隧洞竖井迎水面，进口底高程为1958.0m，放水管采用DN600镀锌钢管，布置在导流隧洞底板以下，放水管出隧洞后沿隧洞左侧布置，于放水管末端布置放水管控制阀井。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vMerge w:val="restart"/>
            <w:shd w:val="clear" w:color="auto" w:fill="auto"/>
            <w:vAlign w:val="center"/>
          </w:tcPr>
          <w:p>
            <w:pPr>
              <w:pStyle w:val="136"/>
            </w:pPr>
            <w:r>
              <w:t>施工辅助工程</w:t>
            </w:r>
          </w:p>
        </w:tc>
        <w:tc>
          <w:tcPr>
            <w:tcW w:w="781" w:type="pct"/>
            <w:shd w:val="clear" w:color="auto" w:fill="auto"/>
            <w:vAlign w:val="center"/>
          </w:tcPr>
          <w:p>
            <w:pPr>
              <w:pStyle w:val="136"/>
            </w:pPr>
            <w:r>
              <w:t>施工导流</w:t>
            </w:r>
          </w:p>
        </w:tc>
        <w:tc>
          <w:tcPr>
            <w:tcW w:w="3588" w:type="pct"/>
            <w:shd w:val="clear" w:color="auto" w:fill="auto"/>
            <w:vAlign w:val="center"/>
          </w:tcPr>
          <w:p>
            <w:pPr>
              <w:pStyle w:val="136"/>
              <w:jc w:val="both"/>
            </w:pPr>
            <w:r>
              <w:t>围堰挡水，坝体挡水，导流洞导流。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vMerge w:val="continue"/>
            <w:shd w:val="clear" w:color="auto" w:fill="auto"/>
            <w:vAlign w:val="center"/>
          </w:tcPr>
          <w:p>
            <w:pPr>
              <w:pStyle w:val="136"/>
            </w:pPr>
          </w:p>
        </w:tc>
        <w:tc>
          <w:tcPr>
            <w:tcW w:w="781" w:type="pct"/>
            <w:shd w:val="clear" w:color="auto" w:fill="auto"/>
            <w:vAlign w:val="center"/>
          </w:tcPr>
          <w:p>
            <w:pPr>
              <w:pStyle w:val="136"/>
            </w:pPr>
            <w:r>
              <w:t>施工企业</w:t>
            </w:r>
          </w:p>
        </w:tc>
        <w:tc>
          <w:tcPr>
            <w:tcW w:w="3588" w:type="pct"/>
            <w:shd w:val="clear" w:color="auto" w:fill="auto"/>
            <w:vAlign w:val="center"/>
          </w:tcPr>
          <w:p>
            <w:pPr>
              <w:pStyle w:val="136"/>
              <w:jc w:val="both"/>
            </w:pPr>
            <w:r>
              <w:t>1处砂石料加工厂、2套混凝土拌和系统、1个综合加工厂。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shd w:val="clear" w:color="auto" w:fill="auto"/>
            <w:vAlign w:val="center"/>
          </w:tcPr>
          <w:p>
            <w:pPr>
              <w:pStyle w:val="136"/>
            </w:pPr>
            <w:r>
              <w:t>公用工程</w:t>
            </w:r>
          </w:p>
        </w:tc>
        <w:tc>
          <w:tcPr>
            <w:tcW w:w="781" w:type="pct"/>
            <w:shd w:val="clear" w:color="auto" w:fill="auto"/>
            <w:vAlign w:val="center"/>
          </w:tcPr>
          <w:p>
            <w:pPr>
              <w:pStyle w:val="136"/>
            </w:pPr>
            <w:r>
              <w:t>水、电、气系统</w:t>
            </w:r>
          </w:p>
        </w:tc>
        <w:tc>
          <w:tcPr>
            <w:tcW w:w="3588" w:type="pct"/>
            <w:shd w:val="clear" w:color="auto" w:fill="auto"/>
            <w:vAlign w:val="center"/>
          </w:tcPr>
          <w:p>
            <w:pPr>
              <w:pStyle w:val="136"/>
              <w:jc w:val="both"/>
            </w:pPr>
            <w:r>
              <w:t>7处供水站采用就近取水原则，水源取自河沟河水，供水总规模345m³/h；5处施工供风系统，总规模160m</w:t>
            </w:r>
            <w:r>
              <w:rPr>
                <w:vertAlign w:val="superscript"/>
              </w:rPr>
              <w:t>3</w:t>
            </w:r>
            <w:r>
              <w:t>/min；由伊下线35KV输电线路T接线，由新建16km输电线路接入工程区，新建1座35kv变电站</w:t>
            </w:r>
            <w:r>
              <w:rPr>
                <w:rFonts w:hint="eastAsia"/>
                <w:lang w:eastAsia="zh-CN"/>
              </w:rPr>
              <w:t>将</w:t>
            </w:r>
            <w:r>
              <w:t>10kV电压降到380V后供电，另自备2台100KW发电机作为备用电源。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vMerge w:val="restart"/>
            <w:shd w:val="clear" w:color="auto" w:fill="auto"/>
            <w:vAlign w:val="center"/>
          </w:tcPr>
          <w:p>
            <w:pPr>
              <w:pStyle w:val="136"/>
            </w:pPr>
            <w:r>
              <w:t>储运工程</w:t>
            </w:r>
          </w:p>
        </w:tc>
        <w:tc>
          <w:tcPr>
            <w:tcW w:w="781" w:type="pct"/>
            <w:shd w:val="clear" w:color="auto" w:fill="auto"/>
            <w:vAlign w:val="center"/>
          </w:tcPr>
          <w:p>
            <w:pPr>
              <w:pStyle w:val="136"/>
            </w:pPr>
            <w:r>
              <w:t>渣、料场</w:t>
            </w:r>
          </w:p>
        </w:tc>
        <w:tc>
          <w:tcPr>
            <w:tcW w:w="3588" w:type="pct"/>
            <w:shd w:val="clear" w:color="auto" w:fill="auto"/>
            <w:vAlign w:val="center"/>
          </w:tcPr>
          <w:p>
            <w:pPr>
              <w:pStyle w:val="136"/>
              <w:jc w:val="both"/>
            </w:pPr>
            <w:r>
              <w:t>工程共设置弃渣场2处、料场3处（包括中坝址开挖料场C1、下游河床料场C2和外购砼骨料场C3）。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vMerge w:val="continue"/>
            <w:vAlign w:val="center"/>
          </w:tcPr>
          <w:p>
            <w:pPr>
              <w:pStyle w:val="136"/>
            </w:pPr>
          </w:p>
        </w:tc>
        <w:tc>
          <w:tcPr>
            <w:tcW w:w="781" w:type="pct"/>
            <w:shd w:val="clear" w:color="auto" w:fill="auto"/>
            <w:vAlign w:val="center"/>
          </w:tcPr>
          <w:p>
            <w:pPr>
              <w:pStyle w:val="136"/>
            </w:pPr>
            <w:r>
              <w:t>施工交通</w:t>
            </w:r>
          </w:p>
        </w:tc>
        <w:tc>
          <w:tcPr>
            <w:tcW w:w="3588" w:type="pct"/>
            <w:shd w:val="clear" w:color="auto" w:fill="auto"/>
            <w:vAlign w:val="center"/>
          </w:tcPr>
          <w:p>
            <w:pPr>
              <w:pStyle w:val="136"/>
              <w:jc w:val="both"/>
            </w:pPr>
            <w:r>
              <w:t>修建1条进场道路，长7km；并布置9条场内施工道路，总长约5.6km，其中新建永久道路规划总长约1.5km，新建临时道路4.1km；施工交通桥3座。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vMerge w:val="continue"/>
            <w:vAlign w:val="center"/>
          </w:tcPr>
          <w:p>
            <w:pPr>
              <w:pStyle w:val="136"/>
            </w:pPr>
          </w:p>
        </w:tc>
        <w:tc>
          <w:tcPr>
            <w:tcW w:w="781" w:type="pct"/>
            <w:shd w:val="clear" w:color="auto" w:fill="auto"/>
            <w:vAlign w:val="center"/>
          </w:tcPr>
          <w:p>
            <w:pPr>
              <w:pStyle w:val="136"/>
            </w:pPr>
            <w:r>
              <w:t>其它</w:t>
            </w:r>
          </w:p>
        </w:tc>
        <w:tc>
          <w:tcPr>
            <w:tcW w:w="3588" w:type="pct"/>
            <w:shd w:val="clear" w:color="auto" w:fill="auto"/>
            <w:vAlign w:val="center"/>
          </w:tcPr>
          <w:p>
            <w:pPr>
              <w:pStyle w:val="136"/>
              <w:jc w:val="both"/>
            </w:pPr>
            <w:r>
              <w:t>油库1座、炸药库1座。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1" w:type="pct"/>
            <w:vAlign w:val="center"/>
          </w:tcPr>
          <w:p>
            <w:pPr>
              <w:pStyle w:val="136"/>
            </w:pPr>
            <w:r>
              <w:t>办公及生活设施</w:t>
            </w:r>
          </w:p>
        </w:tc>
        <w:tc>
          <w:tcPr>
            <w:tcW w:w="781" w:type="pct"/>
            <w:shd w:val="clear" w:color="auto" w:fill="auto"/>
            <w:vAlign w:val="center"/>
          </w:tcPr>
          <w:p>
            <w:pPr>
              <w:pStyle w:val="136"/>
            </w:pPr>
            <w:r>
              <w:t>施工营地</w:t>
            </w:r>
          </w:p>
        </w:tc>
        <w:tc>
          <w:tcPr>
            <w:tcW w:w="3588" w:type="pct"/>
            <w:shd w:val="clear" w:color="auto" w:fill="auto"/>
            <w:vAlign w:val="center"/>
          </w:tcPr>
          <w:p>
            <w:pPr>
              <w:pStyle w:val="136"/>
              <w:jc w:val="both"/>
            </w:pPr>
            <w:r>
              <w:t>施工生活管理区1处，位于坝址下游1km左岸III级阶地，占地面积1.2hm</w:t>
            </w:r>
            <w:r>
              <w:rPr>
                <w:vertAlign w:val="superscript"/>
              </w:rPr>
              <w:t>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31" w:type="pct"/>
            <w:vAlign w:val="center"/>
          </w:tcPr>
          <w:p>
            <w:pPr>
              <w:pStyle w:val="136"/>
            </w:pPr>
            <w:r>
              <w:t>移民安置</w:t>
            </w:r>
          </w:p>
        </w:tc>
        <w:tc>
          <w:tcPr>
            <w:tcW w:w="781" w:type="pct"/>
            <w:shd w:val="clear" w:color="auto" w:fill="auto"/>
            <w:vAlign w:val="center"/>
          </w:tcPr>
          <w:p>
            <w:pPr>
              <w:pStyle w:val="136"/>
            </w:pPr>
            <w:r>
              <w:t>移民安置</w:t>
            </w:r>
          </w:p>
        </w:tc>
        <w:tc>
          <w:tcPr>
            <w:tcW w:w="3588" w:type="pct"/>
            <w:shd w:val="clear" w:color="auto" w:fill="auto"/>
            <w:vAlign w:val="center"/>
          </w:tcPr>
          <w:p>
            <w:pPr>
              <w:pStyle w:val="136"/>
              <w:jc w:val="both"/>
            </w:pPr>
            <w:r>
              <w:t>工程区内无居民居住，无需进行生产生活安置；工程总占地46.15hm</w:t>
            </w:r>
            <w:r>
              <w:rPr>
                <w:vertAlign w:val="superscript"/>
              </w:rPr>
              <w:t>2</w:t>
            </w:r>
            <w:r>
              <w:t>，占地补偿投资为574.15万元。</w:t>
            </w:r>
          </w:p>
        </w:tc>
      </w:tr>
    </w:tbl>
    <w:p>
      <w:pPr>
        <w:ind w:firstLine="480"/>
        <w:rPr>
          <w:rFonts w:cs="Times New Roman"/>
        </w:rPr>
      </w:pPr>
    </w:p>
    <w:p>
      <w:pPr>
        <w:pStyle w:val="4"/>
        <w:rPr>
          <w:rFonts w:cs="Times New Roman"/>
        </w:rPr>
      </w:pPr>
      <w:r>
        <w:rPr>
          <w:rFonts w:cs="Times New Roman"/>
        </w:rPr>
        <w:t>2.3.6 工程等别和设计安全标准</w:t>
      </w:r>
    </w:p>
    <w:p>
      <w:pPr>
        <w:pStyle w:val="62"/>
        <w:rPr>
          <w:rFonts w:cs="Times New Roman"/>
        </w:rPr>
      </w:pPr>
      <w:r>
        <w:rPr>
          <w:rFonts w:cs="Times New Roman"/>
        </w:rPr>
        <w:t>2.3.6.1工程等别</w:t>
      </w:r>
    </w:p>
    <w:p>
      <w:pPr>
        <w:ind w:firstLine="480"/>
        <w:rPr>
          <w:rFonts w:cs="Times New Roman"/>
        </w:rPr>
      </w:pPr>
      <w:r>
        <w:rPr>
          <w:rFonts w:cs="Times New Roman"/>
        </w:rPr>
        <w:t>代尔昆代水库正常蓄水位1981.85m，死水位1960m，总库容296.68万m</w:t>
      </w:r>
      <w:r>
        <w:rPr>
          <w:rFonts w:cs="Times New Roman"/>
          <w:vertAlign w:val="superscript"/>
        </w:rPr>
        <w:t>3</w:t>
      </w:r>
      <w:r>
        <w:rPr>
          <w:rFonts w:cs="Times New Roman"/>
        </w:rPr>
        <w:t>，正常蓄水位对应库容192.24万m</w:t>
      </w:r>
      <w:r>
        <w:rPr>
          <w:rFonts w:cs="Times New Roman"/>
          <w:vertAlign w:val="superscript"/>
        </w:rPr>
        <w:t>3</w:t>
      </w:r>
      <w:r>
        <w:rPr>
          <w:rFonts w:cs="Times New Roman"/>
        </w:rPr>
        <w:t>，死库容25.43万m</w:t>
      </w:r>
      <w:r>
        <w:rPr>
          <w:rFonts w:cs="Times New Roman"/>
          <w:vertAlign w:val="superscript"/>
        </w:rPr>
        <w:t>3</w:t>
      </w:r>
      <w:r>
        <w:rPr>
          <w:rFonts w:cs="Times New Roman"/>
        </w:rPr>
        <w:t>，95%保证率下年供水量359.57万m</w:t>
      </w:r>
      <w:r>
        <w:rPr>
          <w:rFonts w:cs="Times New Roman"/>
          <w:vertAlign w:val="superscript"/>
        </w:rPr>
        <w:t>3</w:t>
      </w:r>
      <w:r>
        <w:rPr>
          <w:rFonts w:cs="Times New Roman"/>
        </w:rPr>
        <w:t>。按照《水利水电工程等级划分及洪水标准》（SL252-2017），确定工程规模为小（1）型，工程等别为Ⅳ等。</w:t>
      </w:r>
    </w:p>
    <w:p>
      <w:pPr>
        <w:ind w:firstLine="480"/>
        <w:rPr>
          <w:rFonts w:cs="Times New Roman"/>
        </w:rPr>
      </w:pPr>
      <w:r>
        <w:rPr>
          <w:rFonts w:cs="Times New Roman"/>
        </w:rPr>
        <w:t>各主要建筑物级别确定如下：挡水建筑物（拦河坝各坝段）、泄水建筑物（溢流坝段）和导流放水建筑物（导流放水隧洞）等主要建筑物为4级；进库路、左岸上坝路等次要建筑物为5级；临时建筑物为5级。</w:t>
      </w:r>
    </w:p>
    <w:p>
      <w:pPr>
        <w:pStyle w:val="62"/>
        <w:rPr>
          <w:rFonts w:cs="Times New Roman"/>
        </w:rPr>
      </w:pPr>
      <w:r>
        <w:rPr>
          <w:rFonts w:cs="Times New Roman"/>
        </w:rPr>
        <w:t>2.3.6.2 设计标准</w:t>
      </w:r>
    </w:p>
    <w:p>
      <w:pPr>
        <w:ind w:firstLine="480"/>
        <w:rPr>
          <w:rFonts w:cs="Times New Roman"/>
        </w:rPr>
      </w:pPr>
      <w:r>
        <w:rPr>
          <w:rFonts w:cs="Times New Roman"/>
        </w:rPr>
        <w:t>（1）洪水标准</w:t>
      </w:r>
    </w:p>
    <w:p>
      <w:pPr>
        <w:ind w:firstLine="480"/>
        <w:rPr>
          <w:rFonts w:cs="Times New Roman"/>
        </w:rPr>
      </w:pPr>
      <w:r>
        <w:rPr>
          <w:rFonts w:cs="Times New Roman"/>
        </w:rPr>
        <w:t>碾压砼重力坝设计洪水标准为50年一遇，洪峰流量为95.1m</w:t>
      </w:r>
      <w:r>
        <w:rPr>
          <w:rFonts w:cs="Times New Roman"/>
          <w:vertAlign w:val="superscript"/>
        </w:rPr>
        <w:t>3</w:t>
      </w:r>
      <w:r>
        <w:rPr>
          <w:rFonts w:cs="Times New Roman"/>
        </w:rPr>
        <w:t>/s；校核洪水标准为500年一遇，洪峰流量为282m</w:t>
      </w:r>
      <w:r>
        <w:rPr>
          <w:rFonts w:cs="Times New Roman"/>
          <w:vertAlign w:val="superscript"/>
        </w:rPr>
        <w:t>3</w:t>
      </w:r>
      <w:r>
        <w:rPr>
          <w:rFonts w:cs="Times New Roman"/>
        </w:rPr>
        <w:t>/s。</w:t>
      </w:r>
    </w:p>
    <w:p>
      <w:pPr>
        <w:ind w:firstLine="480"/>
        <w:rPr>
          <w:rFonts w:cs="Times New Roman"/>
        </w:rPr>
      </w:pPr>
      <w:r>
        <w:rPr>
          <w:rFonts w:cs="Times New Roman"/>
        </w:rPr>
        <w:t>土石坝设计洪水标准为50年一遇，洪峰流量为95.1m</w:t>
      </w:r>
      <w:r>
        <w:rPr>
          <w:rFonts w:cs="Times New Roman"/>
          <w:vertAlign w:val="superscript"/>
        </w:rPr>
        <w:t>3</w:t>
      </w:r>
      <w:r>
        <w:rPr>
          <w:rFonts w:cs="Times New Roman"/>
        </w:rPr>
        <w:t>/s；校核洪水标准为1000年一遇，洪峰流量为347m</w:t>
      </w:r>
      <w:r>
        <w:rPr>
          <w:rFonts w:cs="Times New Roman"/>
          <w:vertAlign w:val="superscript"/>
        </w:rPr>
        <w:t>3</w:t>
      </w:r>
      <w:r>
        <w:rPr>
          <w:rFonts w:cs="Times New Roman"/>
        </w:rPr>
        <w:t>/s。</w:t>
      </w:r>
    </w:p>
    <w:p>
      <w:pPr>
        <w:ind w:firstLine="480"/>
        <w:rPr>
          <w:rFonts w:cs="Times New Roman"/>
        </w:rPr>
      </w:pPr>
      <w:r>
        <w:rPr>
          <w:rFonts w:cs="Times New Roman"/>
        </w:rPr>
        <w:t>永久泄水建筑物消能防冲洪水标准为20年一遇，洪峰流量为44.2m³/s。施工导流洪水标准为10年一遇，洪峰流量为21.3m³/s。</w:t>
      </w:r>
    </w:p>
    <w:p>
      <w:pPr>
        <w:ind w:firstLine="480"/>
        <w:rPr>
          <w:rFonts w:cs="Times New Roman"/>
        </w:rPr>
      </w:pPr>
      <w:r>
        <w:rPr>
          <w:rFonts w:cs="Times New Roman"/>
        </w:rPr>
        <w:t>坝体施工期临时度汛洪水标准为20年一遇，洪峰流量为44.2m³/s。</w:t>
      </w:r>
    </w:p>
    <w:p>
      <w:pPr>
        <w:ind w:firstLine="480"/>
        <w:rPr>
          <w:rFonts w:cs="Times New Roman"/>
        </w:rPr>
      </w:pPr>
      <w:r>
        <w:rPr>
          <w:rFonts w:cs="Times New Roman"/>
        </w:rPr>
        <w:t>（2）地震设防烈度</w:t>
      </w:r>
    </w:p>
    <w:p>
      <w:pPr>
        <w:ind w:firstLine="480"/>
        <w:rPr>
          <w:rFonts w:cs="Times New Roman"/>
        </w:rPr>
      </w:pPr>
      <w:r>
        <w:rPr>
          <w:rFonts w:cs="Times New Roman"/>
        </w:rPr>
        <w:t>依据《中国地震动参数区划图》(GB18306—2015)，库坝区地震动峰值加速度为0.15g，对应场地地震基本烈度为Ⅶ度。</w:t>
      </w:r>
    </w:p>
    <w:p>
      <w:pPr>
        <w:pStyle w:val="4"/>
        <w:rPr>
          <w:rFonts w:cs="Times New Roman"/>
        </w:rPr>
      </w:pPr>
      <w:r>
        <w:rPr>
          <w:rFonts w:cs="Times New Roman"/>
        </w:rPr>
        <w:t>2.3.7 工程总体布置及主要建筑物</w:t>
      </w:r>
    </w:p>
    <w:p>
      <w:pPr>
        <w:pStyle w:val="62"/>
        <w:rPr>
          <w:rFonts w:cs="Times New Roman"/>
        </w:rPr>
      </w:pPr>
      <w:r>
        <w:rPr>
          <w:rFonts w:cs="Times New Roman"/>
        </w:rPr>
        <w:t>2.3.7.1 工程总体布置</w:t>
      </w:r>
    </w:p>
    <w:p>
      <w:pPr>
        <w:ind w:firstLine="480"/>
        <w:rPr>
          <w:rFonts w:cs="Times New Roman"/>
        </w:rPr>
      </w:pPr>
      <w:r>
        <w:rPr>
          <w:rFonts w:cs="Times New Roman"/>
        </w:rPr>
        <w:t>代尔昆代水库主要建筑物由挡水建筑物、泄水建筑物、导流及放水建筑物等组成。挡水建筑物碾压砼重力坝由河床溢流坝段以及左、右岸非溢流坝段组成；放水建筑物主要为导流放水隧洞，布置于左坝肩。枢纽总平面布置见附图。</w:t>
      </w:r>
    </w:p>
    <w:p>
      <w:pPr>
        <w:pStyle w:val="62"/>
        <w:rPr>
          <w:rFonts w:cs="Times New Roman"/>
        </w:rPr>
      </w:pPr>
      <w:r>
        <w:rPr>
          <w:rFonts w:cs="Times New Roman"/>
        </w:rPr>
        <w:t>2.3.7.2 主要建筑物</w:t>
      </w:r>
    </w:p>
    <w:p>
      <w:pPr>
        <w:ind w:firstLine="480"/>
        <w:rPr>
          <w:rFonts w:cs="Times New Roman"/>
        </w:rPr>
      </w:pPr>
      <w:r>
        <w:rPr>
          <w:rFonts w:cs="Times New Roman"/>
        </w:rPr>
        <w:t>（1）挡水建筑物</w:t>
      </w:r>
    </w:p>
    <w:p>
      <w:pPr>
        <w:ind w:firstLine="480"/>
        <w:rPr>
          <w:rFonts w:cs="Times New Roman"/>
        </w:rPr>
      </w:pPr>
      <w:r>
        <w:rPr>
          <w:rFonts w:cs="Times New Roman"/>
        </w:rPr>
        <w:t>挡水建筑物采用碾压砼重力坝，坝顶高程1984.30m，最大坝高63.93m；坝顶长度195m，其中溢流坝段长25m、左岸非溢流坝段长92m，右岸非溢流坝段长78m；坝顶宽度6.0m。防浪墙顶高程1985.30m，下游侧设防撞墙。溢流坝段顶设交通桥与两岸坝段连通，交通桥与坝顶同高程为1984.30m，宽3.0m。</w:t>
      </w:r>
    </w:p>
    <w:p>
      <w:pPr>
        <w:ind w:firstLine="480"/>
        <w:rPr>
          <w:rFonts w:cs="Times New Roman"/>
        </w:rPr>
      </w:pPr>
      <w:r>
        <w:rPr>
          <w:rFonts w:cs="Times New Roman"/>
        </w:rPr>
        <w:t>大坝共分10个坝段，左岸非溢流坝5个坝段；河床溢流坝段为6#坝段，桩号0+092～0+117；右岸非溢流坝分4个坝段；坝段最大间距25.0m，最小16.0m。</w:t>
      </w:r>
    </w:p>
    <w:p>
      <w:pPr>
        <w:ind w:firstLine="480"/>
        <w:rPr>
          <w:rFonts w:cs="Times New Roman"/>
        </w:rPr>
      </w:pPr>
      <w:r>
        <w:rPr>
          <w:rFonts w:cs="Times New Roman"/>
        </w:rPr>
        <w:t>（2）导流建筑物</w:t>
      </w:r>
    </w:p>
    <w:p>
      <w:pPr>
        <w:ind w:firstLine="480"/>
        <w:rPr>
          <w:rFonts w:cs="Times New Roman"/>
        </w:rPr>
      </w:pPr>
      <w:r>
        <w:rPr>
          <w:rFonts w:cs="Times New Roman"/>
        </w:rPr>
        <w:t>导流放水隧洞布置在坝体左岸山体内。一洞多用兼有导流、放水、冲砂、放空作用。隧洞全长330m，由进口段(D0+000-D0+008)、闸井段(D0+008-D0+018)、洞身段(D0+018-D0+295.5)、出口消能防冲段(D0+295.5-D0+330)组成。洞身段设计底坡1：50，采用圆拱直墙型（城门洞型），为无压隧洞。</w:t>
      </w:r>
    </w:p>
    <w:p>
      <w:pPr>
        <w:ind w:firstLine="480"/>
        <w:rPr>
          <w:rFonts w:cs="Times New Roman"/>
        </w:rPr>
      </w:pPr>
      <w:r>
        <w:rPr>
          <w:rFonts w:cs="Times New Roman"/>
        </w:rPr>
        <w:t>进口段采用八字墙式进水口，现浇钢筋砼结构，首段进水口宽7m，末端进水口宽2m，底板高程1951m。采用C20砼喷护。</w:t>
      </w:r>
    </w:p>
    <w:p>
      <w:pPr>
        <w:ind w:firstLine="480"/>
        <w:rPr>
          <w:rFonts w:cs="Times New Roman"/>
        </w:rPr>
      </w:pPr>
      <w:r>
        <w:rPr>
          <w:rFonts w:cs="Times New Roman"/>
        </w:rPr>
        <w:t>闸井宽8.8m，长10m，闸井进口底板高程为1951m，底板厚度为2m。闸井内设平板检修和工作弧形闸门各一扇，在闸井侧面设置放水阀室。平板检修闸门孔口尺寸为2×2m，采用卷扬式起闭机启闭；工作弧形闸门孔口尺寸为1.5×2m，采用集成式启闭机启闭；在闸井壁淤积水位处1958.0m设置放水管进水口，放水管出口与隧洞结合，出口高程为1944.34m，放水管为φ600镀锌钢管。</w:t>
      </w:r>
    </w:p>
    <w:p>
      <w:pPr>
        <w:ind w:firstLine="480"/>
        <w:rPr>
          <w:rFonts w:cs="Times New Roman"/>
        </w:rPr>
      </w:pPr>
      <w:r>
        <w:rPr>
          <w:rFonts w:cs="Times New Roman"/>
        </w:rPr>
        <w:t>隧洞为无压洞，进口底板高程为1951m，出口底板高程为1939.5m。洞身横断面形状采用城门洞型，洞净宽2m，直墙高2.2m，洞底至拱顶净高2.78m。</w:t>
      </w:r>
    </w:p>
    <w:p>
      <w:pPr>
        <w:ind w:firstLine="480"/>
        <w:rPr>
          <w:rFonts w:cs="Times New Roman"/>
        </w:rPr>
      </w:pPr>
      <w:r>
        <w:rPr>
          <w:rFonts w:cs="Times New Roman"/>
        </w:rPr>
        <w:t>出口消能段采用挑流扩散式消能，挑射角20度，挑流鼻坎长5m，宽度由2m渐变到3m。</w:t>
      </w:r>
    </w:p>
    <w:p>
      <w:pPr>
        <w:ind w:firstLine="480"/>
        <w:rPr>
          <w:rFonts w:cs="Times New Roman"/>
        </w:rPr>
      </w:pPr>
      <w:r>
        <w:rPr>
          <w:rFonts w:cs="Times New Roman"/>
        </w:rPr>
        <w:t>（3）泄水建筑物</w:t>
      </w:r>
    </w:p>
    <w:p>
      <w:pPr>
        <w:ind w:firstLine="480"/>
        <w:rPr>
          <w:rFonts w:cs="Times New Roman"/>
        </w:rPr>
      </w:pPr>
      <w:r>
        <w:rPr>
          <w:rFonts w:cs="Times New Roman"/>
        </w:rPr>
        <w:t>溢流坝段布置于碾压砼重力坝中部，为6#坝段，坝段长25m（0+092-0+117）。溢流堰采用WES堰形式，堰宽20m。起调水位为正常蓄水位1981.85m。设计洪水标准为50年一遇洪水，洪峰流量为95.1m</w:t>
      </w:r>
      <w:r>
        <w:rPr>
          <w:rFonts w:cs="Times New Roman"/>
          <w:vertAlign w:val="superscript"/>
        </w:rPr>
        <w:t>3</w:t>
      </w:r>
      <w:r>
        <w:rPr>
          <w:rFonts w:cs="Times New Roman"/>
        </w:rPr>
        <w:t>/s，相应下泄流量为60.87m</w:t>
      </w:r>
      <w:r>
        <w:rPr>
          <w:rFonts w:cs="Times New Roman"/>
          <w:vertAlign w:val="superscript"/>
        </w:rPr>
        <w:t>3</w:t>
      </w:r>
      <w:r>
        <w:rPr>
          <w:rFonts w:cs="Times New Roman"/>
        </w:rPr>
        <w:t>/s，设计洪水位1983.18m；校核洪水标准为500年一遇洪水，洪峰流量为282m</w:t>
      </w:r>
      <w:r>
        <w:rPr>
          <w:rFonts w:cs="Times New Roman"/>
          <w:vertAlign w:val="superscript"/>
        </w:rPr>
        <w:t>3</w:t>
      </w:r>
      <w:r>
        <w:rPr>
          <w:rFonts w:cs="Times New Roman"/>
        </w:rPr>
        <w:t>/s，相应下泄流量为148.59m</w:t>
      </w:r>
      <w:r>
        <w:rPr>
          <w:rFonts w:cs="Times New Roman"/>
          <w:vertAlign w:val="superscript"/>
        </w:rPr>
        <w:t>3</w:t>
      </w:r>
      <w:r>
        <w:rPr>
          <w:rFonts w:cs="Times New Roman"/>
        </w:rPr>
        <w:t>/s，校核洪水为1984.12m；消能防冲设计洪水标准为20年一遇洪水，洪峰流量为44.2m</w:t>
      </w:r>
      <w:r>
        <w:rPr>
          <w:rFonts w:cs="Times New Roman"/>
          <w:vertAlign w:val="superscript"/>
        </w:rPr>
        <w:t>3</w:t>
      </w:r>
      <w:r>
        <w:rPr>
          <w:rFonts w:cs="Times New Roman"/>
        </w:rPr>
        <w:t>/s，相应下泄流量为33.22m</w:t>
      </w:r>
      <w:r>
        <w:rPr>
          <w:rFonts w:cs="Times New Roman"/>
          <w:vertAlign w:val="superscript"/>
        </w:rPr>
        <w:t>3</w:t>
      </w:r>
      <w:r>
        <w:rPr>
          <w:rFonts w:cs="Times New Roman"/>
        </w:rPr>
        <w:t>/s。</w:t>
      </w:r>
    </w:p>
    <w:p>
      <w:pPr>
        <w:ind w:firstLine="480"/>
        <w:rPr>
          <w:rFonts w:cs="Times New Roman"/>
        </w:rPr>
      </w:pPr>
      <w:r>
        <w:rPr>
          <w:rFonts w:cs="Times New Roman"/>
        </w:rPr>
        <w:t>溢流坝段由曲线段、台阶式溢流坝面、消能段组成。消能方式采用台阶式溢洪道加底流消能的方式，台阶总长25.95m，纵坡1：0.75，台阶尺寸（高×宽）1m×0.75m，导流墙高3m，宽1m，采用C35钢筋混凝土边墙。</w:t>
      </w:r>
    </w:p>
    <w:p>
      <w:pPr>
        <w:ind w:firstLine="480"/>
        <w:rPr>
          <w:rFonts w:cs="Times New Roman"/>
        </w:rPr>
      </w:pPr>
      <w:r>
        <w:rPr>
          <w:rFonts w:cs="Times New Roman"/>
        </w:rPr>
        <w:t>消能采用低流消能方式，消力池净宽21m，池长6m，尾坎高0.5m，尾坎顶高程为1945.58m。在挑坎末端设长6m、宽21m的护坦，护坦段采用厚1.0m的C35混凝土衬砌，末端齿墙深度3m。</w:t>
      </w:r>
    </w:p>
    <w:p>
      <w:pPr>
        <w:ind w:firstLine="480"/>
        <w:rPr>
          <w:rFonts w:cs="Times New Roman"/>
        </w:rPr>
      </w:pPr>
      <w:r>
        <w:rPr>
          <w:rFonts w:cs="Times New Roman"/>
        </w:rPr>
        <w:t>（4）放水建筑物</w:t>
      </w:r>
    </w:p>
    <w:p>
      <w:pPr>
        <w:ind w:firstLine="480"/>
        <w:rPr>
          <w:rFonts w:cs="Times New Roman"/>
        </w:rPr>
      </w:pPr>
      <w:r>
        <w:rPr>
          <w:rFonts w:cs="Times New Roman"/>
        </w:rPr>
        <w:t>本工程水库供水对象淖毛湖区域人畜饮水及公益林灌溉用水，经计算，水库放水管设计流量为0.48m</w:t>
      </w:r>
      <w:r>
        <w:rPr>
          <w:rFonts w:cs="Times New Roman"/>
          <w:vertAlign w:val="superscript"/>
        </w:rPr>
        <w:t>3</w:t>
      </w:r>
      <w:r>
        <w:rPr>
          <w:rFonts w:cs="Times New Roman"/>
        </w:rPr>
        <w:t>/s，取水口位置布置在导流隧洞竖井迎水面，进口底高程为1958.0m，放水管采用DN600镀锌钢管，壁厚12mm，钢管全长345m，放水钢管在隧洞洞身段布置在隧洞底板以下，放水管出隧洞后沿隧洞左侧布置，于放水管末端布置放水管控制阀井，阀井采用钢筋混凝土结构，钢筋混凝土标号C35F250，阀井内径尺寸为6.7m×4.3m，阀井壁厚0.4m，阀井内布置DN200的生态放水管（设计流量0.068），DN600的下游人畜饮水及灌溉供水管（设计流量0.41），为方便运行管理，阀井内设DN600偏心半球阀、调流调压阀，Y型过滤器及DN200手动蝶阀，阀井上修建阀井房。</w:t>
      </w:r>
    </w:p>
    <w:p>
      <w:pPr>
        <w:ind w:firstLine="480"/>
        <w:rPr>
          <w:rFonts w:cs="Times New Roman"/>
        </w:rPr>
      </w:pPr>
    </w:p>
    <w:p>
      <w:pPr>
        <w:pStyle w:val="3"/>
        <w:rPr>
          <w:rFonts w:cs="Times New Roman"/>
        </w:rPr>
      </w:pPr>
      <w:bookmarkStart w:id="60" w:name="_Toc181381597"/>
      <w:r>
        <w:rPr>
          <w:rFonts w:cs="Times New Roman"/>
        </w:rPr>
        <w:t>2.4 工程施工</w:t>
      </w:r>
      <w:bookmarkEnd w:id="60"/>
    </w:p>
    <w:p>
      <w:pPr>
        <w:pStyle w:val="4"/>
        <w:rPr>
          <w:rFonts w:cs="Times New Roman"/>
        </w:rPr>
      </w:pPr>
      <w:r>
        <w:rPr>
          <w:rFonts w:cs="Times New Roman"/>
        </w:rPr>
        <w:t>2.4.1施工交通条件</w:t>
      </w:r>
    </w:p>
    <w:p>
      <w:pPr>
        <w:pStyle w:val="62"/>
        <w:rPr>
          <w:rFonts w:cs="Times New Roman"/>
        </w:rPr>
      </w:pPr>
      <w:r>
        <w:rPr>
          <w:rFonts w:cs="Times New Roman"/>
        </w:rPr>
        <w:t>2.4.1.1 对外交通</w:t>
      </w:r>
    </w:p>
    <w:p>
      <w:pPr>
        <w:ind w:firstLine="480"/>
        <w:rPr>
          <w:rFonts w:cs="Times New Roman"/>
        </w:rPr>
      </w:pPr>
      <w:r>
        <w:rPr>
          <w:rFonts w:cs="Times New Roman"/>
        </w:rPr>
        <w:t>（1）对外交通</w:t>
      </w:r>
    </w:p>
    <w:p>
      <w:pPr>
        <w:ind w:firstLine="480"/>
        <w:rPr>
          <w:rFonts w:cs="Times New Roman"/>
        </w:rPr>
      </w:pPr>
      <w:r>
        <w:rPr>
          <w:rFonts w:cs="Times New Roman"/>
        </w:rPr>
        <w:t>工程施工期对外交通运输以公路运输为主，代尔昆代水库地处伊吾县吐葫芦乡大白杨沟村境内，距伊吾县城25km，距哈密市伊州区城区205km。目前哈密市至伊吾县城有303省道、302伊口线相通，G7高速从伊吾县城南侧、代尔昆代水库北侧通过。伊吾至淖毛湖公路从水库北部经过，伊吾县城至水库所在村大白杨沟村有柏油路相连。对外路况较好，满足通行要求。</w:t>
      </w:r>
    </w:p>
    <w:p>
      <w:pPr>
        <w:ind w:firstLine="480"/>
        <w:rPr>
          <w:rFonts w:cs="Times New Roman"/>
        </w:rPr>
      </w:pPr>
      <w:r>
        <w:rPr>
          <w:rFonts w:cs="Times New Roman"/>
        </w:rPr>
        <w:t>（2）进场交通</w:t>
      </w:r>
    </w:p>
    <w:p>
      <w:pPr>
        <w:ind w:firstLine="480"/>
        <w:rPr>
          <w:rFonts w:cs="Times New Roman"/>
        </w:rPr>
      </w:pPr>
      <w:r>
        <w:rPr>
          <w:rFonts w:cs="Times New Roman"/>
        </w:rPr>
        <w:t>现有大白杨沟村村道8.3km处可通往代尔昆代岔口，从岔口至代尔昆代沟口有7km简易道路可通行。由于施工期重型机械进场有困难，因此需修建进场L0永久进库道路7km，新建道路等级为四级公路，路基宽4.5m，行车道宽度3.5m，沥青混凝土路面。路面结构为4cm中粒式沥青混凝土面层+碎石下封层+20cm级配砾石底基层+20cm天然砂砾石基层。</w:t>
      </w:r>
    </w:p>
    <w:p>
      <w:pPr>
        <w:ind w:firstLine="480"/>
        <w:rPr>
          <w:rFonts w:cs="Times New Roman"/>
        </w:rPr>
      </w:pPr>
      <w:r>
        <w:rPr>
          <w:rFonts w:cs="Times New Roman"/>
        </w:rPr>
        <w:t>外来物资和器材均可通过以上公路运至工程区，对外交通较为方便。</w:t>
      </w:r>
    </w:p>
    <w:p>
      <w:pPr>
        <w:pStyle w:val="62"/>
        <w:rPr>
          <w:rFonts w:cs="Times New Roman"/>
        </w:rPr>
      </w:pPr>
      <w:r>
        <w:rPr>
          <w:rFonts w:cs="Times New Roman"/>
        </w:rPr>
        <w:t>2.4.1.2 场内交通</w:t>
      </w:r>
    </w:p>
    <w:p>
      <w:pPr>
        <w:ind w:firstLine="480"/>
        <w:rPr>
          <w:rFonts w:cs="Times New Roman"/>
        </w:rPr>
      </w:pPr>
      <w:r>
        <w:rPr>
          <w:rFonts w:cs="Times New Roman"/>
        </w:rPr>
        <w:t>（1）施工交通道路</w:t>
      </w:r>
    </w:p>
    <w:p>
      <w:pPr>
        <w:ind w:firstLine="480"/>
        <w:rPr>
          <w:rFonts w:cs="Times New Roman"/>
        </w:rPr>
      </w:pPr>
      <w:r>
        <w:rPr>
          <w:rFonts w:cs="Times New Roman"/>
        </w:rPr>
        <w:t>本工程场内交通主要为天然建筑材料的运输以及土石方填筑、土石方开挖出渣、混凝土浇筑等运输。天然建筑材料部分（混凝土粗细骨料从伊吾县东郊砂石料场购买、石灰粗细骨料从哈密水泥厂购买）外购，部分从料场开采，采用公路运输至各用料点。</w:t>
      </w:r>
    </w:p>
    <w:p>
      <w:pPr>
        <w:ind w:firstLine="480"/>
        <w:rPr>
          <w:rFonts w:cs="Times New Roman"/>
        </w:rPr>
      </w:pPr>
      <w:r>
        <w:rPr>
          <w:rFonts w:cs="Times New Roman"/>
        </w:rPr>
        <w:t>本工程场内交通采用公路运输，以便利施工、避免干扰、一路多用为原则，使场内物料方便、快捷的运达指定地点。工程场内共布置施工道路9条，总长5.6km，分别衔接坝体区、各施工区和临时生产生活区、弃渣场、下游料场。场内施工道路特征见表2.4-1。</w:t>
      </w:r>
    </w:p>
    <w:p>
      <w:pPr>
        <w:pStyle w:val="137"/>
        <w:spacing w:before="48"/>
      </w:pPr>
      <w:r>
        <w:t>表2.4-1                  场内施工道路布置特征表</w:t>
      </w:r>
    </w:p>
    <w:tbl>
      <w:tblPr>
        <w:tblStyle w:val="41"/>
        <w:tblW w:w="52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28"/>
        <w:gridCol w:w="437"/>
        <w:gridCol w:w="1448"/>
        <w:gridCol w:w="762"/>
        <w:gridCol w:w="866"/>
        <w:gridCol w:w="913"/>
        <w:gridCol w:w="435"/>
        <w:gridCol w:w="678"/>
        <w:gridCol w:w="724"/>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9" w:type="pct"/>
            <w:vAlign w:val="center"/>
          </w:tcPr>
          <w:p>
            <w:pPr>
              <w:pStyle w:val="136"/>
            </w:pPr>
            <w:r>
              <w:t>序号</w:t>
            </w:r>
          </w:p>
        </w:tc>
        <w:tc>
          <w:tcPr>
            <w:tcW w:w="458" w:type="pct"/>
            <w:gridSpan w:val="2"/>
            <w:vAlign w:val="center"/>
          </w:tcPr>
          <w:p>
            <w:pPr>
              <w:pStyle w:val="136"/>
            </w:pPr>
            <w:r>
              <w:t>道路</w:t>
            </w:r>
          </w:p>
          <w:p>
            <w:pPr>
              <w:pStyle w:val="136"/>
            </w:pPr>
            <w:r>
              <w:t>编号</w:t>
            </w:r>
          </w:p>
        </w:tc>
        <w:tc>
          <w:tcPr>
            <w:tcW w:w="766" w:type="pct"/>
            <w:vAlign w:val="center"/>
          </w:tcPr>
          <w:p>
            <w:pPr>
              <w:pStyle w:val="136"/>
            </w:pPr>
            <w:r>
              <w:t>起止</w:t>
            </w:r>
          </w:p>
          <w:p>
            <w:pPr>
              <w:pStyle w:val="136"/>
            </w:pPr>
            <w:r>
              <w:t>位置</w:t>
            </w:r>
          </w:p>
        </w:tc>
        <w:tc>
          <w:tcPr>
            <w:tcW w:w="403" w:type="pct"/>
            <w:vAlign w:val="center"/>
          </w:tcPr>
          <w:p>
            <w:pPr>
              <w:pStyle w:val="136"/>
            </w:pPr>
            <w:r>
              <w:t>路面宽（m）</w:t>
            </w:r>
          </w:p>
        </w:tc>
        <w:tc>
          <w:tcPr>
            <w:tcW w:w="458" w:type="pct"/>
            <w:vAlign w:val="center"/>
          </w:tcPr>
          <w:p>
            <w:pPr>
              <w:pStyle w:val="136"/>
            </w:pPr>
            <w:r>
              <w:t>道路长（km）</w:t>
            </w:r>
          </w:p>
        </w:tc>
        <w:tc>
          <w:tcPr>
            <w:tcW w:w="483" w:type="pct"/>
            <w:vAlign w:val="center"/>
          </w:tcPr>
          <w:p>
            <w:pPr>
              <w:pStyle w:val="136"/>
            </w:pPr>
            <w:r>
              <w:t>路面性质</w:t>
            </w:r>
          </w:p>
        </w:tc>
        <w:tc>
          <w:tcPr>
            <w:tcW w:w="589" w:type="pct"/>
            <w:gridSpan w:val="2"/>
            <w:vAlign w:val="center"/>
          </w:tcPr>
          <w:p>
            <w:pPr>
              <w:pStyle w:val="136"/>
            </w:pPr>
            <w:r>
              <w:t>道路</w:t>
            </w:r>
          </w:p>
          <w:p>
            <w:pPr>
              <w:pStyle w:val="136"/>
            </w:pPr>
            <w:r>
              <w:t>性质</w:t>
            </w:r>
          </w:p>
        </w:tc>
        <w:tc>
          <w:tcPr>
            <w:tcW w:w="383" w:type="pct"/>
            <w:vAlign w:val="center"/>
          </w:tcPr>
          <w:p>
            <w:pPr>
              <w:pStyle w:val="136"/>
            </w:pPr>
            <w:r>
              <w:t>地表植被</w:t>
            </w:r>
          </w:p>
        </w:tc>
        <w:tc>
          <w:tcPr>
            <w:tcW w:w="1230" w:type="pct"/>
            <w:vAlign w:val="center"/>
          </w:tcPr>
          <w:p>
            <w:pPr>
              <w:pStyle w:val="136"/>
            </w:pPr>
            <w:r>
              <w:t>主要运输任务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pStyle w:val="136"/>
            </w:pPr>
            <w:r>
              <w:t>1</w:t>
            </w:r>
          </w:p>
        </w:tc>
        <w:tc>
          <w:tcPr>
            <w:tcW w:w="227" w:type="pct"/>
            <w:vMerge w:val="restart"/>
            <w:vAlign w:val="center"/>
          </w:tcPr>
          <w:p>
            <w:pPr>
              <w:pStyle w:val="136"/>
            </w:pPr>
            <w:r>
              <w:t>左岸道路</w:t>
            </w:r>
          </w:p>
        </w:tc>
        <w:tc>
          <w:tcPr>
            <w:tcW w:w="231" w:type="pct"/>
            <w:vAlign w:val="center"/>
          </w:tcPr>
          <w:p>
            <w:pPr>
              <w:pStyle w:val="136"/>
            </w:pPr>
            <w:r>
              <w:t>L0</w:t>
            </w:r>
          </w:p>
        </w:tc>
        <w:tc>
          <w:tcPr>
            <w:tcW w:w="766" w:type="pct"/>
            <w:vAlign w:val="center"/>
          </w:tcPr>
          <w:p>
            <w:pPr>
              <w:pStyle w:val="136"/>
            </w:pPr>
            <w:r>
              <w:t>进场道路末端~至大坝左岸导流洞闸井</w:t>
            </w:r>
          </w:p>
        </w:tc>
        <w:tc>
          <w:tcPr>
            <w:tcW w:w="403" w:type="pct"/>
            <w:vAlign w:val="center"/>
          </w:tcPr>
          <w:p>
            <w:pPr>
              <w:pStyle w:val="136"/>
            </w:pPr>
            <w:r>
              <w:t>4.5</w:t>
            </w:r>
          </w:p>
        </w:tc>
        <w:tc>
          <w:tcPr>
            <w:tcW w:w="458" w:type="pct"/>
            <w:vAlign w:val="center"/>
          </w:tcPr>
          <w:p>
            <w:pPr>
              <w:pStyle w:val="136"/>
            </w:pPr>
            <w:r>
              <w:t>1.5</w:t>
            </w:r>
          </w:p>
        </w:tc>
        <w:tc>
          <w:tcPr>
            <w:tcW w:w="483" w:type="pct"/>
            <w:vAlign w:val="center"/>
          </w:tcPr>
          <w:p>
            <w:pPr>
              <w:pStyle w:val="136"/>
            </w:pPr>
            <w:r>
              <w:t>沥青路面</w:t>
            </w:r>
          </w:p>
        </w:tc>
        <w:tc>
          <w:tcPr>
            <w:tcW w:w="230" w:type="pct"/>
            <w:vAlign w:val="center"/>
          </w:tcPr>
          <w:p>
            <w:pPr>
              <w:pStyle w:val="136"/>
            </w:pPr>
            <w:r>
              <w:t>新建</w:t>
            </w:r>
          </w:p>
        </w:tc>
        <w:tc>
          <w:tcPr>
            <w:tcW w:w="359" w:type="pct"/>
            <w:vAlign w:val="center"/>
          </w:tcPr>
          <w:p>
            <w:pPr>
              <w:pStyle w:val="136"/>
            </w:pPr>
            <w:r>
              <w:t>永久道路</w:t>
            </w:r>
          </w:p>
        </w:tc>
        <w:tc>
          <w:tcPr>
            <w:tcW w:w="383" w:type="pct"/>
            <w:vAlign w:val="center"/>
          </w:tcPr>
          <w:p>
            <w:pPr>
              <w:pStyle w:val="136"/>
            </w:pPr>
            <w:r>
              <w:t>荒漠草地</w:t>
            </w:r>
          </w:p>
        </w:tc>
        <w:tc>
          <w:tcPr>
            <w:tcW w:w="1230" w:type="pct"/>
            <w:vAlign w:val="center"/>
          </w:tcPr>
          <w:p>
            <w:pPr>
              <w:pStyle w:val="136"/>
            </w:pPr>
            <w:r>
              <w:t>主要为坝体1952m高程以上砼运输，工程建成后为永久上坝道路。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pStyle w:val="136"/>
            </w:pPr>
            <w:r>
              <w:t>2</w:t>
            </w:r>
          </w:p>
        </w:tc>
        <w:tc>
          <w:tcPr>
            <w:tcW w:w="227" w:type="pct"/>
            <w:vMerge w:val="continue"/>
            <w:vAlign w:val="center"/>
          </w:tcPr>
          <w:p>
            <w:pPr>
              <w:pStyle w:val="136"/>
            </w:pPr>
          </w:p>
        </w:tc>
        <w:tc>
          <w:tcPr>
            <w:tcW w:w="231" w:type="pct"/>
            <w:vAlign w:val="center"/>
          </w:tcPr>
          <w:p>
            <w:pPr>
              <w:pStyle w:val="136"/>
            </w:pPr>
            <w:r>
              <w:t>L1</w:t>
            </w:r>
          </w:p>
        </w:tc>
        <w:tc>
          <w:tcPr>
            <w:tcW w:w="766" w:type="pct"/>
            <w:vAlign w:val="center"/>
          </w:tcPr>
          <w:p>
            <w:pPr>
              <w:pStyle w:val="136"/>
            </w:pPr>
            <w:r>
              <w:t>进场道路~溢流坝</w:t>
            </w:r>
          </w:p>
        </w:tc>
        <w:tc>
          <w:tcPr>
            <w:tcW w:w="403" w:type="pct"/>
            <w:vAlign w:val="center"/>
          </w:tcPr>
          <w:p>
            <w:pPr>
              <w:pStyle w:val="136"/>
            </w:pPr>
            <w:r>
              <w:t>6</w:t>
            </w:r>
          </w:p>
        </w:tc>
        <w:tc>
          <w:tcPr>
            <w:tcW w:w="458" w:type="pct"/>
            <w:vAlign w:val="center"/>
          </w:tcPr>
          <w:p>
            <w:pPr>
              <w:pStyle w:val="136"/>
            </w:pPr>
            <w:r>
              <w:t>1.2</w:t>
            </w:r>
          </w:p>
        </w:tc>
        <w:tc>
          <w:tcPr>
            <w:tcW w:w="483" w:type="pct"/>
            <w:vAlign w:val="center"/>
          </w:tcPr>
          <w:p>
            <w:pPr>
              <w:pStyle w:val="136"/>
            </w:pPr>
            <w:r>
              <w:t>砂砾石路面</w:t>
            </w:r>
          </w:p>
        </w:tc>
        <w:tc>
          <w:tcPr>
            <w:tcW w:w="230" w:type="pct"/>
            <w:vAlign w:val="center"/>
          </w:tcPr>
          <w:p>
            <w:pPr>
              <w:pStyle w:val="136"/>
            </w:pPr>
            <w:r>
              <w:t>新建</w:t>
            </w:r>
          </w:p>
        </w:tc>
        <w:tc>
          <w:tcPr>
            <w:tcW w:w="359" w:type="pct"/>
            <w:vAlign w:val="center"/>
          </w:tcPr>
          <w:p>
            <w:pPr>
              <w:pStyle w:val="136"/>
            </w:pPr>
            <w:r>
              <w:t>临时道路</w:t>
            </w:r>
          </w:p>
        </w:tc>
        <w:tc>
          <w:tcPr>
            <w:tcW w:w="383" w:type="pct"/>
            <w:vAlign w:val="center"/>
          </w:tcPr>
          <w:p>
            <w:pPr>
              <w:pStyle w:val="136"/>
            </w:pPr>
            <w:r>
              <w:t>荒漠草地</w:t>
            </w:r>
          </w:p>
        </w:tc>
        <w:tc>
          <w:tcPr>
            <w:tcW w:w="1230" w:type="pct"/>
            <w:vAlign w:val="center"/>
          </w:tcPr>
          <w:p>
            <w:pPr>
              <w:pStyle w:val="136"/>
            </w:pPr>
            <w:r>
              <w:t>施工期上游围堰、导流洞进口施工、经场材料运输的主要临时道路。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pStyle w:val="136"/>
            </w:pPr>
            <w:r>
              <w:t>3</w:t>
            </w:r>
          </w:p>
        </w:tc>
        <w:tc>
          <w:tcPr>
            <w:tcW w:w="227" w:type="pct"/>
            <w:vMerge w:val="continue"/>
            <w:vAlign w:val="center"/>
          </w:tcPr>
          <w:p>
            <w:pPr>
              <w:pStyle w:val="136"/>
            </w:pPr>
          </w:p>
        </w:tc>
        <w:tc>
          <w:tcPr>
            <w:tcW w:w="231" w:type="pct"/>
            <w:vAlign w:val="center"/>
          </w:tcPr>
          <w:p>
            <w:pPr>
              <w:pStyle w:val="136"/>
            </w:pPr>
            <w:r>
              <w:t>L3</w:t>
            </w:r>
          </w:p>
        </w:tc>
        <w:tc>
          <w:tcPr>
            <w:tcW w:w="766" w:type="pct"/>
            <w:vAlign w:val="center"/>
          </w:tcPr>
          <w:p>
            <w:pPr>
              <w:pStyle w:val="136"/>
            </w:pPr>
            <w:r>
              <w:t>4号供水站~L1</w:t>
            </w:r>
          </w:p>
        </w:tc>
        <w:tc>
          <w:tcPr>
            <w:tcW w:w="403" w:type="pct"/>
            <w:vAlign w:val="center"/>
          </w:tcPr>
          <w:p>
            <w:pPr>
              <w:pStyle w:val="136"/>
            </w:pPr>
            <w:r>
              <w:t>6</w:t>
            </w:r>
          </w:p>
        </w:tc>
        <w:tc>
          <w:tcPr>
            <w:tcW w:w="458" w:type="pct"/>
            <w:vAlign w:val="center"/>
          </w:tcPr>
          <w:p>
            <w:pPr>
              <w:pStyle w:val="136"/>
            </w:pPr>
            <w:r>
              <w:t>0.3</w:t>
            </w:r>
          </w:p>
        </w:tc>
        <w:tc>
          <w:tcPr>
            <w:tcW w:w="483" w:type="pct"/>
            <w:vAlign w:val="center"/>
          </w:tcPr>
          <w:p>
            <w:pPr>
              <w:pStyle w:val="136"/>
            </w:pPr>
            <w:r>
              <w:t>砂砾石路面</w:t>
            </w:r>
          </w:p>
        </w:tc>
        <w:tc>
          <w:tcPr>
            <w:tcW w:w="230" w:type="pct"/>
            <w:vAlign w:val="center"/>
          </w:tcPr>
          <w:p>
            <w:pPr>
              <w:pStyle w:val="136"/>
            </w:pPr>
            <w:r>
              <w:t>新建</w:t>
            </w:r>
          </w:p>
        </w:tc>
        <w:tc>
          <w:tcPr>
            <w:tcW w:w="359" w:type="pct"/>
            <w:vAlign w:val="center"/>
          </w:tcPr>
          <w:p>
            <w:pPr>
              <w:pStyle w:val="136"/>
            </w:pPr>
            <w:r>
              <w:t>临时道路</w:t>
            </w:r>
          </w:p>
        </w:tc>
        <w:tc>
          <w:tcPr>
            <w:tcW w:w="383" w:type="pct"/>
            <w:vAlign w:val="center"/>
          </w:tcPr>
          <w:p>
            <w:pPr>
              <w:pStyle w:val="136"/>
            </w:pPr>
            <w:r>
              <w:t>荒漠草地</w:t>
            </w:r>
          </w:p>
        </w:tc>
        <w:tc>
          <w:tcPr>
            <w:tcW w:w="1230" w:type="pct"/>
            <w:vAlign w:val="center"/>
          </w:tcPr>
          <w:p>
            <w:pPr>
              <w:pStyle w:val="136"/>
            </w:pPr>
            <w:r>
              <w:t>导流洞出口施工运输、交通道路。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pStyle w:val="136"/>
            </w:pPr>
            <w:r>
              <w:t>4</w:t>
            </w:r>
          </w:p>
        </w:tc>
        <w:tc>
          <w:tcPr>
            <w:tcW w:w="227" w:type="pct"/>
            <w:vMerge w:val="continue"/>
            <w:vAlign w:val="center"/>
          </w:tcPr>
          <w:p>
            <w:pPr>
              <w:pStyle w:val="136"/>
            </w:pPr>
          </w:p>
        </w:tc>
        <w:tc>
          <w:tcPr>
            <w:tcW w:w="231" w:type="pct"/>
            <w:vAlign w:val="center"/>
          </w:tcPr>
          <w:p>
            <w:pPr>
              <w:pStyle w:val="136"/>
            </w:pPr>
            <w:r>
              <w:t>L4</w:t>
            </w:r>
          </w:p>
        </w:tc>
        <w:tc>
          <w:tcPr>
            <w:tcW w:w="766" w:type="pct"/>
            <w:vAlign w:val="center"/>
          </w:tcPr>
          <w:p>
            <w:pPr>
              <w:pStyle w:val="136"/>
            </w:pPr>
            <w:r>
              <w:t>L1~2号弃渣场</w:t>
            </w:r>
          </w:p>
        </w:tc>
        <w:tc>
          <w:tcPr>
            <w:tcW w:w="403" w:type="pct"/>
            <w:vAlign w:val="center"/>
          </w:tcPr>
          <w:p>
            <w:pPr>
              <w:pStyle w:val="136"/>
            </w:pPr>
            <w:r>
              <w:t>6</w:t>
            </w:r>
          </w:p>
        </w:tc>
        <w:tc>
          <w:tcPr>
            <w:tcW w:w="458" w:type="pct"/>
            <w:vAlign w:val="center"/>
          </w:tcPr>
          <w:p>
            <w:pPr>
              <w:pStyle w:val="136"/>
            </w:pPr>
            <w:r>
              <w:t>0.4</w:t>
            </w:r>
          </w:p>
        </w:tc>
        <w:tc>
          <w:tcPr>
            <w:tcW w:w="483" w:type="pct"/>
            <w:vAlign w:val="center"/>
          </w:tcPr>
          <w:p>
            <w:pPr>
              <w:pStyle w:val="136"/>
            </w:pPr>
            <w:r>
              <w:t>砂砾石路面</w:t>
            </w:r>
          </w:p>
        </w:tc>
        <w:tc>
          <w:tcPr>
            <w:tcW w:w="230" w:type="pct"/>
            <w:vAlign w:val="center"/>
          </w:tcPr>
          <w:p>
            <w:pPr>
              <w:pStyle w:val="136"/>
            </w:pPr>
            <w:r>
              <w:t>新建</w:t>
            </w:r>
          </w:p>
        </w:tc>
        <w:tc>
          <w:tcPr>
            <w:tcW w:w="359" w:type="pct"/>
            <w:vAlign w:val="center"/>
          </w:tcPr>
          <w:p>
            <w:pPr>
              <w:pStyle w:val="136"/>
            </w:pPr>
            <w:r>
              <w:t>临时道路</w:t>
            </w:r>
          </w:p>
        </w:tc>
        <w:tc>
          <w:tcPr>
            <w:tcW w:w="383" w:type="pct"/>
            <w:vAlign w:val="center"/>
          </w:tcPr>
          <w:p>
            <w:pPr>
              <w:pStyle w:val="136"/>
            </w:pPr>
            <w:r>
              <w:t>荒漠草地</w:t>
            </w:r>
          </w:p>
        </w:tc>
        <w:tc>
          <w:tcPr>
            <w:tcW w:w="1230" w:type="pct"/>
            <w:vAlign w:val="center"/>
          </w:tcPr>
          <w:p>
            <w:pPr>
              <w:pStyle w:val="136"/>
            </w:pPr>
            <w:r>
              <w:t>C2左岸料场处坝体，导流洞开挖料临时堆放场运输，坝体砼运输道路。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pStyle w:val="136"/>
            </w:pPr>
            <w:r>
              <w:t>5</w:t>
            </w:r>
          </w:p>
        </w:tc>
        <w:tc>
          <w:tcPr>
            <w:tcW w:w="227" w:type="pct"/>
            <w:vMerge w:val="continue"/>
            <w:vAlign w:val="center"/>
          </w:tcPr>
          <w:p>
            <w:pPr>
              <w:pStyle w:val="136"/>
            </w:pPr>
          </w:p>
        </w:tc>
        <w:tc>
          <w:tcPr>
            <w:tcW w:w="231" w:type="pct"/>
            <w:vAlign w:val="center"/>
          </w:tcPr>
          <w:p>
            <w:pPr>
              <w:pStyle w:val="136"/>
            </w:pPr>
            <w:r>
              <w:t>L5</w:t>
            </w:r>
          </w:p>
        </w:tc>
        <w:tc>
          <w:tcPr>
            <w:tcW w:w="766" w:type="pct"/>
            <w:vAlign w:val="center"/>
          </w:tcPr>
          <w:p>
            <w:pPr>
              <w:pStyle w:val="136"/>
            </w:pPr>
            <w:r>
              <w:t>L1~综合加工厂</w:t>
            </w:r>
          </w:p>
        </w:tc>
        <w:tc>
          <w:tcPr>
            <w:tcW w:w="403" w:type="pct"/>
            <w:vAlign w:val="center"/>
          </w:tcPr>
          <w:p>
            <w:pPr>
              <w:pStyle w:val="136"/>
            </w:pPr>
            <w:r>
              <w:t>6</w:t>
            </w:r>
          </w:p>
        </w:tc>
        <w:tc>
          <w:tcPr>
            <w:tcW w:w="458" w:type="pct"/>
            <w:vAlign w:val="center"/>
          </w:tcPr>
          <w:p>
            <w:pPr>
              <w:pStyle w:val="136"/>
            </w:pPr>
            <w:r>
              <w:t>0.35</w:t>
            </w:r>
          </w:p>
        </w:tc>
        <w:tc>
          <w:tcPr>
            <w:tcW w:w="483" w:type="pct"/>
            <w:vAlign w:val="center"/>
          </w:tcPr>
          <w:p>
            <w:pPr>
              <w:pStyle w:val="136"/>
            </w:pPr>
            <w:r>
              <w:t>砂砾石路面</w:t>
            </w:r>
          </w:p>
        </w:tc>
        <w:tc>
          <w:tcPr>
            <w:tcW w:w="230" w:type="pct"/>
            <w:vAlign w:val="center"/>
          </w:tcPr>
          <w:p>
            <w:pPr>
              <w:pStyle w:val="136"/>
            </w:pPr>
            <w:r>
              <w:t>新建</w:t>
            </w:r>
          </w:p>
        </w:tc>
        <w:tc>
          <w:tcPr>
            <w:tcW w:w="359" w:type="pct"/>
            <w:vAlign w:val="center"/>
          </w:tcPr>
          <w:p>
            <w:pPr>
              <w:pStyle w:val="136"/>
            </w:pPr>
            <w:r>
              <w:t>临时道路</w:t>
            </w:r>
          </w:p>
        </w:tc>
        <w:tc>
          <w:tcPr>
            <w:tcW w:w="383" w:type="pct"/>
            <w:vAlign w:val="center"/>
          </w:tcPr>
          <w:p>
            <w:pPr>
              <w:pStyle w:val="136"/>
            </w:pPr>
            <w:r>
              <w:t>荒漠草地</w:t>
            </w:r>
          </w:p>
        </w:tc>
        <w:tc>
          <w:tcPr>
            <w:tcW w:w="1230" w:type="pct"/>
            <w:vAlign w:val="center"/>
          </w:tcPr>
          <w:p>
            <w:pPr>
              <w:pStyle w:val="136"/>
            </w:pPr>
            <w:r>
              <w:t>综合加工区材料的运输。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pStyle w:val="136"/>
            </w:pPr>
            <w:r>
              <w:t>6</w:t>
            </w:r>
          </w:p>
        </w:tc>
        <w:tc>
          <w:tcPr>
            <w:tcW w:w="227" w:type="pct"/>
            <w:vMerge w:val="continue"/>
            <w:vAlign w:val="center"/>
          </w:tcPr>
          <w:p>
            <w:pPr>
              <w:pStyle w:val="136"/>
            </w:pPr>
          </w:p>
        </w:tc>
        <w:tc>
          <w:tcPr>
            <w:tcW w:w="231" w:type="pct"/>
            <w:vAlign w:val="center"/>
          </w:tcPr>
          <w:p>
            <w:pPr>
              <w:pStyle w:val="136"/>
            </w:pPr>
            <w:r>
              <w:t>L6</w:t>
            </w:r>
          </w:p>
        </w:tc>
        <w:tc>
          <w:tcPr>
            <w:tcW w:w="766" w:type="pct"/>
            <w:vAlign w:val="center"/>
          </w:tcPr>
          <w:p>
            <w:pPr>
              <w:pStyle w:val="136"/>
            </w:pPr>
            <w:r>
              <w:t>L1~施工管理生活区</w:t>
            </w:r>
          </w:p>
        </w:tc>
        <w:tc>
          <w:tcPr>
            <w:tcW w:w="403" w:type="pct"/>
            <w:vAlign w:val="center"/>
          </w:tcPr>
          <w:p>
            <w:pPr>
              <w:pStyle w:val="136"/>
            </w:pPr>
            <w:r>
              <w:t>6</w:t>
            </w:r>
          </w:p>
        </w:tc>
        <w:tc>
          <w:tcPr>
            <w:tcW w:w="458" w:type="pct"/>
            <w:vAlign w:val="center"/>
          </w:tcPr>
          <w:p>
            <w:pPr>
              <w:pStyle w:val="136"/>
            </w:pPr>
            <w:r>
              <w:t>0.454</w:t>
            </w:r>
          </w:p>
        </w:tc>
        <w:tc>
          <w:tcPr>
            <w:tcW w:w="483" w:type="pct"/>
            <w:vAlign w:val="center"/>
          </w:tcPr>
          <w:p>
            <w:pPr>
              <w:pStyle w:val="136"/>
            </w:pPr>
            <w:r>
              <w:t>砂砾石路面</w:t>
            </w:r>
          </w:p>
        </w:tc>
        <w:tc>
          <w:tcPr>
            <w:tcW w:w="230" w:type="pct"/>
            <w:vAlign w:val="center"/>
          </w:tcPr>
          <w:p>
            <w:pPr>
              <w:pStyle w:val="136"/>
            </w:pPr>
            <w:r>
              <w:t>新建</w:t>
            </w:r>
          </w:p>
        </w:tc>
        <w:tc>
          <w:tcPr>
            <w:tcW w:w="359" w:type="pct"/>
            <w:vAlign w:val="center"/>
          </w:tcPr>
          <w:p>
            <w:pPr>
              <w:pStyle w:val="136"/>
            </w:pPr>
            <w:r>
              <w:t>临时道路</w:t>
            </w:r>
          </w:p>
        </w:tc>
        <w:tc>
          <w:tcPr>
            <w:tcW w:w="383" w:type="pct"/>
            <w:vAlign w:val="center"/>
          </w:tcPr>
          <w:p>
            <w:pPr>
              <w:pStyle w:val="136"/>
            </w:pPr>
            <w:r>
              <w:t>荒漠草地</w:t>
            </w:r>
          </w:p>
        </w:tc>
        <w:tc>
          <w:tcPr>
            <w:tcW w:w="1230" w:type="pct"/>
            <w:vAlign w:val="center"/>
          </w:tcPr>
          <w:p>
            <w:pPr>
              <w:pStyle w:val="136"/>
            </w:pPr>
            <w:r>
              <w:t>临时生活区的交通运输。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pStyle w:val="136"/>
            </w:pPr>
            <w:r>
              <w:t>7</w:t>
            </w:r>
          </w:p>
        </w:tc>
        <w:tc>
          <w:tcPr>
            <w:tcW w:w="227" w:type="pct"/>
            <w:vMerge w:val="continue"/>
            <w:vAlign w:val="center"/>
          </w:tcPr>
          <w:p>
            <w:pPr>
              <w:pStyle w:val="136"/>
            </w:pPr>
          </w:p>
        </w:tc>
        <w:tc>
          <w:tcPr>
            <w:tcW w:w="231" w:type="pct"/>
            <w:vAlign w:val="center"/>
          </w:tcPr>
          <w:p>
            <w:pPr>
              <w:pStyle w:val="136"/>
            </w:pPr>
            <w:r>
              <w:t>L7</w:t>
            </w:r>
          </w:p>
        </w:tc>
        <w:tc>
          <w:tcPr>
            <w:tcW w:w="766" w:type="pct"/>
            <w:vAlign w:val="center"/>
          </w:tcPr>
          <w:p>
            <w:pPr>
              <w:pStyle w:val="136"/>
            </w:pPr>
            <w:r>
              <w:t>进口道路~1号弃渣场</w:t>
            </w:r>
          </w:p>
        </w:tc>
        <w:tc>
          <w:tcPr>
            <w:tcW w:w="403" w:type="pct"/>
            <w:vAlign w:val="center"/>
          </w:tcPr>
          <w:p>
            <w:pPr>
              <w:pStyle w:val="136"/>
            </w:pPr>
            <w:r>
              <w:t>6</w:t>
            </w:r>
          </w:p>
        </w:tc>
        <w:tc>
          <w:tcPr>
            <w:tcW w:w="458" w:type="pct"/>
            <w:vAlign w:val="center"/>
          </w:tcPr>
          <w:p>
            <w:pPr>
              <w:pStyle w:val="136"/>
            </w:pPr>
            <w:r>
              <w:t>0.4</w:t>
            </w:r>
          </w:p>
        </w:tc>
        <w:tc>
          <w:tcPr>
            <w:tcW w:w="483" w:type="pct"/>
            <w:vAlign w:val="center"/>
          </w:tcPr>
          <w:p>
            <w:pPr>
              <w:pStyle w:val="136"/>
            </w:pPr>
            <w:r>
              <w:t>砂砾石路面</w:t>
            </w:r>
          </w:p>
        </w:tc>
        <w:tc>
          <w:tcPr>
            <w:tcW w:w="230" w:type="pct"/>
            <w:vAlign w:val="center"/>
          </w:tcPr>
          <w:p>
            <w:pPr>
              <w:pStyle w:val="136"/>
            </w:pPr>
            <w:r>
              <w:t>新建</w:t>
            </w:r>
          </w:p>
        </w:tc>
        <w:tc>
          <w:tcPr>
            <w:tcW w:w="359" w:type="pct"/>
            <w:vAlign w:val="center"/>
          </w:tcPr>
          <w:p>
            <w:pPr>
              <w:pStyle w:val="136"/>
            </w:pPr>
            <w:r>
              <w:t>临时道路</w:t>
            </w:r>
          </w:p>
        </w:tc>
        <w:tc>
          <w:tcPr>
            <w:tcW w:w="383" w:type="pct"/>
            <w:vAlign w:val="center"/>
          </w:tcPr>
          <w:p>
            <w:pPr>
              <w:pStyle w:val="136"/>
            </w:pPr>
            <w:r>
              <w:t>荒漠草地</w:t>
            </w:r>
          </w:p>
        </w:tc>
        <w:tc>
          <w:tcPr>
            <w:tcW w:w="1230" w:type="pct"/>
            <w:vAlign w:val="center"/>
          </w:tcPr>
          <w:p>
            <w:pPr>
              <w:pStyle w:val="136"/>
            </w:pPr>
            <w:r>
              <w:t>坝体开挖弃料至1号弃渣场的运输道路。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pStyle w:val="136"/>
            </w:pPr>
            <w:r>
              <w:t>8</w:t>
            </w:r>
          </w:p>
        </w:tc>
        <w:tc>
          <w:tcPr>
            <w:tcW w:w="227" w:type="pct"/>
            <w:vMerge w:val="continue"/>
            <w:vAlign w:val="center"/>
          </w:tcPr>
          <w:p>
            <w:pPr>
              <w:pStyle w:val="136"/>
            </w:pPr>
          </w:p>
        </w:tc>
        <w:tc>
          <w:tcPr>
            <w:tcW w:w="231" w:type="pct"/>
            <w:vAlign w:val="center"/>
          </w:tcPr>
          <w:p>
            <w:pPr>
              <w:pStyle w:val="136"/>
            </w:pPr>
            <w:r>
              <w:t>L8</w:t>
            </w:r>
          </w:p>
        </w:tc>
        <w:tc>
          <w:tcPr>
            <w:tcW w:w="766" w:type="pct"/>
            <w:vAlign w:val="center"/>
          </w:tcPr>
          <w:p>
            <w:pPr>
              <w:pStyle w:val="136"/>
            </w:pPr>
            <w:r>
              <w:t>L4末端~2号弃渣场</w:t>
            </w:r>
          </w:p>
        </w:tc>
        <w:tc>
          <w:tcPr>
            <w:tcW w:w="403" w:type="pct"/>
            <w:vAlign w:val="center"/>
          </w:tcPr>
          <w:p>
            <w:pPr>
              <w:pStyle w:val="136"/>
            </w:pPr>
            <w:r>
              <w:t>6</w:t>
            </w:r>
          </w:p>
        </w:tc>
        <w:tc>
          <w:tcPr>
            <w:tcW w:w="458" w:type="pct"/>
            <w:vAlign w:val="center"/>
          </w:tcPr>
          <w:p>
            <w:pPr>
              <w:pStyle w:val="136"/>
            </w:pPr>
            <w:r>
              <w:t>0.2</w:t>
            </w:r>
          </w:p>
        </w:tc>
        <w:tc>
          <w:tcPr>
            <w:tcW w:w="483" w:type="pct"/>
            <w:vAlign w:val="center"/>
          </w:tcPr>
          <w:p>
            <w:pPr>
              <w:pStyle w:val="136"/>
            </w:pPr>
            <w:r>
              <w:t>砂砾石路面</w:t>
            </w:r>
          </w:p>
        </w:tc>
        <w:tc>
          <w:tcPr>
            <w:tcW w:w="230" w:type="pct"/>
            <w:vAlign w:val="center"/>
          </w:tcPr>
          <w:p>
            <w:pPr>
              <w:pStyle w:val="136"/>
            </w:pPr>
            <w:r>
              <w:t>新建</w:t>
            </w:r>
          </w:p>
        </w:tc>
        <w:tc>
          <w:tcPr>
            <w:tcW w:w="359" w:type="pct"/>
            <w:vAlign w:val="center"/>
          </w:tcPr>
          <w:p>
            <w:pPr>
              <w:pStyle w:val="136"/>
            </w:pPr>
            <w:r>
              <w:t>临时道路</w:t>
            </w:r>
          </w:p>
        </w:tc>
        <w:tc>
          <w:tcPr>
            <w:tcW w:w="383" w:type="pct"/>
            <w:vAlign w:val="center"/>
          </w:tcPr>
          <w:p>
            <w:pPr>
              <w:pStyle w:val="136"/>
            </w:pPr>
            <w:r>
              <w:t>荒漠草地</w:t>
            </w:r>
          </w:p>
        </w:tc>
        <w:tc>
          <w:tcPr>
            <w:tcW w:w="1230" w:type="pct"/>
            <w:vAlign w:val="center"/>
          </w:tcPr>
          <w:p>
            <w:pPr>
              <w:pStyle w:val="136"/>
            </w:pPr>
            <w:r>
              <w:t>连接C2料场左右岸的交通道路。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pStyle w:val="136"/>
            </w:pPr>
            <w:r>
              <w:t>9</w:t>
            </w:r>
          </w:p>
        </w:tc>
        <w:tc>
          <w:tcPr>
            <w:tcW w:w="227" w:type="pct"/>
            <w:vAlign w:val="center"/>
          </w:tcPr>
          <w:p>
            <w:pPr>
              <w:pStyle w:val="136"/>
            </w:pPr>
            <w:r>
              <w:t>右岸道路</w:t>
            </w:r>
          </w:p>
        </w:tc>
        <w:tc>
          <w:tcPr>
            <w:tcW w:w="231" w:type="pct"/>
            <w:vAlign w:val="center"/>
          </w:tcPr>
          <w:p>
            <w:pPr>
              <w:pStyle w:val="136"/>
            </w:pPr>
            <w:r>
              <w:t>L2</w:t>
            </w:r>
          </w:p>
        </w:tc>
        <w:tc>
          <w:tcPr>
            <w:tcW w:w="766" w:type="pct"/>
            <w:vAlign w:val="center"/>
          </w:tcPr>
          <w:p>
            <w:pPr>
              <w:pStyle w:val="136"/>
            </w:pPr>
            <w:r>
              <w:t>L1~2号弃渣场</w:t>
            </w:r>
          </w:p>
        </w:tc>
        <w:tc>
          <w:tcPr>
            <w:tcW w:w="403" w:type="pct"/>
            <w:vAlign w:val="center"/>
          </w:tcPr>
          <w:p>
            <w:pPr>
              <w:pStyle w:val="136"/>
            </w:pPr>
            <w:r>
              <w:t>6</w:t>
            </w:r>
          </w:p>
        </w:tc>
        <w:tc>
          <w:tcPr>
            <w:tcW w:w="458" w:type="pct"/>
            <w:vAlign w:val="center"/>
          </w:tcPr>
          <w:p>
            <w:pPr>
              <w:pStyle w:val="136"/>
            </w:pPr>
            <w:r>
              <w:t>0.8</w:t>
            </w:r>
          </w:p>
        </w:tc>
        <w:tc>
          <w:tcPr>
            <w:tcW w:w="483" w:type="pct"/>
            <w:vAlign w:val="center"/>
          </w:tcPr>
          <w:p>
            <w:pPr>
              <w:pStyle w:val="136"/>
            </w:pPr>
            <w:r>
              <w:t>砂砾石路面</w:t>
            </w:r>
          </w:p>
        </w:tc>
        <w:tc>
          <w:tcPr>
            <w:tcW w:w="230" w:type="pct"/>
            <w:vAlign w:val="center"/>
          </w:tcPr>
          <w:p>
            <w:pPr>
              <w:pStyle w:val="136"/>
            </w:pPr>
            <w:r>
              <w:t>新建</w:t>
            </w:r>
          </w:p>
        </w:tc>
        <w:tc>
          <w:tcPr>
            <w:tcW w:w="359" w:type="pct"/>
            <w:vAlign w:val="center"/>
          </w:tcPr>
          <w:p>
            <w:pPr>
              <w:pStyle w:val="136"/>
            </w:pPr>
            <w:r>
              <w:t>临时道路</w:t>
            </w:r>
          </w:p>
        </w:tc>
        <w:tc>
          <w:tcPr>
            <w:tcW w:w="383" w:type="pct"/>
            <w:vAlign w:val="center"/>
          </w:tcPr>
          <w:p>
            <w:pPr>
              <w:pStyle w:val="136"/>
            </w:pPr>
            <w:r>
              <w:t>荒漠草地</w:t>
            </w:r>
          </w:p>
        </w:tc>
        <w:tc>
          <w:tcPr>
            <w:tcW w:w="1230" w:type="pct"/>
            <w:vAlign w:val="center"/>
          </w:tcPr>
          <w:p>
            <w:pPr>
              <w:pStyle w:val="136"/>
            </w:pPr>
            <w:r>
              <w:t>C2右岸料场处坝体，导流洞开挖料临时堆放场运输，坝体砼骨料料场的运输道路。</w:t>
            </w:r>
          </w:p>
        </w:tc>
      </w:tr>
    </w:tbl>
    <w:p>
      <w:pPr>
        <w:ind w:firstLine="480"/>
        <w:rPr>
          <w:rFonts w:cs="Times New Roman"/>
        </w:rPr>
      </w:pPr>
    </w:p>
    <w:p>
      <w:pPr>
        <w:ind w:firstLine="480"/>
        <w:rPr>
          <w:rFonts w:cs="Times New Roman"/>
        </w:rPr>
      </w:pPr>
      <w:r>
        <w:rPr>
          <w:rFonts w:cs="Times New Roman"/>
        </w:rPr>
        <w:t>（2）施工交通桥梁</w:t>
      </w:r>
    </w:p>
    <w:p>
      <w:pPr>
        <w:ind w:firstLine="480"/>
        <w:rPr>
          <w:rFonts w:cs="Times New Roman"/>
        </w:rPr>
      </w:pPr>
      <w:r>
        <w:rPr>
          <w:rFonts w:cs="Times New Roman"/>
        </w:rPr>
        <w:t>为方便左右岸交通和场内运输，本工程共布置3座临时钢桥：1#临时钢桥设在坝址下游0.4km处，跨径20m，桥面宽度4.5m；2#临时钢桥设在坝址上游0.12km处，跨径20m，桥面宽度4.5m；3#临时钢桥设在坝址下游1.05km处，跨径20m，桥面宽度4.5m。所有临时钢桥荷载等级均为公路Ⅱ级。桥梁布置特征见表2.4-2。</w:t>
      </w:r>
    </w:p>
    <w:p>
      <w:pPr>
        <w:pStyle w:val="137"/>
        <w:spacing w:before="48"/>
      </w:pPr>
      <w:r>
        <w:t>表2.4-2                  场内施工桥梁布置特征</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381"/>
        <w:gridCol w:w="1052"/>
        <w:gridCol w:w="1163"/>
        <w:gridCol w:w="1453"/>
        <w:gridCol w:w="3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423" w:type="pct"/>
            <w:vAlign w:val="center"/>
          </w:tcPr>
          <w:p>
            <w:pPr>
              <w:pStyle w:val="136"/>
            </w:pPr>
            <w:r>
              <w:t>序号</w:t>
            </w:r>
          </w:p>
        </w:tc>
        <w:tc>
          <w:tcPr>
            <w:tcW w:w="767" w:type="pct"/>
            <w:vAlign w:val="center"/>
          </w:tcPr>
          <w:p>
            <w:pPr>
              <w:pStyle w:val="136"/>
            </w:pPr>
            <w:r>
              <w:t>桥梁编号</w:t>
            </w:r>
          </w:p>
        </w:tc>
        <w:tc>
          <w:tcPr>
            <w:tcW w:w="584" w:type="pct"/>
            <w:vAlign w:val="center"/>
          </w:tcPr>
          <w:p>
            <w:pPr>
              <w:pStyle w:val="136"/>
            </w:pPr>
            <w:r>
              <w:t>荷载等级</w:t>
            </w:r>
          </w:p>
        </w:tc>
        <w:tc>
          <w:tcPr>
            <w:tcW w:w="646" w:type="pct"/>
            <w:vAlign w:val="center"/>
          </w:tcPr>
          <w:p>
            <w:pPr>
              <w:pStyle w:val="136"/>
            </w:pPr>
            <w:r>
              <w:t>宽度（m）</w:t>
            </w:r>
          </w:p>
        </w:tc>
        <w:tc>
          <w:tcPr>
            <w:tcW w:w="807" w:type="pct"/>
            <w:vAlign w:val="center"/>
          </w:tcPr>
          <w:p>
            <w:pPr>
              <w:pStyle w:val="136"/>
            </w:pPr>
            <w:r>
              <w:t>总跨度（m）</w:t>
            </w:r>
          </w:p>
        </w:tc>
        <w:tc>
          <w:tcPr>
            <w:tcW w:w="1773" w:type="pct"/>
            <w:vAlign w:val="center"/>
          </w:tcPr>
          <w:p>
            <w:pPr>
              <w:pStyle w:val="136"/>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3" w:type="pct"/>
            <w:vAlign w:val="center"/>
          </w:tcPr>
          <w:p>
            <w:pPr>
              <w:pStyle w:val="136"/>
            </w:pPr>
            <w:r>
              <w:t>1</w:t>
            </w:r>
          </w:p>
        </w:tc>
        <w:tc>
          <w:tcPr>
            <w:tcW w:w="767" w:type="pct"/>
            <w:vAlign w:val="center"/>
          </w:tcPr>
          <w:p>
            <w:pPr>
              <w:pStyle w:val="136"/>
            </w:pPr>
            <w:r>
              <w:t>1#1号钢桥</w:t>
            </w:r>
          </w:p>
        </w:tc>
        <w:tc>
          <w:tcPr>
            <w:tcW w:w="584" w:type="pct"/>
            <w:vAlign w:val="center"/>
          </w:tcPr>
          <w:p>
            <w:pPr>
              <w:pStyle w:val="136"/>
            </w:pPr>
            <w:r>
              <w:t>公路-Ⅱ级</w:t>
            </w:r>
          </w:p>
        </w:tc>
        <w:tc>
          <w:tcPr>
            <w:tcW w:w="646" w:type="pct"/>
            <w:vAlign w:val="center"/>
          </w:tcPr>
          <w:p>
            <w:pPr>
              <w:pStyle w:val="136"/>
            </w:pPr>
            <w:r>
              <w:t>4.5</w:t>
            </w:r>
          </w:p>
        </w:tc>
        <w:tc>
          <w:tcPr>
            <w:tcW w:w="807" w:type="pct"/>
            <w:vAlign w:val="center"/>
          </w:tcPr>
          <w:p>
            <w:pPr>
              <w:pStyle w:val="136"/>
            </w:pPr>
            <w:r>
              <w:t>20</w:t>
            </w:r>
          </w:p>
        </w:tc>
        <w:tc>
          <w:tcPr>
            <w:tcW w:w="1773" w:type="pct"/>
            <w:vAlign w:val="center"/>
          </w:tcPr>
          <w:p>
            <w:pPr>
              <w:pStyle w:val="136"/>
            </w:pPr>
            <w:r>
              <w:t>用于主干道进坝交通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3" w:type="pct"/>
            <w:vAlign w:val="center"/>
          </w:tcPr>
          <w:p>
            <w:pPr>
              <w:pStyle w:val="136"/>
            </w:pPr>
            <w:r>
              <w:t>2</w:t>
            </w:r>
          </w:p>
        </w:tc>
        <w:tc>
          <w:tcPr>
            <w:tcW w:w="767" w:type="pct"/>
            <w:vAlign w:val="center"/>
          </w:tcPr>
          <w:p>
            <w:pPr>
              <w:pStyle w:val="136"/>
            </w:pPr>
            <w:r>
              <w:t>2#2号钢桥</w:t>
            </w:r>
          </w:p>
        </w:tc>
        <w:tc>
          <w:tcPr>
            <w:tcW w:w="584" w:type="pct"/>
            <w:vAlign w:val="center"/>
          </w:tcPr>
          <w:p>
            <w:pPr>
              <w:pStyle w:val="136"/>
            </w:pPr>
            <w:r>
              <w:t>公路-Ⅱ级</w:t>
            </w:r>
          </w:p>
        </w:tc>
        <w:tc>
          <w:tcPr>
            <w:tcW w:w="646" w:type="pct"/>
            <w:vAlign w:val="center"/>
          </w:tcPr>
          <w:p>
            <w:pPr>
              <w:pStyle w:val="136"/>
            </w:pPr>
            <w:r>
              <w:t>4.5</w:t>
            </w:r>
          </w:p>
        </w:tc>
        <w:tc>
          <w:tcPr>
            <w:tcW w:w="807" w:type="pct"/>
            <w:vAlign w:val="center"/>
          </w:tcPr>
          <w:p>
            <w:pPr>
              <w:pStyle w:val="136"/>
            </w:pPr>
            <w:r>
              <w:t>20</w:t>
            </w:r>
          </w:p>
        </w:tc>
        <w:tc>
          <w:tcPr>
            <w:tcW w:w="1773" w:type="pct"/>
            <w:vAlign w:val="center"/>
          </w:tcPr>
          <w:p>
            <w:pPr>
              <w:pStyle w:val="136"/>
            </w:pPr>
            <w:r>
              <w:t>用于导流洞施工交通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3" w:type="pct"/>
            <w:vAlign w:val="center"/>
          </w:tcPr>
          <w:p>
            <w:pPr>
              <w:pStyle w:val="136"/>
            </w:pPr>
            <w:r>
              <w:t>3</w:t>
            </w:r>
          </w:p>
        </w:tc>
        <w:tc>
          <w:tcPr>
            <w:tcW w:w="767" w:type="pct"/>
            <w:vAlign w:val="center"/>
          </w:tcPr>
          <w:p>
            <w:pPr>
              <w:pStyle w:val="136"/>
            </w:pPr>
            <w:r>
              <w:t>3#3号钢桥</w:t>
            </w:r>
          </w:p>
        </w:tc>
        <w:tc>
          <w:tcPr>
            <w:tcW w:w="584" w:type="pct"/>
            <w:vAlign w:val="center"/>
          </w:tcPr>
          <w:p>
            <w:pPr>
              <w:pStyle w:val="136"/>
            </w:pPr>
            <w:r>
              <w:t>公路-Ⅱ级</w:t>
            </w:r>
          </w:p>
        </w:tc>
        <w:tc>
          <w:tcPr>
            <w:tcW w:w="646" w:type="pct"/>
            <w:vAlign w:val="center"/>
          </w:tcPr>
          <w:p>
            <w:pPr>
              <w:pStyle w:val="136"/>
            </w:pPr>
            <w:r>
              <w:t>4.5</w:t>
            </w:r>
          </w:p>
        </w:tc>
        <w:tc>
          <w:tcPr>
            <w:tcW w:w="807" w:type="pct"/>
            <w:vAlign w:val="center"/>
          </w:tcPr>
          <w:p>
            <w:pPr>
              <w:pStyle w:val="136"/>
            </w:pPr>
            <w:r>
              <w:t>20</w:t>
            </w:r>
          </w:p>
        </w:tc>
        <w:tc>
          <w:tcPr>
            <w:tcW w:w="1773" w:type="pct"/>
            <w:vAlign w:val="center"/>
          </w:tcPr>
          <w:p>
            <w:pPr>
              <w:pStyle w:val="136"/>
            </w:pPr>
            <w:r>
              <w:t>用于连接C2料场左右岸施工交通</w:t>
            </w:r>
          </w:p>
        </w:tc>
      </w:tr>
    </w:tbl>
    <w:p>
      <w:pPr>
        <w:ind w:firstLine="480"/>
        <w:rPr>
          <w:rFonts w:cs="Times New Roman"/>
        </w:rPr>
      </w:pPr>
    </w:p>
    <w:p>
      <w:pPr>
        <w:pStyle w:val="4"/>
        <w:rPr>
          <w:rFonts w:cs="Times New Roman"/>
        </w:rPr>
      </w:pPr>
      <w:r>
        <w:rPr>
          <w:rFonts w:cs="Times New Roman"/>
        </w:rPr>
        <w:t>2.4.2 天然建筑材料</w:t>
      </w:r>
    </w:p>
    <w:p>
      <w:pPr>
        <w:ind w:firstLine="480"/>
        <w:rPr>
          <w:rFonts w:cs="Times New Roman"/>
        </w:rPr>
      </w:pPr>
      <w:r>
        <w:rPr>
          <w:rFonts w:cs="Times New Roman"/>
        </w:rPr>
        <w:t>本工程设C1、C2、C3共计3个混凝土骨料场，其中C1、C2为工程区骨料场、C3为外购砼骨料场，均用作坝壳料和混凝土骨料。</w:t>
      </w:r>
    </w:p>
    <w:p>
      <w:pPr>
        <w:ind w:firstLine="480"/>
        <w:rPr>
          <w:rFonts w:cs="Times New Roman"/>
        </w:rPr>
      </w:pPr>
      <w:r>
        <w:rPr>
          <w:rFonts w:cs="Times New Roman"/>
        </w:rPr>
        <w:t>C1位于坝址占地区，主要利用坝基开挖料；C2为工程主要开挖料场，位于坝址下游约1.5km河道两岸；C3为外购砼骨料场位于伊吾县城东郊，可满足工程所需的混凝土粗细骨料需求。C3料场至工程区有公路相通，运距31.0km，交通较为方便。工程设置料场概况见表2.4-3。</w:t>
      </w:r>
    </w:p>
    <w:p>
      <w:pPr>
        <w:pStyle w:val="137"/>
        <w:spacing w:before="48"/>
      </w:pPr>
      <w:r>
        <w:t>表2.4-3               代尔昆代水库工程料场概况表</w:t>
      </w:r>
    </w:p>
    <w:tbl>
      <w:tblPr>
        <w:tblStyle w:val="41"/>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273"/>
        <w:gridCol w:w="983"/>
        <w:gridCol w:w="992"/>
        <w:gridCol w:w="670"/>
        <w:gridCol w:w="523"/>
        <w:gridCol w:w="523"/>
        <w:gridCol w:w="851"/>
        <w:gridCol w:w="879"/>
        <w:gridCol w:w="928"/>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vAlign w:val="center"/>
          </w:tcPr>
          <w:p>
            <w:pPr>
              <w:pStyle w:val="136"/>
            </w:pPr>
            <w:r>
              <w:t>料场</w:t>
            </w:r>
          </w:p>
        </w:tc>
        <w:tc>
          <w:tcPr>
            <w:tcW w:w="1273" w:type="dxa"/>
            <w:vMerge w:val="restart"/>
            <w:vAlign w:val="center"/>
          </w:tcPr>
          <w:p>
            <w:pPr>
              <w:pStyle w:val="136"/>
            </w:pPr>
            <w:r>
              <w:t>料场位置</w:t>
            </w:r>
          </w:p>
        </w:tc>
        <w:tc>
          <w:tcPr>
            <w:tcW w:w="983" w:type="dxa"/>
            <w:vMerge w:val="restart"/>
            <w:vAlign w:val="center"/>
          </w:tcPr>
          <w:p>
            <w:pPr>
              <w:pStyle w:val="136"/>
            </w:pPr>
            <w:r>
              <w:t>用途</w:t>
            </w:r>
          </w:p>
        </w:tc>
        <w:tc>
          <w:tcPr>
            <w:tcW w:w="992" w:type="dxa"/>
            <w:vMerge w:val="restart"/>
            <w:vAlign w:val="center"/>
          </w:tcPr>
          <w:p>
            <w:pPr>
              <w:pStyle w:val="136"/>
              <w:jc w:val="both"/>
            </w:pPr>
            <w:r>
              <w:t>占地面积（万m</w:t>
            </w:r>
            <w:r>
              <w:rPr>
                <w:vertAlign w:val="superscript"/>
              </w:rPr>
              <w:t>2</w:t>
            </w:r>
            <w:r>
              <w:t>）</w:t>
            </w:r>
          </w:p>
        </w:tc>
        <w:tc>
          <w:tcPr>
            <w:tcW w:w="670" w:type="dxa"/>
            <w:vMerge w:val="restart"/>
            <w:vAlign w:val="center"/>
          </w:tcPr>
          <w:p>
            <w:pPr>
              <w:pStyle w:val="136"/>
            </w:pPr>
            <w:r>
              <w:t>占地</w:t>
            </w:r>
          </w:p>
          <w:p>
            <w:pPr>
              <w:pStyle w:val="136"/>
            </w:pPr>
            <w:r>
              <w:t>类型</w:t>
            </w:r>
          </w:p>
        </w:tc>
        <w:tc>
          <w:tcPr>
            <w:tcW w:w="0" w:type="auto"/>
            <w:gridSpan w:val="2"/>
            <w:vAlign w:val="center"/>
          </w:tcPr>
          <w:p>
            <w:pPr>
              <w:pStyle w:val="136"/>
            </w:pPr>
            <w:r>
              <w:t>厚度（m）</w:t>
            </w:r>
          </w:p>
        </w:tc>
        <w:tc>
          <w:tcPr>
            <w:tcW w:w="0" w:type="auto"/>
            <w:vMerge w:val="restart"/>
            <w:vAlign w:val="center"/>
          </w:tcPr>
          <w:p>
            <w:pPr>
              <w:pStyle w:val="136"/>
            </w:pPr>
            <w:r>
              <w:t>勘探储量（万m³</w:t>
            </w:r>
            <w:r>
              <w:rPr>
                <w:rFonts w:eastAsia="黑体"/>
              </w:rPr>
              <w:t>）</w:t>
            </w:r>
          </w:p>
        </w:tc>
        <w:tc>
          <w:tcPr>
            <w:tcW w:w="0" w:type="auto"/>
            <w:vMerge w:val="restart"/>
            <w:vAlign w:val="center"/>
          </w:tcPr>
          <w:p>
            <w:pPr>
              <w:pStyle w:val="136"/>
            </w:pPr>
            <w:r>
              <w:t>可开采量（万m³</w:t>
            </w:r>
            <w:r>
              <w:rPr>
                <w:rFonts w:eastAsia="黑体"/>
              </w:rPr>
              <w:t>）</w:t>
            </w:r>
          </w:p>
        </w:tc>
        <w:tc>
          <w:tcPr>
            <w:tcW w:w="0" w:type="auto"/>
            <w:vMerge w:val="restart"/>
            <w:vAlign w:val="center"/>
          </w:tcPr>
          <w:p>
            <w:pPr>
              <w:pStyle w:val="136"/>
              <w:jc w:val="both"/>
            </w:pPr>
            <w:r>
              <w:t>开采量自然方（万m³</w:t>
            </w:r>
            <w:r>
              <w:rPr>
                <w:rFonts w:eastAsia="黑体"/>
              </w:rPr>
              <w:t>）</w:t>
            </w:r>
          </w:p>
        </w:tc>
        <w:tc>
          <w:tcPr>
            <w:tcW w:w="0" w:type="auto"/>
            <w:vMerge w:val="restart"/>
            <w:vAlign w:val="center"/>
          </w:tcPr>
          <w:p>
            <w:pPr>
              <w:pStyle w:val="136"/>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vAlign w:val="center"/>
          </w:tcPr>
          <w:p>
            <w:pPr>
              <w:pStyle w:val="136"/>
            </w:pPr>
          </w:p>
        </w:tc>
        <w:tc>
          <w:tcPr>
            <w:tcW w:w="1273" w:type="dxa"/>
            <w:vMerge w:val="continue"/>
            <w:vAlign w:val="center"/>
          </w:tcPr>
          <w:p>
            <w:pPr>
              <w:pStyle w:val="136"/>
            </w:pPr>
          </w:p>
        </w:tc>
        <w:tc>
          <w:tcPr>
            <w:tcW w:w="983" w:type="dxa"/>
            <w:vMerge w:val="continue"/>
            <w:vAlign w:val="center"/>
          </w:tcPr>
          <w:p>
            <w:pPr>
              <w:pStyle w:val="136"/>
            </w:pPr>
          </w:p>
        </w:tc>
        <w:tc>
          <w:tcPr>
            <w:tcW w:w="992" w:type="dxa"/>
            <w:vMerge w:val="continue"/>
            <w:vAlign w:val="center"/>
          </w:tcPr>
          <w:p>
            <w:pPr>
              <w:pStyle w:val="136"/>
            </w:pPr>
          </w:p>
        </w:tc>
        <w:tc>
          <w:tcPr>
            <w:tcW w:w="670" w:type="dxa"/>
            <w:vMerge w:val="continue"/>
            <w:vAlign w:val="center"/>
          </w:tcPr>
          <w:p>
            <w:pPr>
              <w:pStyle w:val="136"/>
            </w:pPr>
          </w:p>
        </w:tc>
        <w:tc>
          <w:tcPr>
            <w:tcW w:w="0" w:type="auto"/>
            <w:vAlign w:val="center"/>
          </w:tcPr>
          <w:p>
            <w:pPr>
              <w:pStyle w:val="136"/>
            </w:pPr>
            <w:r>
              <w:t>无用层</w:t>
            </w:r>
          </w:p>
        </w:tc>
        <w:tc>
          <w:tcPr>
            <w:tcW w:w="0" w:type="auto"/>
            <w:vAlign w:val="center"/>
          </w:tcPr>
          <w:p>
            <w:pPr>
              <w:pStyle w:val="136"/>
            </w:pPr>
            <w:r>
              <w:t>有用层</w:t>
            </w:r>
          </w:p>
        </w:tc>
        <w:tc>
          <w:tcPr>
            <w:tcW w:w="0" w:type="auto"/>
            <w:vMerge w:val="continue"/>
            <w:vAlign w:val="center"/>
          </w:tcPr>
          <w:p>
            <w:pPr>
              <w:pStyle w:val="136"/>
            </w:pPr>
          </w:p>
        </w:tc>
        <w:tc>
          <w:tcPr>
            <w:tcW w:w="0" w:type="auto"/>
            <w:vMerge w:val="continue"/>
            <w:vAlign w:val="center"/>
          </w:tcPr>
          <w:p>
            <w:pPr>
              <w:pStyle w:val="136"/>
            </w:pPr>
          </w:p>
        </w:tc>
        <w:tc>
          <w:tcPr>
            <w:tcW w:w="0" w:type="auto"/>
            <w:vMerge w:val="continue"/>
            <w:vAlign w:val="center"/>
          </w:tcPr>
          <w:p>
            <w:pPr>
              <w:pStyle w:val="136"/>
            </w:pPr>
          </w:p>
        </w:tc>
        <w:tc>
          <w:tcPr>
            <w:tcW w:w="0" w:type="auto"/>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Align w:val="center"/>
          </w:tcPr>
          <w:p>
            <w:pPr>
              <w:pStyle w:val="136"/>
            </w:pPr>
            <w:r>
              <w:t>C1</w:t>
            </w:r>
          </w:p>
        </w:tc>
        <w:tc>
          <w:tcPr>
            <w:tcW w:w="1273" w:type="dxa"/>
            <w:vAlign w:val="center"/>
          </w:tcPr>
          <w:p>
            <w:pPr>
              <w:pStyle w:val="136"/>
            </w:pPr>
            <w:r>
              <w:t>坝址占地区</w:t>
            </w:r>
          </w:p>
        </w:tc>
        <w:tc>
          <w:tcPr>
            <w:tcW w:w="983" w:type="dxa"/>
            <w:vAlign w:val="center"/>
          </w:tcPr>
          <w:p>
            <w:pPr>
              <w:pStyle w:val="136"/>
            </w:pPr>
            <w:r>
              <w:t>砼骨料</w:t>
            </w:r>
          </w:p>
        </w:tc>
        <w:tc>
          <w:tcPr>
            <w:tcW w:w="992" w:type="dxa"/>
            <w:vAlign w:val="center"/>
          </w:tcPr>
          <w:p>
            <w:pPr>
              <w:pStyle w:val="136"/>
            </w:pPr>
            <w:r>
              <w:t>已计入坝址占地面积，不单独计算面积</w:t>
            </w:r>
          </w:p>
        </w:tc>
        <w:tc>
          <w:tcPr>
            <w:tcW w:w="670" w:type="dxa"/>
            <w:vMerge w:val="restart"/>
            <w:vAlign w:val="center"/>
          </w:tcPr>
          <w:p>
            <w:pPr>
              <w:pStyle w:val="136"/>
            </w:pPr>
            <w:r>
              <w:t>荒漠草地、水域</w:t>
            </w: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r>
              <w:t>10.56</w:t>
            </w:r>
          </w:p>
        </w:tc>
        <w:tc>
          <w:tcPr>
            <w:tcW w:w="0" w:type="auto"/>
            <w:vAlign w:val="center"/>
          </w:tcPr>
          <w:p>
            <w:pPr>
              <w:pStyle w:val="136"/>
            </w:pPr>
            <w:r>
              <w:t>7.12</w:t>
            </w:r>
          </w:p>
        </w:tc>
        <w:tc>
          <w:tcPr>
            <w:tcW w:w="0" w:type="auto"/>
            <w:vAlign w:val="center"/>
          </w:tcPr>
          <w:p>
            <w:pPr>
              <w:pStyle w:val="136"/>
            </w:pPr>
            <w:r>
              <w:t>大坝开挖河床加工料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Align w:val="center"/>
          </w:tcPr>
          <w:p>
            <w:pPr>
              <w:pStyle w:val="136"/>
            </w:pPr>
            <w:r>
              <w:t>C2</w:t>
            </w:r>
          </w:p>
        </w:tc>
        <w:tc>
          <w:tcPr>
            <w:tcW w:w="1273" w:type="dxa"/>
            <w:vAlign w:val="center"/>
          </w:tcPr>
          <w:p>
            <w:pPr>
              <w:pStyle w:val="136"/>
            </w:pPr>
            <w:r>
              <w:t>坝址下游1.5km河道左右岸河床</w:t>
            </w:r>
          </w:p>
        </w:tc>
        <w:tc>
          <w:tcPr>
            <w:tcW w:w="983" w:type="dxa"/>
            <w:vAlign w:val="center"/>
          </w:tcPr>
          <w:p>
            <w:pPr>
              <w:pStyle w:val="136"/>
            </w:pPr>
            <w:r>
              <w:t>砼骨料、围堰填筑料</w:t>
            </w:r>
          </w:p>
        </w:tc>
        <w:tc>
          <w:tcPr>
            <w:tcW w:w="992" w:type="dxa"/>
            <w:vAlign w:val="center"/>
          </w:tcPr>
          <w:p>
            <w:pPr>
              <w:pStyle w:val="136"/>
            </w:pPr>
            <w:r>
              <w:t>6</w:t>
            </w:r>
          </w:p>
        </w:tc>
        <w:tc>
          <w:tcPr>
            <w:tcW w:w="670" w:type="dxa"/>
            <w:vMerge w:val="continue"/>
            <w:vAlign w:val="center"/>
          </w:tcPr>
          <w:p>
            <w:pPr>
              <w:pStyle w:val="136"/>
            </w:pPr>
          </w:p>
        </w:tc>
        <w:tc>
          <w:tcPr>
            <w:tcW w:w="0" w:type="auto"/>
            <w:vAlign w:val="center"/>
          </w:tcPr>
          <w:p>
            <w:pPr>
              <w:pStyle w:val="136"/>
            </w:pPr>
            <w:r>
              <w:t>0.5</w:t>
            </w:r>
          </w:p>
        </w:tc>
        <w:tc>
          <w:tcPr>
            <w:tcW w:w="0" w:type="auto"/>
            <w:vAlign w:val="center"/>
          </w:tcPr>
          <w:p>
            <w:pPr>
              <w:pStyle w:val="136"/>
            </w:pPr>
            <w:r>
              <w:t>4.5</w:t>
            </w:r>
          </w:p>
        </w:tc>
        <w:tc>
          <w:tcPr>
            <w:tcW w:w="0" w:type="auto"/>
            <w:vAlign w:val="center"/>
          </w:tcPr>
          <w:p>
            <w:pPr>
              <w:pStyle w:val="136"/>
            </w:pPr>
            <w:r>
              <w:t>32</w:t>
            </w:r>
          </w:p>
        </w:tc>
        <w:tc>
          <w:tcPr>
            <w:tcW w:w="0" w:type="auto"/>
            <w:vAlign w:val="center"/>
          </w:tcPr>
          <w:p>
            <w:pPr>
              <w:pStyle w:val="136"/>
            </w:pPr>
            <w:r>
              <w:t>24</w:t>
            </w:r>
          </w:p>
        </w:tc>
        <w:tc>
          <w:tcPr>
            <w:tcW w:w="0" w:type="auto"/>
            <w:vAlign w:val="center"/>
          </w:tcPr>
          <w:p>
            <w:pPr>
              <w:pStyle w:val="136"/>
            </w:pPr>
            <w:r>
              <w:t>9.36</w:t>
            </w:r>
          </w:p>
        </w:tc>
        <w:tc>
          <w:tcPr>
            <w:tcW w:w="0" w:type="auto"/>
            <w:vAlign w:val="center"/>
          </w:tcPr>
          <w:p>
            <w:pPr>
              <w:pStyle w:val="136"/>
            </w:pPr>
            <w:r>
              <w:t>工程主要开挖料场，运距2～3km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Align w:val="center"/>
          </w:tcPr>
          <w:p>
            <w:pPr>
              <w:pStyle w:val="136"/>
            </w:pPr>
            <w:r>
              <w:t>C3</w:t>
            </w:r>
          </w:p>
        </w:tc>
        <w:tc>
          <w:tcPr>
            <w:tcW w:w="1273" w:type="dxa"/>
            <w:vAlign w:val="center"/>
          </w:tcPr>
          <w:p>
            <w:pPr>
              <w:pStyle w:val="136"/>
            </w:pPr>
            <w:r>
              <w:t>伊吾县城东郊</w:t>
            </w:r>
          </w:p>
        </w:tc>
        <w:tc>
          <w:tcPr>
            <w:tcW w:w="983" w:type="dxa"/>
            <w:vAlign w:val="center"/>
          </w:tcPr>
          <w:p>
            <w:pPr>
              <w:pStyle w:val="136"/>
            </w:pPr>
            <w:r>
              <w:t>混凝土粗细骨料</w:t>
            </w:r>
          </w:p>
        </w:tc>
        <w:tc>
          <w:tcPr>
            <w:tcW w:w="992" w:type="dxa"/>
            <w:vAlign w:val="center"/>
          </w:tcPr>
          <w:p>
            <w:pPr>
              <w:pStyle w:val="136"/>
            </w:pPr>
            <w:r>
              <w:t>--</w:t>
            </w:r>
          </w:p>
        </w:tc>
        <w:tc>
          <w:tcPr>
            <w:tcW w:w="670" w:type="dxa"/>
            <w:vAlign w:val="center"/>
          </w:tcPr>
          <w:p>
            <w:pPr>
              <w:pStyle w:val="136"/>
            </w:pPr>
            <w:r>
              <w:t>--</w:t>
            </w: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r>
              <w:t>外购料场，运距31.0km</w:t>
            </w:r>
          </w:p>
        </w:tc>
      </w:tr>
    </w:tbl>
    <w:p>
      <w:pPr>
        <w:ind w:firstLine="480"/>
        <w:rPr>
          <w:rFonts w:cs="Times New Roman"/>
        </w:rPr>
      </w:pPr>
    </w:p>
    <w:p>
      <w:pPr>
        <w:pStyle w:val="4"/>
        <w:rPr>
          <w:rFonts w:cs="Times New Roman"/>
        </w:rPr>
      </w:pPr>
      <w:r>
        <w:rPr>
          <w:rFonts w:cs="Times New Roman"/>
        </w:rPr>
        <w:t>2.4.3 主要建筑材料供应</w:t>
      </w:r>
    </w:p>
    <w:p>
      <w:pPr>
        <w:pStyle w:val="62"/>
        <w:rPr>
          <w:rFonts w:cs="Times New Roman"/>
        </w:rPr>
      </w:pPr>
      <w:r>
        <w:rPr>
          <w:rFonts w:cs="Times New Roman"/>
        </w:rPr>
        <w:t>2.4.3.1 主要建筑材料</w:t>
      </w:r>
    </w:p>
    <w:p>
      <w:pPr>
        <w:ind w:firstLine="480"/>
        <w:rPr>
          <w:rFonts w:cs="Times New Roman"/>
        </w:rPr>
      </w:pPr>
      <w:r>
        <w:rPr>
          <w:rFonts w:cs="Times New Roman"/>
        </w:rPr>
        <w:t>工程所需钢筋、水泥可从哈密市伊州区购买，平均运距为205km；油料可从伊吾县县城附近加油站供应，平均运距25km；生活物资可从伊吾县城购买，平均运距25kmm；伊吾县具有小型和一般机械修理能力，哈密市伊州区具有一般及大型机械修理能力，可满足机械维修条件。</w:t>
      </w:r>
    </w:p>
    <w:p>
      <w:pPr>
        <w:pStyle w:val="62"/>
        <w:rPr>
          <w:rFonts w:cs="Times New Roman"/>
        </w:rPr>
      </w:pPr>
      <w:r>
        <w:rPr>
          <w:rFonts w:cs="Times New Roman"/>
        </w:rPr>
        <w:t>2.4.3.2 施工供水</w:t>
      </w:r>
    </w:p>
    <w:p>
      <w:pPr>
        <w:ind w:firstLine="480"/>
        <w:rPr>
          <w:rFonts w:cs="Times New Roman"/>
        </w:rPr>
      </w:pPr>
      <w:r>
        <w:rPr>
          <w:rFonts w:cs="Times New Roman"/>
        </w:rPr>
        <w:t>工程施工期用水主要从代尔昆代郭勒上游河沟取水，平均运距1km。根据工程施工期间用水部位不同故采取分散供水、就近取水的方式，拟在工地设立7个供水泵站，向各生产、生活区供水，供水总规模345m</w:t>
      </w:r>
      <w:r>
        <w:rPr>
          <w:rFonts w:cs="Times New Roman"/>
          <w:vertAlign w:val="superscript"/>
        </w:rPr>
        <w:t>3</w:t>
      </w:r>
      <w:r>
        <w:rPr>
          <w:rFonts w:cs="Times New Roman"/>
        </w:rPr>
        <w:t>/h。供水系统设计特性见表2.4-4。</w:t>
      </w:r>
    </w:p>
    <w:p>
      <w:pPr>
        <w:ind w:firstLine="480"/>
        <w:rPr>
          <w:rFonts w:cs="Times New Roman"/>
        </w:rPr>
      </w:pPr>
    </w:p>
    <w:p>
      <w:pPr>
        <w:ind w:firstLine="480"/>
        <w:rPr>
          <w:rFonts w:cs="Times New Roman"/>
        </w:rPr>
      </w:pPr>
    </w:p>
    <w:p>
      <w:pPr>
        <w:pStyle w:val="137"/>
        <w:spacing w:before="48"/>
      </w:pPr>
      <w:r>
        <w:t>表2.4-4                     施工供水系统特性表</w:t>
      </w:r>
    </w:p>
    <w:tbl>
      <w:tblPr>
        <w:tblStyle w:val="41"/>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976"/>
        <w:gridCol w:w="1367"/>
        <w:gridCol w:w="1162"/>
        <w:gridCol w:w="581"/>
        <w:gridCol w:w="727"/>
        <w:gridCol w:w="1745"/>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7" w:type="pct"/>
            <w:vAlign w:val="center"/>
          </w:tcPr>
          <w:p>
            <w:pPr>
              <w:pStyle w:val="136"/>
            </w:pPr>
            <w:r>
              <w:t>序号</w:t>
            </w:r>
          </w:p>
        </w:tc>
        <w:tc>
          <w:tcPr>
            <w:tcW w:w="533" w:type="pct"/>
            <w:vAlign w:val="center"/>
          </w:tcPr>
          <w:p>
            <w:pPr>
              <w:pStyle w:val="136"/>
            </w:pPr>
            <w:r>
              <w:t>供水站</w:t>
            </w:r>
          </w:p>
        </w:tc>
        <w:tc>
          <w:tcPr>
            <w:tcW w:w="747" w:type="pct"/>
            <w:vAlign w:val="center"/>
          </w:tcPr>
          <w:p>
            <w:pPr>
              <w:pStyle w:val="136"/>
            </w:pPr>
            <w:r>
              <w:t>位置</w:t>
            </w:r>
          </w:p>
        </w:tc>
        <w:tc>
          <w:tcPr>
            <w:tcW w:w="635" w:type="pct"/>
            <w:vAlign w:val="center"/>
          </w:tcPr>
          <w:p>
            <w:pPr>
              <w:pStyle w:val="136"/>
              <w:jc w:val="both"/>
            </w:pPr>
            <w:r>
              <w:t>设计水量（m</w:t>
            </w:r>
            <w:r>
              <w:rPr>
                <w:vertAlign w:val="superscript"/>
              </w:rPr>
              <w:t>3</w:t>
            </w:r>
            <w:r>
              <w:t>/h）</w:t>
            </w:r>
          </w:p>
        </w:tc>
        <w:tc>
          <w:tcPr>
            <w:tcW w:w="317" w:type="pct"/>
            <w:vAlign w:val="center"/>
          </w:tcPr>
          <w:p>
            <w:pPr>
              <w:pStyle w:val="136"/>
            </w:pPr>
            <w:r>
              <w:t>数量</w:t>
            </w:r>
          </w:p>
        </w:tc>
        <w:tc>
          <w:tcPr>
            <w:tcW w:w="397" w:type="pct"/>
            <w:vAlign w:val="center"/>
          </w:tcPr>
          <w:p>
            <w:pPr>
              <w:pStyle w:val="136"/>
              <w:jc w:val="both"/>
            </w:pPr>
            <w:r>
              <w:t>扬程（m）</w:t>
            </w:r>
          </w:p>
        </w:tc>
        <w:tc>
          <w:tcPr>
            <w:tcW w:w="953" w:type="pct"/>
            <w:vAlign w:val="center"/>
          </w:tcPr>
          <w:p>
            <w:pPr>
              <w:pStyle w:val="136"/>
            </w:pPr>
            <w:r>
              <w:t>型号</w:t>
            </w:r>
          </w:p>
        </w:tc>
        <w:tc>
          <w:tcPr>
            <w:tcW w:w="1191" w:type="pct"/>
            <w:vAlign w:val="center"/>
          </w:tcPr>
          <w:p>
            <w:pPr>
              <w:pStyle w:val="136"/>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Align w:val="center"/>
          </w:tcPr>
          <w:p>
            <w:pPr>
              <w:pStyle w:val="136"/>
            </w:pPr>
            <w:r>
              <w:t>1</w:t>
            </w:r>
          </w:p>
        </w:tc>
        <w:tc>
          <w:tcPr>
            <w:tcW w:w="533" w:type="pct"/>
            <w:vAlign w:val="center"/>
          </w:tcPr>
          <w:p>
            <w:pPr>
              <w:pStyle w:val="136"/>
            </w:pPr>
            <w:r>
              <w:t>1供水站</w:t>
            </w:r>
          </w:p>
        </w:tc>
        <w:tc>
          <w:tcPr>
            <w:tcW w:w="747" w:type="pct"/>
            <w:vAlign w:val="center"/>
          </w:tcPr>
          <w:p>
            <w:pPr>
              <w:pStyle w:val="136"/>
            </w:pPr>
            <w:r>
              <w:t>导流洞进口</w:t>
            </w:r>
          </w:p>
        </w:tc>
        <w:tc>
          <w:tcPr>
            <w:tcW w:w="635" w:type="pct"/>
            <w:vAlign w:val="center"/>
          </w:tcPr>
          <w:p>
            <w:pPr>
              <w:pStyle w:val="136"/>
            </w:pPr>
            <w:r>
              <w:t>15</w:t>
            </w:r>
          </w:p>
        </w:tc>
        <w:tc>
          <w:tcPr>
            <w:tcW w:w="317" w:type="pct"/>
            <w:vAlign w:val="center"/>
          </w:tcPr>
          <w:p>
            <w:pPr>
              <w:pStyle w:val="136"/>
            </w:pPr>
            <w:r>
              <w:t>1</w:t>
            </w:r>
          </w:p>
        </w:tc>
        <w:tc>
          <w:tcPr>
            <w:tcW w:w="397" w:type="pct"/>
            <w:vAlign w:val="center"/>
          </w:tcPr>
          <w:p>
            <w:pPr>
              <w:pStyle w:val="136"/>
            </w:pPr>
            <w:r>
              <w:t>30</w:t>
            </w:r>
          </w:p>
        </w:tc>
        <w:tc>
          <w:tcPr>
            <w:tcW w:w="953" w:type="pct"/>
            <w:vAlign w:val="center"/>
          </w:tcPr>
          <w:p>
            <w:pPr>
              <w:pStyle w:val="136"/>
            </w:pPr>
            <w:r>
              <w:t>固定式潜水泵站</w:t>
            </w:r>
          </w:p>
        </w:tc>
        <w:tc>
          <w:tcPr>
            <w:tcW w:w="1191" w:type="pct"/>
            <w:vAlign w:val="center"/>
          </w:tcPr>
          <w:p>
            <w:pPr>
              <w:pStyle w:val="136"/>
            </w:pPr>
            <w:r>
              <w:t>单机：流量20m</w:t>
            </w:r>
            <w:r>
              <w:rPr>
                <w:vertAlign w:val="superscript"/>
              </w:rPr>
              <w:t>3</w:t>
            </w:r>
            <w:r>
              <w:t>/h、功率3kw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Align w:val="center"/>
          </w:tcPr>
          <w:p>
            <w:pPr>
              <w:pStyle w:val="136"/>
            </w:pPr>
            <w:r>
              <w:t>2</w:t>
            </w:r>
          </w:p>
        </w:tc>
        <w:tc>
          <w:tcPr>
            <w:tcW w:w="533" w:type="pct"/>
            <w:vAlign w:val="center"/>
          </w:tcPr>
          <w:p>
            <w:pPr>
              <w:pStyle w:val="136"/>
            </w:pPr>
            <w:r>
              <w:t>2供水站</w:t>
            </w:r>
          </w:p>
        </w:tc>
        <w:tc>
          <w:tcPr>
            <w:tcW w:w="747" w:type="pct"/>
            <w:vAlign w:val="center"/>
          </w:tcPr>
          <w:p>
            <w:pPr>
              <w:pStyle w:val="136"/>
            </w:pPr>
            <w:r>
              <w:t>大坝轴线下</w:t>
            </w:r>
          </w:p>
          <w:p>
            <w:pPr>
              <w:pStyle w:val="136"/>
            </w:pPr>
            <w:r>
              <w:t>游左岸</w:t>
            </w:r>
          </w:p>
        </w:tc>
        <w:tc>
          <w:tcPr>
            <w:tcW w:w="635" w:type="pct"/>
            <w:vAlign w:val="center"/>
          </w:tcPr>
          <w:p>
            <w:pPr>
              <w:pStyle w:val="136"/>
            </w:pPr>
            <w:r>
              <w:t>70</w:t>
            </w:r>
          </w:p>
        </w:tc>
        <w:tc>
          <w:tcPr>
            <w:tcW w:w="317" w:type="pct"/>
            <w:vAlign w:val="center"/>
          </w:tcPr>
          <w:p>
            <w:pPr>
              <w:pStyle w:val="136"/>
            </w:pPr>
            <w:r>
              <w:t>1</w:t>
            </w:r>
          </w:p>
        </w:tc>
        <w:tc>
          <w:tcPr>
            <w:tcW w:w="397" w:type="pct"/>
            <w:vAlign w:val="center"/>
          </w:tcPr>
          <w:p>
            <w:pPr>
              <w:pStyle w:val="136"/>
            </w:pPr>
            <w:r>
              <w:t>50</w:t>
            </w:r>
          </w:p>
        </w:tc>
        <w:tc>
          <w:tcPr>
            <w:tcW w:w="953" w:type="pct"/>
            <w:vAlign w:val="center"/>
          </w:tcPr>
          <w:p>
            <w:pPr>
              <w:pStyle w:val="136"/>
            </w:pPr>
            <w:r>
              <w:t>移动式冷水站</w:t>
            </w:r>
          </w:p>
        </w:tc>
        <w:tc>
          <w:tcPr>
            <w:tcW w:w="1191" w:type="pct"/>
          </w:tcPr>
          <w:p>
            <w:pPr>
              <w:pStyle w:val="136"/>
            </w:pPr>
            <w:r>
              <w:t>单机：流量70m</w:t>
            </w:r>
            <w:r>
              <w:rPr>
                <w:vertAlign w:val="superscript"/>
              </w:rPr>
              <w:t>3</w:t>
            </w:r>
            <w:r>
              <w:t>/h、功率150.7kw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Align w:val="center"/>
          </w:tcPr>
          <w:p>
            <w:pPr>
              <w:pStyle w:val="136"/>
            </w:pPr>
            <w:r>
              <w:t>3</w:t>
            </w:r>
          </w:p>
        </w:tc>
        <w:tc>
          <w:tcPr>
            <w:tcW w:w="533" w:type="pct"/>
            <w:vAlign w:val="center"/>
          </w:tcPr>
          <w:p>
            <w:pPr>
              <w:pStyle w:val="136"/>
            </w:pPr>
            <w:r>
              <w:t>3供水站</w:t>
            </w:r>
          </w:p>
        </w:tc>
        <w:tc>
          <w:tcPr>
            <w:tcW w:w="747" w:type="pct"/>
            <w:vAlign w:val="center"/>
          </w:tcPr>
          <w:p>
            <w:pPr>
              <w:pStyle w:val="136"/>
            </w:pPr>
            <w:r>
              <w:t>大坝轴线下</w:t>
            </w:r>
          </w:p>
          <w:p>
            <w:pPr>
              <w:pStyle w:val="136"/>
            </w:pPr>
            <w:r>
              <w:t>游右岸</w:t>
            </w:r>
          </w:p>
        </w:tc>
        <w:tc>
          <w:tcPr>
            <w:tcW w:w="635" w:type="pct"/>
            <w:vAlign w:val="center"/>
          </w:tcPr>
          <w:p>
            <w:pPr>
              <w:pStyle w:val="136"/>
            </w:pPr>
            <w:r>
              <w:t>70</w:t>
            </w:r>
          </w:p>
        </w:tc>
        <w:tc>
          <w:tcPr>
            <w:tcW w:w="317" w:type="pct"/>
            <w:vAlign w:val="center"/>
          </w:tcPr>
          <w:p>
            <w:pPr>
              <w:pStyle w:val="136"/>
            </w:pPr>
            <w:r>
              <w:t>1</w:t>
            </w:r>
          </w:p>
        </w:tc>
        <w:tc>
          <w:tcPr>
            <w:tcW w:w="397" w:type="pct"/>
            <w:vAlign w:val="center"/>
          </w:tcPr>
          <w:p>
            <w:pPr>
              <w:pStyle w:val="136"/>
            </w:pPr>
            <w:r>
              <w:t>50</w:t>
            </w:r>
          </w:p>
        </w:tc>
        <w:tc>
          <w:tcPr>
            <w:tcW w:w="953" w:type="pct"/>
            <w:vAlign w:val="center"/>
          </w:tcPr>
          <w:p>
            <w:pPr>
              <w:pStyle w:val="136"/>
            </w:pPr>
            <w:r>
              <w:t>移动式冷水站</w:t>
            </w:r>
          </w:p>
        </w:tc>
        <w:tc>
          <w:tcPr>
            <w:tcW w:w="1191" w:type="pct"/>
          </w:tcPr>
          <w:p>
            <w:pPr>
              <w:pStyle w:val="136"/>
            </w:pPr>
            <w:r>
              <w:t>单机：流量70m</w:t>
            </w:r>
            <w:r>
              <w:rPr>
                <w:vertAlign w:val="superscript"/>
              </w:rPr>
              <w:t>3</w:t>
            </w:r>
            <w:r>
              <w:t>/h、功率150.7kw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Align w:val="center"/>
          </w:tcPr>
          <w:p>
            <w:pPr>
              <w:pStyle w:val="136"/>
            </w:pPr>
            <w:r>
              <w:t>4</w:t>
            </w:r>
          </w:p>
        </w:tc>
        <w:tc>
          <w:tcPr>
            <w:tcW w:w="533" w:type="pct"/>
            <w:vAlign w:val="center"/>
          </w:tcPr>
          <w:p>
            <w:pPr>
              <w:pStyle w:val="136"/>
            </w:pPr>
            <w:r>
              <w:t>4供水站</w:t>
            </w:r>
          </w:p>
        </w:tc>
        <w:tc>
          <w:tcPr>
            <w:tcW w:w="747" w:type="pct"/>
            <w:vAlign w:val="center"/>
          </w:tcPr>
          <w:p>
            <w:pPr>
              <w:pStyle w:val="136"/>
            </w:pPr>
            <w:r>
              <w:t>导流洞出口</w:t>
            </w:r>
          </w:p>
        </w:tc>
        <w:tc>
          <w:tcPr>
            <w:tcW w:w="635" w:type="pct"/>
            <w:vAlign w:val="center"/>
          </w:tcPr>
          <w:p>
            <w:pPr>
              <w:pStyle w:val="136"/>
            </w:pPr>
            <w:r>
              <w:t>15</w:t>
            </w:r>
          </w:p>
        </w:tc>
        <w:tc>
          <w:tcPr>
            <w:tcW w:w="317" w:type="pct"/>
            <w:vAlign w:val="center"/>
          </w:tcPr>
          <w:p>
            <w:pPr>
              <w:pStyle w:val="136"/>
            </w:pPr>
            <w:r>
              <w:t>1</w:t>
            </w:r>
          </w:p>
        </w:tc>
        <w:tc>
          <w:tcPr>
            <w:tcW w:w="397" w:type="pct"/>
            <w:vAlign w:val="center"/>
          </w:tcPr>
          <w:p>
            <w:pPr>
              <w:pStyle w:val="136"/>
            </w:pPr>
            <w:r>
              <w:t>30</w:t>
            </w:r>
          </w:p>
        </w:tc>
        <w:tc>
          <w:tcPr>
            <w:tcW w:w="953" w:type="pct"/>
            <w:vAlign w:val="center"/>
          </w:tcPr>
          <w:p>
            <w:pPr>
              <w:pStyle w:val="136"/>
            </w:pPr>
            <w:r>
              <w:t>固定式潜水泵站</w:t>
            </w:r>
          </w:p>
        </w:tc>
        <w:tc>
          <w:tcPr>
            <w:tcW w:w="1191" w:type="pct"/>
          </w:tcPr>
          <w:p>
            <w:pPr>
              <w:pStyle w:val="136"/>
            </w:pPr>
            <w:r>
              <w:t>单机：流量20m</w:t>
            </w:r>
            <w:r>
              <w:rPr>
                <w:vertAlign w:val="superscript"/>
              </w:rPr>
              <w:t>3</w:t>
            </w:r>
            <w:r>
              <w:t>/h、功率3kw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Align w:val="center"/>
          </w:tcPr>
          <w:p>
            <w:pPr>
              <w:pStyle w:val="136"/>
            </w:pPr>
            <w:r>
              <w:t>5</w:t>
            </w:r>
          </w:p>
        </w:tc>
        <w:tc>
          <w:tcPr>
            <w:tcW w:w="533" w:type="pct"/>
            <w:vAlign w:val="center"/>
          </w:tcPr>
          <w:p>
            <w:pPr>
              <w:pStyle w:val="136"/>
            </w:pPr>
            <w:r>
              <w:t>5供水站</w:t>
            </w:r>
          </w:p>
        </w:tc>
        <w:tc>
          <w:tcPr>
            <w:tcW w:w="747" w:type="pct"/>
            <w:vAlign w:val="center"/>
          </w:tcPr>
          <w:p>
            <w:pPr>
              <w:pStyle w:val="136"/>
            </w:pPr>
            <w:r>
              <w:t>砼拌合站</w:t>
            </w:r>
          </w:p>
        </w:tc>
        <w:tc>
          <w:tcPr>
            <w:tcW w:w="635" w:type="pct"/>
            <w:vAlign w:val="center"/>
          </w:tcPr>
          <w:p>
            <w:pPr>
              <w:pStyle w:val="136"/>
            </w:pPr>
            <w:r>
              <w:t>40</w:t>
            </w:r>
          </w:p>
        </w:tc>
        <w:tc>
          <w:tcPr>
            <w:tcW w:w="317" w:type="pct"/>
            <w:vAlign w:val="center"/>
          </w:tcPr>
          <w:p>
            <w:pPr>
              <w:pStyle w:val="136"/>
            </w:pPr>
            <w:r>
              <w:t>2</w:t>
            </w:r>
          </w:p>
        </w:tc>
        <w:tc>
          <w:tcPr>
            <w:tcW w:w="397" w:type="pct"/>
            <w:vAlign w:val="center"/>
          </w:tcPr>
          <w:p>
            <w:pPr>
              <w:pStyle w:val="136"/>
            </w:pPr>
            <w:r>
              <w:t>20</w:t>
            </w:r>
          </w:p>
        </w:tc>
        <w:tc>
          <w:tcPr>
            <w:tcW w:w="953" w:type="pct"/>
            <w:vAlign w:val="center"/>
          </w:tcPr>
          <w:p>
            <w:pPr>
              <w:pStyle w:val="136"/>
            </w:pPr>
            <w:r>
              <w:t>固定式潜水泵站</w:t>
            </w:r>
          </w:p>
        </w:tc>
        <w:tc>
          <w:tcPr>
            <w:tcW w:w="1191" w:type="pct"/>
          </w:tcPr>
          <w:p>
            <w:pPr>
              <w:pStyle w:val="136"/>
            </w:pPr>
            <w:r>
              <w:t>单机：流量30m</w:t>
            </w:r>
            <w:r>
              <w:rPr>
                <w:vertAlign w:val="superscript"/>
              </w:rPr>
              <w:t>3</w:t>
            </w:r>
            <w:r>
              <w:t>/h、功率5.5kw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Align w:val="center"/>
          </w:tcPr>
          <w:p>
            <w:pPr>
              <w:pStyle w:val="136"/>
            </w:pPr>
            <w:r>
              <w:t>6</w:t>
            </w:r>
          </w:p>
        </w:tc>
        <w:tc>
          <w:tcPr>
            <w:tcW w:w="533" w:type="pct"/>
            <w:vAlign w:val="center"/>
          </w:tcPr>
          <w:p>
            <w:pPr>
              <w:pStyle w:val="136"/>
            </w:pPr>
            <w:r>
              <w:t>6供水站</w:t>
            </w:r>
          </w:p>
        </w:tc>
        <w:tc>
          <w:tcPr>
            <w:tcW w:w="747" w:type="pct"/>
            <w:vAlign w:val="center"/>
          </w:tcPr>
          <w:p>
            <w:pPr>
              <w:pStyle w:val="136"/>
            </w:pPr>
            <w:r>
              <w:t>生活区</w:t>
            </w:r>
          </w:p>
        </w:tc>
        <w:tc>
          <w:tcPr>
            <w:tcW w:w="635" w:type="pct"/>
            <w:vAlign w:val="center"/>
          </w:tcPr>
          <w:p>
            <w:pPr>
              <w:pStyle w:val="136"/>
            </w:pPr>
            <w:r>
              <w:t>15</w:t>
            </w:r>
          </w:p>
        </w:tc>
        <w:tc>
          <w:tcPr>
            <w:tcW w:w="317" w:type="pct"/>
            <w:vAlign w:val="center"/>
          </w:tcPr>
          <w:p>
            <w:pPr>
              <w:pStyle w:val="136"/>
            </w:pPr>
            <w:r>
              <w:t>1</w:t>
            </w:r>
          </w:p>
        </w:tc>
        <w:tc>
          <w:tcPr>
            <w:tcW w:w="397" w:type="pct"/>
            <w:vAlign w:val="center"/>
          </w:tcPr>
          <w:p>
            <w:pPr>
              <w:pStyle w:val="136"/>
            </w:pPr>
            <w:r>
              <w:t>30</w:t>
            </w:r>
          </w:p>
        </w:tc>
        <w:tc>
          <w:tcPr>
            <w:tcW w:w="953" w:type="pct"/>
            <w:vAlign w:val="center"/>
          </w:tcPr>
          <w:p>
            <w:pPr>
              <w:pStyle w:val="136"/>
            </w:pPr>
            <w:r>
              <w:t>固定式潜水泵站</w:t>
            </w:r>
          </w:p>
        </w:tc>
        <w:tc>
          <w:tcPr>
            <w:tcW w:w="1191" w:type="pct"/>
          </w:tcPr>
          <w:p>
            <w:pPr>
              <w:pStyle w:val="136"/>
            </w:pPr>
            <w:r>
              <w:t>单机：流量20m</w:t>
            </w:r>
            <w:r>
              <w:rPr>
                <w:vertAlign w:val="superscript"/>
              </w:rPr>
              <w:t>3</w:t>
            </w:r>
            <w:r>
              <w:t>/h、功率3kw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Align w:val="center"/>
          </w:tcPr>
          <w:p>
            <w:pPr>
              <w:pStyle w:val="136"/>
            </w:pPr>
            <w:r>
              <w:t>7</w:t>
            </w:r>
          </w:p>
        </w:tc>
        <w:tc>
          <w:tcPr>
            <w:tcW w:w="533" w:type="pct"/>
            <w:vAlign w:val="center"/>
          </w:tcPr>
          <w:p>
            <w:pPr>
              <w:pStyle w:val="136"/>
            </w:pPr>
            <w:r>
              <w:t>7供水站</w:t>
            </w:r>
          </w:p>
        </w:tc>
        <w:tc>
          <w:tcPr>
            <w:tcW w:w="747" w:type="pct"/>
            <w:vAlign w:val="center"/>
          </w:tcPr>
          <w:p>
            <w:pPr>
              <w:pStyle w:val="136"/>
            </w:pPr>
            <w:r>
              <w:t>砂石加工</w:t>
            </w:r>
          </w:p>
        </w:tc>
        <w:tc>
          <w:tcPr>
            <w:tcW w:w="635" w:type="pct"/>
            <w:vAlign w:val="center"/>
          </w:tcPr>
          <w:p>
            <w:pPr>
              <w:pStyle w:val="136"/>
            </w:pPr>
            <w:r>
              <w:t>120</w:t>
            </w:r>
          </w:p>
        </w:tc>
        <w:tc>
          <w:tcPr>
            <w:tcW w:w="317" w:type="pct"/>
            <w:vAlign w:val="center"/>
          </w:tcPr>
          <w:p>
            <w:pPr>
              <w:pStyle w:val="136"/>
            </w:pPr>
            <w:r>
              <w:t>5</w:t>
            </w:r>
          </w:p>
        </w:tc>
        <w:tc>
          <w:tcPr>
            <w:tcW w:w="397" w:type="pct"/>
            <w:vAlign w:val="center"/>
          </w:tcPr>
          <w:p>
            <w:pPr>
              <w:pStyle w:val="136"/>
            </w:pPr>
            <w:r>
              <w:t>20</w:t>
            </w:r>
          </w:p>
        </w:tc>
        <w:tc>
          <w:tcPr>
            <w:tcW w:w="953" w:type="pct"/>
            <w:vAlign w:val="center"/>
          </w:tcPr>
          <w:p>
            <w:pPr>
              <w:pStyle w:val="136"/>
            </w:pPr>
            <w:r>
              <w:t>固定式潜水泵站</w:t>
            </w:r>
          </w:p>
        </w:tc>
        <w:tc>
          <w:tcPr>
            <w:tcW w:w="1191" w:type="pct"/>
          </w:tcPr>
          <w:p>
            <w:pPr>
              <w:pStyle w:val="136"/>
            </w:pPr>
            <w:r>
              <w:t>单机：流量30m</w:t>
            </w:r>
            <w:r>
              <w:rPr>
                <w:vertAlign w:val="superscript"/>
              </w:rPr>
              <w:t>3</w:t>
            </w:r>
            <w:r>
              <w:t>/h、功率5.5kw</w:t>
            </w:r>
          </w:p>
        </w:tc>
      </w:tr>
    </w:tbl>
    <w:p>
      <w:pPr>
        <w:ind w:firstLine="480"/>
        <w:rPr>
          <w:rFonts w:cs="Times New Roman"/>
        </w:rPr>
      </w:pPr>
    </w:p>
    <w:p>
      <w:pPr>
        <w:pStyle w:val="62"/>
        <w:rPr>
          <w:rFonts w:cs="Times New Roman"/>
        </w:rPr>
      </w:pPr>
      <w:r>
        <w:rPr>
          <w:rFonts w:cs="Times New Roman"/>
        </w:rPr>
        <w:t>2.4.3.3 施工供电、供风与通信</w:t>
      </w:r>
    </w:p>
    <w:p>
      <w:pPr>
        <w:ind w:firstLine="480"/>
        <w:rPr>
          <w:rFonts w:cs="Times New Roman"/>
        </w:rPr>
      </w:pPr>
      <w:r>
        <w:rPr>
          <w:rFonts w:cs="Times New Roman"/>
        </w:rPr>
        <w:t>（1）施工供电</w:t>
      </w:r>
    </w:p>
    <w:p>
      <w:pPr>
        <w:ind w:firstLine="480"/>
        <w:rPr>
          <w:rFonts w:cs="Times New Roman"/>
        </w:rPr>
      </w:pPr>
      <w:r>
        <w:rPr>
          <w:rFonts w:cs="Times New Roman"/>
        </w:rPr>
        <w:t>本工程施工用电高峰负荷2560kW，由伊下线35KV输电线路T接线至工地，供电电压等级为35KV，需架设35KV输电线路约为16km，导线型号为LGJ-70/10，单回路架设。工程区新建一座35kV变电站，主变容量1×6300kVA，室外布置。新建35kV变电所降为10kV后送往各施工用电区，在施工现场设变压器</w:t>
      </w:r>
      <w:r>
        <w:rPr>
          <w:rFonts w:hint="eastAsia" w:cs="Times New Roman"/>
          <w:lang w:eastAsia="zh-CN"/>
        </w:rPr>
        <w:t>将</w:t>
      </w:r>
      <w:r>
        <w:rPr>
          <w:rFonts w:cs="Times New Roman"/>
        </w:rPr>
        <w:t>10kV电压降到380V后供各施工用电单位。此外，为了保证导流放水洞闸室及管理站房的供电可靠性，选用两台55GF1-60/55KW，400/230V4BTA3.9-G2型柴油发电机组，作为备用电源。</w:t>
      </w:r>
    </w:p>
    <w:p>
      <w:pPr>
        <w:ind w:firstLine="480"/>
        <w:rPr>
          <w:rFonts w:cs="Times New Roman"/>
        </w:rPr>
      </w:pPr>
      <w:r>
        <w:rPr>
          <w:rFonts w:cs="Times New Roman"/>
        </w:rPr>
        <w:t>（2）供风系统</w:t>
      </w:r>
    </w:p>
    <w:p>
      <w:pPr>
        <w:ind w:firstLine="480"/>
        <w:rPr>
          <w:rFonts w:cs="Times New Roman"/>
        </w:rPr>
      </w:pPr>
      <w:r>
        <w:rPr>
          <w:rFonts w:cs="Times New Roman"/>
        </w:rPr>
        <w:t>根据施工强度分析，本工程施工供风总规模160m</w:t>
      </w:r>
      <w:r>
        <w:rPr>
          <w:rFonts w:cs="Times New Roman"/>
          <w:vertAlign w:val="superscript"/>
        </w:rPr>
        <w:t>3</w:t>
      </w:r>
      <w:r>
        <w:rPr>
          <w:rFonts w:cs="Times New Roman"/>
        </w:rPr>
        <w:t>/min，主要采用分散布置供应的方式，</w:t>
      </w:r>
      <w:r>
        <w:rPr>
          <w:rFonts w:hint="eastAsia" w:cs="Times New Roman"/>
          <w:lang w:eastAsia="zh-CN"/>
        </w:rPr>
        <w:t>将</w:t>
      </w:r>
      <w:r>
        <w:rPr>
          <w:rFonts w:cs="Times New Roman"/>
        </w:rPr>
        <w:t>供风站设在用风对象附近。本工程主要用风点为坝基、导流洞等的石方开挖，根据各建筑物布置及施工分区，布置了4个施工供风区，5座风站，以满足各施工部位需要。各供风系统特征信息见表2.4-5。</w:t>
      </w:r>
    </w:p>
    <w:p>
      <w:pPr>
        <w:pStyle w:val="137"/>
        <w:spacing w:before="48"/>
      </w:pPr>
      <w:r>
        <w:t>表2.4-5                      各供风系统特征表</w:t>
      </w:r>
    </w:p>
    <w:tbl>
      <w:tblPr>
        <w:tblStyle w:val="41"/>
        <w:tblW w:w="51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1133"/>
        <w:gridCol w:w="1611"/>
        <w:gridCol w:w="1196"/>
        <w:gridCol w:w="2015"/>
        <w:gridCol w:w="794"/>
        <w:gridCol w:w="837"/>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4" w:type="pct"/>
            <w:vAlign w:val="center"/>
          </w:tcPr>
          <w:p>
            <w:pPr>
              <w:pStyle w:val="136"/>
            </w:pPr>
            <w:r>
              <w:t>序号</w:t>
            </w:r>
          </w:p>
        </w:tc>
        <w:tc>
          <w:tcPr>
            <w:tcW w:w="609" w:type="pct"/>
            <w:vAlign w:val="center"/>
          </w:tcPr>
          <w:p>
            <w:pPr>
              <w:pStyle w:val="136"/>
            </w:pPr>
            <w:r>
              <w:t>风站</w:t>
            </w:r>
          </w:p>
        </w:tc>
        <w:tc>
          <w:tcPr>
            <w:tcW w:w="866" w:type="pct"/>
            <w:vAlign w:val="center"/>
          </w:tcPr>
          <w:p>
            <w:pPr>
              <w:pStyle w:val="136"/>
            </w:pPr>
            <w:r>
              <w:t>供风范围</w:t>
            </w:r>
          </w:p>
        </w:tc>
        <w:tc>
          <w:tcPr>
            <w:tcW w:w="643" w:type="pct"/>
            <w:vAlign w:val="center"/>
          </w:tcPr>
          <w:p>
            <w:pPr>
              <w:pStyle w:val="136"/>
            </w:pPr>
            <w:r>
              <w:t>设计风量（m</w:t>
            </w:r>
            <w:r>
              <w:rPr>
                <w:vertAlign w:val="superscript"/>
              </w:rPr>
              <w:t>3</w:t>
            </w:r>
            <w:r>
              <w:t>/min）</w:t>
            </w:r>
          </w:p>
        </w:tc>
        <w:tc>
          <w:tcPr>
            <w:tcW w:w="1083" w:type="pct"/>
            <w:vAlign w:val="center"/>
          </w:tcPr>
          <w:p>
            <w:pPr>
              <w:pStyle w:val="136"/>
            </w:pPr>
            <w:r>
              <w:t>型号</w:t>
            </w:r>
          </w:p>
        </w:tc>
        <w:tc>
          <w:tcPr>
            <w:tcW w:w="427" w:type="pct"/>
            <w:vAlign w:val="center"/>
          </w:tcPr>
          <w:p>
            <w:pPr>
              <w:pStyle w:val="136"/>
            </w:pPr>
            <w:r>
              <w:t>数量(台）</w:t>
            </w:r>
          </w:p>
        </w:tc>
        <w:tc>
          <w:tcPr>
            <w:tcW w:w="450" w:type="pct"/>
            <w:vAlign w:val="center"/>
          </w:tcPr>
          <w:p>
            <w:pPr>
              <w:pStyle w:val="136"/>
            </w:pPr>
            <w:r>
              <w:t>功率（kw)</w:t>
            </w:r>
          </w:p>
        </w:tc>
        <w:tc>
          <w:tcPr>
            <w:tcW w:w="698" w:type="pct"/>
            <w:vAlign w:val="center"/>
          </w:tcPr>
          <w:p>
            <w:pPr>
              <w:pStyle w:val="136"/>
            </w:pPr>
            <w:r>
              <w:t>风量（m</w:t>
            </w:r>
            <w:r>
              <w:rPr>
                <w:vertAlign w:val="superscript"/>
              </w:rPr>
              <w:t>3</w:t>
            </w:r>
            <w: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vMerge w:val="restart"/>
            <w:vAlign w:val="center"/>
          </w:tcPr>
          <w:p>
            <w:pPr>
              <w:pStyle w:val="136"/>
            </w:pPr>
            <w:r>
              <w:t>1</w:t>
            </w:r>
          </w:p>
        </w:tc>
        <w:tc>
          <w:tcPr>
            <w:tcW w:w="609" w:type="pct"/>
            <w:vMerge w:val="restart"/>
            <w:vAlign w:val="center"/>
          </w:tcPr>
          <w:p>
            <w:pPr>
              <w:pStyle w:val="136"/>
            </w:pPr>
            <w:r>
              <w:t>1号风站</w:t>
            </w:r>
          </w:p>
        </w:tc>
        <w:tc>
          <w:tcPr>
            <w:tcW w:w="866" w:type="pct"/>
            <w:vMerge w:val="restart"/>
            <w:vAlign w:val="center"/>
          </w:tcPr>
          <w:p>
            <w:pPr>
              <w:pStyle w:val="136"/>
            </w:pPr>
            <w:r>
              <w:t>导流洞进口</w:t>
            </w:r>
          </w:p>
        </w:tc>
        <w:tc>
          <w:tcPr>
            <w:tcW w:w="643" w:type="pct"/>
            <w:vMerge w:val="restart"/>
            <w:vAlign w:val="center"/>
          </w:tcPr>
          <w:p>
            <w:pPr>
              <w:pStyle w:val="136"/>
            </w:pPr>
            <w:r>
              <w:t>35</w:t>
            </w:r>
          </w:p>
        </w:tc>
        <w:tc>
          <w:tcPr>
            <w:tcW w:w="1083" w:type="pct"/>
            <w:vAlign w:val="center"/>
          </w:tcPr>
          <w:p>
            <w:pPr>
              <w:pStyle w:val="136"/>
            </w:pPr>
            <w:r>
              <w:t>移动式3LW-10/8</w:t>
            </w:r>
          </w:p>
        </w:tc>
        <w:tc>
          <w:tcPr>
            <w:tcW w:w="427" w:type="pct"/>
            <w:vAlign w:val="center"/>
          </w:tcPr>
          <w:p>
            <w:pPr>
              <w:pStyle w:val="136"/>
            </w:pPr>
            <w:r>
              <w:t>2</w:t>
            </w:r>
          </w:p>
        </w:tc>
        <w:tc>
          <w:tcPr>
            <w:tcW w:w="450" w:type="pct"/>
            <w:vAlign w:val="center"/>
          </w:tcPr>
          <w:p>
            <w:pPr>
              <w:pStyle w:val="136"/>
            </w:pPr>
            <w:r>
              <w:t>65</w:t>
            </w:r>
          </w:p>
        </w:tc>
        <w:tc>
          <w:tcPr>
            <w:tcW w:w="698" w:type="pct"/>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24" w:type="pct"/>
            <w:vMerge w:val="continue"/>
            <w:vAlign w:val="center"/>
          </w:tcPr>
          <w:p>
            <w:pPr>
              <w:pStyle w:val="136"/>
            </w:pPr>
          </w:p>
        </w:tc>
        <w:tc>
          <w:tcPr>
            <w:tcW w:w="609" w:type="pct"/>
            <w:vMerge w:val="continue"/>
            <w:vAlign w:val="center"/>
          </w:tcPr>
          <w:p>
            <w:pPr>
              <w:pStyle w:val="136"/>
            </w:pPr>
          </w:p>
        </w:tc>
        <w:tc>
          <w:tcPr>
            <w:tcW w:w="866" w:type="pct"/>
            <w:vMerge w:val="continue"/>
            <w:vAlign w:val="center"/>
          </w:tcPr>
          <w:p>
            <w:pPr>
              <w:pStyle w:val="136"/>
            </w:pPr>
          </w:p>
        </w:tc>
        <w:tc>
          <w:tcPr>
            <w:tcW w:w="643" w:type="pct"/>
            <w:vMerge w:val="continue"/>
            <w:vAlign w:val="center"/>
          </w:tcPr>
          <w:p>
            <w:pPr>
              <w:pStyle w:val="136"/>
            </w:pPr>
          </w:p>
        </w:tc>
        <w:tc>
          <w:tcPr>
            <w:tcW w:w="1083" w:type="pct"/>
            <w:vAlign w:val="center"/>
          </w:tcPr>
          <w:p>
            <w:pPr>
              <w:pStyle w:val="136"/>
            </w:pPr>
            <w:r>
              <w:t>移动式4LW-20/8</w:t>
            </w:r>
          </w:p>
        </w:tc>
        <w:tc>
          <w:tcPr>
            <w:tcW w:w="427" w:type="pct"/>
            <w:vAlign w:val="center"/>
          </w:tcPr>
          <w:p>
            <w:pPr>
              <w:pStyle w:val="136"/>
            </w:pPr>
            <w:r>
              <w:t>1</w:t>
            </w:r>
          </w:p>
        </w:tc>
        <w:tc>
          <w:tcPr>
            <w:tcW w:w="450" w:type="pct"/>
            <w:vAlign w:val="center"/>
          </w:tcPr>
          <w:p>
            <w:pPr>
              <w:pStyle w:val="136"/>
            </w:pPr>
            <w:r>
              <w:t>132</w:t>
            </w:r>
          </w:p>
        </w:tc>
        <w:tc>
          <w:tcPr>
            <w:tcW w:w="698" w:type="pct"/>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24" w:type="pct"/>
            <w:vMerge w:val="restart"/>
            <w:vAlign w:val="center"/>
          </w:tcPr>
          <w:p>
            <w:pPr>
              <w:pStyle w:val="136"/>
            </w:pPr>
            <w:r>
              <w:t>2</w:t>
            </w:r>
          </w:p>
        </w:tc>
        <w:tc>
          <w:tcPr>
            <w:tcW w:w="609" w:type="pct"/>
            <w:vMerge w:val="restart"/>
            <w:vAlign w:val="center"/>
          </w:tcPr>
          <w:p>
            <w:pPr>
              <w:pStyle w:val="136"/>
            </w:pPr>
            <w:r>
              <w:t>2号风站</w:t>
            </w:r>
          </w:p>
        </w:tc>
        <w:tc>
          <w:tcPr>
            <w:tcW w:w="866" w:type="pct"/>
            <w:vMerge w:val="restart"/>
            <w:vAlign w:val="center"/>
          </w:tcPr>
          <w:p>
            <w:pPr>
              <w:pStyle w:val="136"/>
            </w:pPr>
            <w:r>
              <w:t>导流洞出口、上坝道路口</w:t>
            </w:r>
          </w:p>
        </w:tc>
        <w:tc>
          <w:tcPr>
            <w:tcW w:w="643" w:type="pct"/>
            <w:vMerge w:val="restart"/>
            <w:vAlign w:val="center"/>
          </w:tcPr>
          <w:p>
            <w:pPr>
              <w:pStyle w:val="136"/>
            </w:pPr>
            <w:r>
              <w:t>35</w:t>
            </w:r>
          </w:p>
        </w:tc>
        <w:tc>
          <w:tcPr>
            <w:tcW w:w="1083" w:type="pct"/>
            <w:vAlign w:val="center"/>
          </w:tcPr>
          <w:p>
            <w:pPr>
              <w:pStyle w:val="136"/>
            </w:pPr>
            <w:r>
              <w:t>移动式3LW-10/8</w:t>
            </w:r>
          </w:p>
        </w:tc>
        <w:tc>
          <w:tcPr>
            <w:tcW w:w="427" w:type="pct"/>
            <w:vAlign w:val="center"/>
          </w:tcPr>
          <w:p>
            <w:pPr>
              <w:pStyle w:val="136"/>
            </w:pPr>
            <w:r>
              <w:t>2</w:t>
            </w:r>
          </w:p>
        </w:tc>
        <w:tc>
          <w:tcPr>
            <w:tcW w:w="450" w:type="pct"/>
            <w:vAlign w:val="center"/>
          </w:tcPr>
          <w:p>
            <w:pPr>
              <w:pStyle w:val="136"/>
            </w:pPr>
            <w:r>
              <w:t>65</w:t>
            </w:r>
          </w:p>
        </w:tc>
        <w:tc>
          <w:tcPr>
            <w:tcW w:w="698" w:type="pct"/>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24" w:type="pct"/>
            <w:vMerge w:val="continue"/>
            <w:vAlign w:val="center"/>
          </w:tcPr>
          <w:p>
            <w:pPr>
              <w:pStyle w:val="136"/>
            </w:pPr>
          </w:p>
        </w:tc>
        <w:tc>
          <w:tcPr>
            <w:tcW w:w="609" w:type="pct"/>
            <w:vMerge w:val="continue"/>
            <w:vAlign w:val="center"/>
          </w:tcPr>
          <w:p>
            <w:pPr>
              <w:pStyle w:val="136"/>
            </w:pPr>
          </w:p>
        </w:tc>
        <w:tc>
          <w:tcPr>
            <w:tcW w:w="866" w:type="pct"/>
            <w:vMerge w:val="continue"/>
            <w:vAlign w:val="center"/>
          </w:tcPr>
          <w:p>
            <w:pPr>
              <w:pStyle w:val="136"/>
            </w:pPr>
          </w:p>
        </w:tc>
        <w:tc>
          <w:tcPr>
            <w:tcW w:w="643" w:type="pct"/>
            <w:vMerge w:val="continue"/>
            <w:vAlign w:val="center"/>
          </w:tcPr>
          <w:p>
            <w:pPr>
              <w:pStyle w:val="136"/>
            </w:pPr>
          </w:p>
        </w:tc>
        <w:tc>
          <w:tcPr>
            <w:tcW w:w="1083" w:type="pct"/>
            <w:vAlign w:val="center"/>
          </w:tcPr>
          <w:p>
            <w:pPr>
              <w:pStyle w:val="136"/>
            </w:pPr>
            <w:r>
              <w:t>移动式4LW-20/8</w:t>
            </w:r>
          </w:p>
        </w:tc>
        <w:tc>
          <w:tcPr>
            <w:tcW w:w="427" w:type="pct"/>
            <w:vAlign w:val="center"/>
          </w:tcPr>
          <w:p>
            <w:pPr>
              <w:pStyle w:val="136"/>
            </w:pPr>
            <w:r>
              <w:t>1</w:t>
            </w:r>
          </w:p>
        </w:tc>
        <w:tc>
          <w:tcPr>
            <w:tcW w:w="450" w:type="pct"/>
            <w:vAlign w:val="center"/>
          </w:tcPr>
          <w:p>
            <w:pPr>
              <w:pStyle w:val="136"/>
            </w:pPr>
            <w:r>
              <w:t>132</w:t>
            </w:r>
          </w:p>
        </w:tc>
        <w:tc>
          <w:tcPr>
            <w:tcW w:w="698" w:type="pct"/>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vMerge w:val="restart"/>
            <w:vAlign w:val="center"/>
          </w:tcPr>
          <w:p>
            <w:pPr>
              <w:pStyle w:val="136"/>
            </w:pPr>
            <w:r>
              <w:t>3</w:t>
            </w:r>
          </w:p>
        </w:tc>
        <w:tc>
          <w:tcPr>
            <w:tcW w:w="609" w:type="pct"/>
            <w:vMerge w:val="restart"/>
            <w:vAlign w:val="center"/>
          </w:tcPr>
          <w:p>
            <w:pPr>
              <w:pStyle w:val="136"/>
            </w:pPr>
            <w:r>
              <w:t>3号风站</w:t>
            </w:r>
          </w:p>
        </w:tc>
        <w:tc>
          <w:tcPr>
            <w:tcW w:w="866" w:type="pct"/>
            <w:vMerge w:val="restart"/>
            <w:vAlign w:val="center"/>
          </w:tcPr>
          <w:p>
            <w:pPr>
              <w:pStyle w:val="136"/>
            </w:pPr>
            <w:r>
              <w:t>坝基中部至右岸</w:t>
            </w:r>
          </w:p>
        </w:tc>
        <w:tc>
          <w:tcPr>
            <w:tcW w:w="643" w:type="pct"/>
            <w:vMerge w:val="restart"/>
            <w:vAlign w:val="center"/>
          </w:tcPr>
          <w:p>
            <w:pPr>
              <w:pStyle w:val="136"/>
            </w:pPr>
            <w:r>
              <w:t>26</w:t>
            </w:r>
          </w:p>
        </w:tc>
        <w:tc>
          <w:tcPr>
            <w:tcW w:w="1083" w:type="pct"/>
            <w:vAlign w:val="center"/>
          </w:tcPr>
          <w:p>
            <w:pPr>
              <w:pStyle w:val="136"/>
            </w:pPr>
            <w:r>
              <w:t>移动式3LW-10/8</w:t>
            </w:r>
          </w:p>
        </w:tc>
        <w:tc>
          <w:tcPr>
            <w:tcW w:w="427" w:type="pct"/>
            <w:vAlign w:val="center"/>
          </w:tcPr>
          <w:p>
            <w:pPr>
              <w:pStyle w:val="136"/>
            </w:pPr>
            <w:r>
              <w:t>1</w:t>
            </w:r>
          </w:p>
        </w:tc>
        <w:tc>
          <w:tcPr>
            <w:tcW w:w="450" w:type="pct"/>
            <w:vAlign w:val="center"/>
          </w:tcPr>
          <w:p>
            <w:pPr>
              <w:pStyle w:val="136"/>
            </w:pPr>
            <w:r>
              <w:t>65</w:t>
            </w:r>
          </w:p>
        </w:tc>
        <w:tc>
          <w:tcPr>
            <w:tcW w:w="698" w:type="pct"/>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24" w:type="pct"/>
            <w:vMerge w:val="continue"/>
            <w:vAlign w:val="center"/>
          </w:tcPr>
          <w:p>
            <w:pPr>
              <w:pStyle w:val="136"/>
            </w:pPr>
          </w:p>
        </w:tc>
        <w:tc>
          <w:tcPr>
            <w:tcW w:w="609" w:type="pct"/>
            <w:vMerge w:val="continue"/>
            <w:vAlign w:val="center"/>
          </w:tcPr>
          <w:p>
            <w:pPr>
              <w:pStyle w:val="136"/>
            </w:pPr>
          </w:p>
        </w:tc>
        <w:tc>
          <w:tcPr>
            <w:tcW w:w="866" w:type="pct"/>
            <w:vMerge w:val="continue"/>
            <w:vAlign w:val="center"/>
          </w:tcPr>
          <w:p>
            <w:pPr>
              <w:pStyle w:val="136"/>
            </w:pPr>
          </w:p>
        </w:tc>
        <w:tc>
          <w:tcPr>
            <w:tcW w:w="643" w:type="pct"/>
            <w:vMerge w:val="continue"/>
            <w:vAlign w:val="center"/>
          </w:tcPr>
          <w:p>
            <w:pPr>
              <w:pStyle w:val="136"/>
            </w:pPr>
          </w:p>
        </w:tc>
        <w:tc>
          <w:tcPr>
            <w:tcW w:w="1083" w:type="pct"/>
            <w:vAlign w:val="center"/>
          </w:tcPr>
          <w:p>
            <w:pPr>
              <w:pStyle w:val="136"/>
            </w:pPr>
            <w:r>
              <w:t>移动式4LW-20/8</w:t>
            </w:r>
          </w:p>
        </w:tc>
        <w:tc>
          <w:tcPr>
            <w:tcW w:w="427" w:type="pct"/>
            <w:vAlign w:val="center"/>
          </w:tcPr>
          <w:p>
            <w:pPr>
              <w:pStyle w:val="136"/>
            </w:pPr>
            <w:r>
              <w:t>1</w:t>
            </w:r>
          </w:p>
        </w:tc>
        <w:tc>
          <w:tcPr>
            <w:tcW w:w="450" w:type="pct"/>
            <w:vAlign w:val="center"/>
          </w:tcPr>
          <w:p>
            <w:pPr>
              <w:pStyle w:val="136"/>
            </w:pPr>
            <w:r>
              <w:t>132</w:t>
            </w:r>
          </w:p>
        </w:tc>
        <w:tc>
          <w:tcPr>
            <w:tcW w:w="698" w:type="pct"/>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vMerge w:val="restart"/>
            <w:vAlign w:val="center"/>
          </w:tcPr>
          <w:p>
            <w:pPr>
              <w:pStyle w:val="136"/>
            </w:pPr>
            <w:r>
              <w:t>4</w:t>
            </w:r>
          </w:p>
        </w:tc>
        <w:tc>
          <w:tcPr>
            <w:tcW w:w="609" w:type="pct"/>
            <w:vMerge w:val="restart"/>
            <w:vAlign w:val="center"/>
          </w:tcPr>
          <w:p>
            <w:pPr>
              <w:pStyle w:val="136"/>
            </w:pPr>
            <w:r>
              <w:t>4号风站</w:t>
            </w:r>
          </w:p>
        </w:tc>
        <w:tc>
          <w:tcPr>
            <w:tcW w:w="866" w:type="pct"/>
            <w:vMerge w:val="restart"/>
            <w:vAlign w:val="center"/>
          </w:tcPr>
          <w:p>
            <w:pPr>
              <w:pStyle w:val="136"/>
            </w:pPr>
            <w:r>
              <w:t>坝基中部至左岸</w:t>
            </w:r>
          </w:p>
        </w:tc>
        <w:tc>
          <w:tcPr>
            <w:tcW w:w="643" w:type="pct"/>
            <w:vMerge w:val="restart"/>
            <w:vAlign w:val="center"/>
          </w:tcPr>
          <w:p>
            <w:pPr>
              <w:pStyle w:val="136"/>
            </w:pPr>
            <w:r>
              <w:t>26</w:t>
            </w:r>
          </w:p>
        </w:tc>
        <w:tc>
          <w:tcPr>
            <w:tcW w:w="1083" w:type="pct"/>
            <w:vAlign w:val="center"/>
          </w:tcPr>
          <w:p>
            <w:pPr>
              <w:pStyle w:val="136"/>
            </w:pPr>
            <w:r>
              <w:t>移动式3LW-10/8</w:t>
            </w:r>
          </w:p>
        </w:tc>
        <w:tc>
          <w:tcPr>
            <w:tcW w:w="427" w:type="pct"/>
            <w:vAlign w:val="center"/>
          </w:tcPr>
          <w:p>
            <w:pPr>
              <w:pStyle w:val="136"/>
            </w:pPr>
            <w:r>
              <w:t>1</w:t>
            </w:r>
          </w:p>
        </w:tc>
        <w:tc>
          <w:tcPr>
            <w:tcW w:w="450" w:type="pct"/>
            <w:vAlign w:val="center"/>
          </w:tcPr>
          <w:p>
            <w:pPr>
              <w:pStyle w:val="136"/>
            </w:pPr>
            <w:r>
              <w:t>65</w:t>
            </w:r>
          </w:p>
        </w:tc>
        <w:tc>
          <w:tcPr>
            <w:tcW w:w="698" w:type="pct"/>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vMerge w:val="continue"/>
            <w:vAlign w:val="center"/>
          </w:tcPr>
          <w:p>
            <w:pPr>
              <w:pStyle w:val="136"/>
            </w:pPr>
          </w:p>
        </w:tc>
        <w:tc>
          <w:tcPr>
            <w:tcW w:w="609" w:type="pct"/>
            <w:vMerge w:val="continue"/>
            <w:vAlign w:val="center"/>
          </w:tcPr>
          <w:p>
            <w:pPr>
              <w:pStyle w:val="136"/>
            </w:pPr>
          </w:p>
        </w:tc>
        <w:tc>
          <w:tcPr>
            <w:tcW w:w="866" w:type="pct"/>
            <w:vMerge w:val="continue"/>
            <w:vAlign w:val="center"/>
          </w:tcPr>
          <w:p>
            <w:pPr>
              <w:pStyle w:val="136"/>
            </w:pPr>
          </w:p>
        </w:tc>
        <w:tc>
          <w:tcPr>
            <w:tcW w:w="643" w:type="pct"/>
            <w:vMerge w:val="continue"/>
            <w:vAlign w:val="center"/>
          </w:tcPr>
          <w:p>
            <w:pPr>
              <w:pStyle w:val="136"/>
            </w:pPr>
          </w:p>
        </w:tc>
        <w:tc>
          <w:tcPr>
            <w:tcW w:w="1083" w:type="pct"/>
            <w:vAlign w:val="center"/>
          </w:tcPr>
          <w:p>
            <w:pPr>
              <w:pStyle w:val="136"/>
            </w:pPr>
            <w:r>
              <w:t>移动式4LW-20/8</w:t>
            </w:r>
          </w:p>
        </w:tc>
        <w:tc>
          <w:tcPr>
            <w:tcW w:w="427" w:type="pct"/>
            <w:vAlign w:val="center"/>
          </w:tcPr>
          <w:p>
            <w:pPr>
              <w:pStyle w:val="136"/>
            </w:pPr>
            <w:r>
              <w:t>1</w:t>
            </w:r>
          </w:p>
        </w:tc>
        <w:tc>
          <w:tcPr>
            <w:tcW w:w="450" w:type="pct"/>
            <w:vAlign w:val="center"/>
          </w:tcPr>
          <w:p>
            <w:pPr>
              <w:pStyle w:val="136"/>
            </w:pPr>
            <w:r>
              <w:t>132</w:t>
            </w:r>
          </w:p>
        </w:tc>
        <w:tc>
          <w:tcPr>
            <w:tcW w:w="698" w:type="pct"/>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vMerge w:val="restart"/>
            <w:vAlign w:val="center"/>
          </w:tcPr>
          <w:p>
            <w:pPr>
              <w:pStyle w:val="136"/>
            </w:pPr>
            <w:r>
              <w:t>5</w:t>
            </w:r>
          </w:p>
        </w:tc>
        <w:tc>
          <w:tcPr>
            <w:tcW w:w="609" w:type="pct"/>
            <w:vMerge w:val="restart"/>
            <w:vAlign w:val="center"/>
          </w:tcPr>
          <w:p>
            <w:pPr>
              <w:pStyle w:val="136"/>
            </w:pPr>
            <w:r>
              <w:t>5号风站</w:t>
            </w:r>
          </w:p>
        </w:tc>
        <w:tc>
          <w:tcPr>
            <w:tcW w:w="866" w:type="pct"/>
            <w:vMerge w:val="restart"/>
            <w:vAlign w:val="center"/>
          </w:tcPr>
          <w:p>
            <w:pPr>
              <w:pStyle w:val="136"/>
            </w:pPr>
            <w:r>
              <w:t>上坝道路</w:t>
            </w:r>
          </w:p>
        </w:tc>
        <w:tc>
          <w:tcPr>
            <w:tcW w:w="643" w:type="pct"/>
            <w:vMerge w:val="restart"/>
            <w:vAlign w:val="center"/>
          </w:tcPr>
          <w:p>
            <w:pPr>
              <w:pStyle w:val="136"/>
            </w:pPr>
            <w:r>
              <w:t>34</w:t>
            </w:r>
          </w:p>
        </w:tc>
        <w:tc>
          <w:tcPr>
            <w:tcW w:w="1083" w:type="pct"/>
            <w:vAlign w:val="center"/>
          </w:tcPr>
          <w:p>
            <w:pPr>
              <w:pStyle w:val="136"/>
            </w:pPr>
            <w:r>
              <w:t>移动式3LW-10/8</w:t>
            </w:r>
          </w:p>
        </w:tc>
        <w:tc>
          <w:tcPr>
            <w:tcW w:w="427" w:type="pct"/>
            <w:vAlign w:val="center"/>
          </w:tcPr>
          <w:p>
            <w:pPr>
              <w:pStyle w:val="136"/>
            </w:pPr>
            <w:r>
              <w:t>2</w:t>
            </w:r>
          </w:p>
        </w:tc>
        <w:tc>
          <w:tcPr>
            <w:tcW w:w="450" w:type="pct"/>
            <w:vAlign w:val="center"/>
          </w:tcPr>
          <w:p>
            <w:pPr>
              <w:pStyle w:val="136"/>
            </w:pPr>
            <w:r>
              <w:t>65</w:t>
            </w:r>
          </w:p>
        </w:tc>
        <w:tc>
          <w:tcPr>
            <w:tcW w:w="698" w:type="pct"/>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24" w:type="pct"/>
            <w:vMerge w:val="continue"/>
            <w:vAlign w:val="center"/>
          </w:tcPr>
          <w:p>
            <w:pPr>
              <w:pStyle w:val="136"/>
            </w:pPr>
          </w:p>
        </w:tc>
        <w:tc>
          <w:tcPr>
            <w:tcW w:w="609" w:type="pct"/>
            <w:vMerge w:val="continue"/>
            <w:vAlign w:val="center"/>
          </w:tcPr>
          <w:p>
            <w:pPr>
              <w:pStyle w:val="136"/>
            </w:pPr>
          </w:p>
        </w:tc>
        <w:tc>
          <w:tcPr>
            <w:tcW w:w="866" w:type="pct"/>
            <w:vMerge w:val="continue"/>
            <w:vAlign w:val="center"/>
          </w:tcPr>
          <w:p>
            <w:pPr>
              <w:pStyle w:val="136"/>
            </w:pPr>
          </w:p>
        </w:tc>
        <w:tc>
          <w:tcPr>
            <w:tcW w:w="643" w:type="pct"/>
            <w:vMerge w:val="continue"/>
            <w:vAlign w:val="center"/>
          </w:tcPr>
          <w:p>
            <w:pPr>
              <w:pStyle w:val="136"/>
            </w:pPr>
          </w:p>
        </w:tc>
        <w:tc>
          <w:tcPr>
            <w:tcW w:w="1083" w:type="pct"/>
            <w:vAlign w:val="center"/>
          </w:tcPr>
          <w:p>
            <w:pPr>
              <w:pStyle w:val="136"/>
            </w:pPr>
            <w:r>
              <w:t>移动式4LW-20/8</w:t>
            </w:r>
          </w:p>
        </w:tc>
        <w:tc>
          <w:tcPr>
            <w:tcW w:w="427" w:type="pct"/>
            <w:vAlign w:val="center"/>
          </w:tcPr>
          <w:p>
            <w:pPr>
              <w:pStyle w:val="136"/>
            </w:pPr>
            <w:r>
              <w:t>1</w:t>
            </w:r>
          </w:p>
        </w:tc>
        <w:tc>
          <w:tcPr>
            <w:tcW w:w="450" w:type="pct"/>
            <w:vAlign w:val="center"/>
          </w:tcPr>
          <w:p>
            <w:pPr>
              <w:pStyle w:val="136"/>
            </w:pPr>
            <w:r>
              <w:t>132</w:t>
            </w:r>
          </w:p>
        </w:tc>
        <w:tc>
          <w:tcPr>
            <w:tcW w:w="698" w:type="pct"/>
            <w:vAlign w:val="center"/>
          </w:tcPr>
          <w:p>
            <w:pPr>
              <w:pStyle w:val="136"/>
            </w:pPr>
            <w:r>
              <w:t>20</w:t>
            </w:r>
          </w:p>
        </w:tc>
      </w:tr>
    </w:tbl>
    <w:p>
      <w:pPr>
        <w:ind w:firstLine="480"/>
        <w:rPr>
          <w:rFonts w:cs="Times New Roman"/>
        </w:rPr>
      </w:pPr>
    </w:p>
    <w:p>
      <w:pPr>
        <w:ind w:firstLine="480"/>
        <w:rPr>
          <w:rFonts w:cs="Times New Roman"/>
        </w:rPr>
      </w:pPr>
      <w:r>
        <w:rPr>
          <w:rFonts w:cs="Times New Roman"/>
        </w:rPr>
        <w:t>（3）施工通信</w:t>
      </w:r>
    </w:p>
    <w:p>
      <w:pPr>
        <w:ind w:firstLine="480"/>
        <w:rPr>
          <w:rFonts w:cs="Times New Roman"/>
        </w:rPr>
      </w:pPr>
      <w:r>
        <w:rPr>
          <w:rFonts w:cs="Times New Roman"/>
        </w:rPr>
        <w:t>工程区出山口后有移动信号，坝址区无移动信号，施工期坝址处通讯采用无线卫星通讯设备，或可与移动公司和联通公司联系加设基站，以满足施工期对外通讯需求。</w:t>
      </w:r>
    </w:p>
    <w:p>
      <w:pPr>
        <w:pStyle w:val="4"/>
        <w:rPr>
          <w:rFonts w:cs="Times New Roman"/>
        </w:rPr>
      </w:pPr>
      <w:r>
        <w:rPr>
          <w:rFonts w:cs="Times New Roman"/>
        </w:rPr>
        <w:t>2.4.4 施工布置方案</w:t>
      </w:r>
    </w:p>
    <w:p>
      <w:pPr>
        <w:ind w:firstLine="480"/>
        <w:rPr>
          <w:rFonts w:cs="Times New Roman"/>
        </w:rPr>
      </w:pPr>
      <w:r>
        <w:rPr>
          <w:rFonts w:cs="Times New Roman"/>
        </w:rPr>
        <w:t>工程施工布置本着有利生产、方便生活、易于管理、符合环保的原则，施工临建设施结合永久工程统一规划，采用永久与临时结合、前期与后期结合的方式，避免重复建设；施工期生产、生活设施集中布置，便于管理和协调，并减少施工占地；合理利用开挖土石方，做好可利用料场和弃渣场规划，减少弃料影响。</w:t>
      </w:r>
    </w:p>
    <w:p>
      <w:pPr>
        <w:ind w:firstLine="480"/>
        <w:rPr>
          <w:rFonts w:cs="Times New Roman"/>
        </w:rPr>
      </w:pPr>
      <w:r>
        <w:rPr>
          <w:rFonts w:cs="Times New Roman"/>
        </w:rPr>
        <w:t>本工程结合枢纽区建筑布置及所处河段地形条件，天然建筑材料分布、风水电供应方式和施工特点，施工布置划分为6个区：一区为主体工程施工区、二区为施工工厂区、三区为仓库、油库等储运系统区、四区施工管理及生产生活区、五区为弃料及利用料堆放区。施工风、水、电供应，交通道路围绕上述分区布置。</w:t>
      </w:r>
    </w:p>
    <w:p>
      <w:pPr>
        <w:ind w:firstLine="480"/>
        <w:rPr>
          <w:rFonts w:cs="Times New Roman"/>
        </w:rPr>
      </w:pPr>
      <w:r>
        <w:rPr>
          <w:rFonts w:cs="Times New Roman"/>
        </w:rPr>
        <w:t>（1）主体工程施工区</w:t>
      </w:r>
    </w:p>
    <w:p>
      <w:pPr>
        <w:ind w:firstLine="480"/>
        <w:rPr>
          <w:rFonts w:cs="Times New Roman"/>
        </w:rPr>
      </w:pPr>
      <w:r>
        <w:rPr>
          <w:rFonts w:cs="Times New Roman"/>
        </w:rPr>
        <w:t>本工程主要建筑物布置较为集中，坝址区施工区可分左岸施工区、右岸施工区和河床施工区。河床左岸施工区：本施工区主要为左坝肩基础处理、上坝道路施工、导流洞施工场地。河床右岸施工区：本施工区主要为右坝肩基础处理施工场地。河床施工区：本施工区主要为大坝河床段基础处理及坝体浇筑施工场地。</w:t>
      </w:r>
    </w:p>
    <w:p>
      <w:pPr>
        <w:ind w:firstLine="480"/>
        <w:rPr>
          <w:rFonts w:cs="Times New Roman"/>
        </w:rPr>
      </w:pPr>
      <w:r>
        <w:rPr>
          <w:rFonts w:cs="Times New Roman"/>
        </w:rPr>
        <w:t>（2）施工工厂区</w:t>
      </w:r>
    </w:p>
    <w:p>
      <w:pPr>
        <w:ind w:firstLine="480"/>
        <w:rPr>
          <w:rFonts w:cs="Times New Roman"/>
        </w:rPr>
      </w:pPr>
      <w:r>
        <w:rPr>
          <w:rFonts w:cs="Times New Roman"/>
        </w:rPr>
        <w:t>本工程施工工厂设施集中布置在左岸L1施工道路沿线，主要布置如下：坝址下游1km左岸Ⅰ级阶地处依次布置机械修配停放场、砼拌和系统、砂石加工系统。坝址下游1km左岸Ⅱ级阶地处依次布置综合加工厂。</w:t>
      </w:r>
    </w:p>
    <w:p>
      <w:pPr>
        <w:ind w:firstLine="480"/>
        <w:rPr>
          <w:rFonts w:cs="Times New Roman"/>
        </w:rPr>
      </w:pPr>
      <w:r>
        <w:rPr>
          <w:rFonts w:cs="Times New Roman"/>
        </w:rPr>
        <w:t>砼拌和系统</w:t>
      </w:r>
    </w:p>
    <w:p>
      <w:pPr>
        <w:ind w:firstLine="480"/>
        <w:rPr>
          <w:rFonts w:cs="Times New Roman"/>
        </w:rPr>
      </w:pPr>
      <w:r>
        <w:rPr>
          <w:rFonts w:cs="Times New Roman"/>
        </w:rPr>
        <w:t>本工程常态混凝土拌和系统位于坝址下游约0.75km左岸I级阶地处，承担大坝、导流洞、闸井等全部的混凝土生产任务。共设2套强制式混凝土拌合站，混凝土总量约16.34万m</w:t>
      </w:r>
      <w:r>
        <w:rPr>
          <w:rFonts w:cs="Times New Roman"/>
          <w:vertAlign w:val="superscript"/>
        </w:rPr>
        <w:t>3</w:t>
      </w:r>
      <w:r>
        <w:rPr>
          <w:rFonts w:cs="Times New Roman"/>
        </w:rPr>
        <w:t>，主要以三级配和二级配混凝土为主。常态混凝土拌和系统特性见表2.4-6。</w:t>
      </w:r>
    </w:p>
    <w:p>
      <w:pPr>
        <w:pStyle w:val="137"/>
        <w:spacing w:before="48"/>
      </w:pPr>
      <w:r>
        <w:t>表2.4-6                  常态混凝土拌和系统特性表</w:t>
      </w:r>
    </w:p>
    <w:tbl>
      <w:tblPr>
        <w:tblStyle w:val="40"/>
        <w:tblW w:w="508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6"/>
        <w:gridCol w:w="996"/>
        <w:gridCol w:w="1283"/>
        <w:gridCol w:w="853"/>
        <w:gridCol w:w="1139"/>
        <w:gridCol w:w="762"/>
        <w:gridCol w:w="762"/>
        <w:gridCol w:w="686"/>
        <w:gridCol w:w="717"/>
        <w:gridCol w:w="1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30" w:type="pct"/>
          </w:tcPr>
          <w:p>
            <w:pPr>
              <w:pStyle w:val="136"/>
            </w:pPr>
            <w:r>
              <w:t>序号</w:t>
            </w:r>
          </w:p>
        </w:tc>
        <w:tc>
          <w:tcPr>
            <w:tcW w:w="550" w:type="pct"/>
            <w:tcMar>
              <w:left w:w="0" w:type="dxa"/>
              <w:right w:w="0" w:type="dxa"/>
            </w:tcMar>
            <w:vAlign w:val="center"/>
          </w:tcPr>
          <w:p>
            <w:pPr>
              <w:pStyle w:val="136"/>
            </w:pPr>
            <w:r>
              <w:t>名称</w:t>
            </w:r>
          </w:p>
        </w:tc>
        <w:tc>
          <w:tcPr>
            <w:tcW w:w="709" w:type="pct"/>
            <w:vAlign w:val="center"/>
          </w:tcPr>
          <w:p>
            <w:pPr>
              <w:pStyle w:val="136"/>
            </w:pPr>
            <w:r>
              <w:t>位置</w:t>
            </w:r>
          </w:p>
        </w:tc>
        <w:tc>
          <w:tcPr>
            <w:tcW w:w="471" w:type="pct"/>
            <w:tcBorders>
              <w:bottom w:val="single" w:color="auto" w:sz="4" w:space="0"/>
            </w:tcBorders>
            <w:tcMar>
              <w:left w:w="0" w:type="dxa"/>
              <w:right w:w="0" w:type="dxa"/>
            </w:tcMar>
            <w:vAlign w:val="center"/>
          </w:tcPr>
          <w:p>
            <w:pPr>
              <w:pStyle w:val="136"/>
            </w:pPr>
            <w:r>
              <w:t>占地面积（m</w:t>
            </w:r>
            <w:r>
              <w:rPr>
                <w:vertAlign w:val="superscript"/>
              </w:rPr>
              <w:t>2</w:t>
            </w:r>
            <w:r>
              <w:t>）</w:t>
            </w:r>
          </w:p>
        </w:tc>
        <w:tc>
          <w:tcPr>
            <w:tcW w:w="629" w:type="pct"/>
            <w:tcMar>
              <w:left w:w="0" w:type="dxa"/>
              <w:right w:w="0" w:type="dxa"/>
            </w:tcMar>
            <w:vAlign w:val="center"/>
          </w:tcPr>
          <w:p>
            <w:pPr>
              <w:pStyle w:val="136"/>
              <w:jc w:val="both"/>
            </w:pPr>
            <w:r>
              <w:t>高峰浇筑强度（万m</w:t>
            </w:r>
            <w:r>
              <w:rPr>
                <w:vertAlign w:val="superscript"/>
              </w:rPr>
              <w:t>3</w:t>
            </w:r>
            <w:r>
              <w:t>/月）</w:t>
            </w:r>
          </w:p>
        </w:tc>
        <w:tc>
          <w:tcPr>
            <w:tcW w:w="421" w:type="pct"/>
            <w:tcMar>
              <w:left w:w="0" w:type="dxa"/>
              <w:right w:w="0" w:type="dxa"/>
            </w:tcMar>
            <w:vAlign w:val="center"/>
          </w:tcPr>
          <w:p>
            <w:pPr>
              <w:pStyle w:val="136"/>
              <w:jc w:val="both"/>
            </w:pPr>
            <w:r>
              <w:t>生产能力（m</w:t>
            </w:r>
            <w:r>
              <w:rPr>
                <w:vertAlign w:val="superscript"/>
              </w:rPr>
              <w:t>3</w:t>
            </w:r>
            <w:r>
              <w:t>/h）</w:t>
            </w:r>
          </w:p>
        </w:tc>
        <w:tc>
          <w:tcPr>
            <w:tcW w:w="421" w:type="pct"/>
            <w:tcMar>
              <w:left w:w="0" w:type="dxa"/>
              <w:right w:w="0" w:type="dxa"/>
            </w:tcMar>
            <w:vAlign w:val="center"/>
          </w:tcPr>
          <w:p>
            <w:pPr>
              <w:pStyle w:val="136"/>
              <w:jc w:val="both"/>
            </w:pPr>
            <w:r>
              <w:t>用水量（m</w:t>
            </w:r>
            <w:r>
              <w:rPr>
                <w:vertAlign w:val="superscript"/>
              </w:rPr>
              <w:t>3</w:t>
            </w:r>
            <w:r>
              <w:t>/h）</w:t>
            </w:r>
          </w:p>
        </w:tc>
        <w:tc>
          <w:tcPr>
            <w:tcW w:w="379" w:type="pct"/>
            <w:tcMar>
              <w:left w:w="0" w:type="dxa"/>
              <w:right w:w="0" w:type="dxa"/>
            </w:tcMar>
            <w:vAlign w:val="center"/>
          </w:tcPr>
          <w:p>
            <w:pPr>
              <w:pStyle w:val="136"/>
              <w:jc w:val="both"/>
            </w:pPr>
            <w:r>
              <w:t>生产班制（h/d）</w:t>
            </w:r>
          </w:p>
        </w:tc>
        <w:tc>
          <w:tcPr>
            <w:tcW w:w="396" w:type="pct"/>
            <w:vAlign w:val="center"/>
          </w:tcPr>
          <w:p>
            <w:pPr>
              <w:pStyle w:val="136"/>
              <w:jc w:val="both"/>
            </w:pPr>
            <w:r>
              <w:t>占地类型</w:t>
            </w:r>
          </w:p>
        </w:tc>
        <w:tc>
          <w:tcPr>
            <w:tcW w:w="794" w:type="pct"/>
            <w:tcMar>
              <w:left w:w="0" w:type="dxa"/>
              <w:right w:w="0" w:type="dxa"/>
            </w:tcMar>
            <w:vAlign w:val="center"/>
          </w:tcPr>
          <w:p>
            <w:pPr>
              <w:pStyle w:val="136"/>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30" w:type="pct"/>
          </w:tcPr>
          <w:p>
            <w:pPr>
              <w:pStyle w:val="136"/>
            </w:pPr>
            <w:r>
              <w:t>1</w:t>
            </w:r>
          </w:p>
        </w:tc>
        <w:tc>
          <w:tcPr>
            <w:tcW w:w="550" w:type="pct"/>
            <w:tcMar>
              <w:left w:w="0" w:type="dxa"/>
              <w:right w:w="0" w:type="dxa"/>
            </w:tcMar>
            <w:vAlign w:val="center"/>
          </w:tcPr>
          <w:p>
            <w:pPr>
              <w:pStyle w:val="136"/>
            </w:pPr>
            <w:r>
              <w:t>1号拌合站HZS90</w:t>
            </w:r>
          </w:p>
        </w:tc>
        <w:tc>
          <w:tcPr>
            <w:tcW w:w="709" w:type="pct"/>
            <w:vMerge w:val="restart"/>
            <w:vAlign w:val="center"/>
          </w:tcPr>
          <w:p>
            <w:pPr>
              <w:pStyle w:val="136"/>
              <w:jc w:val="both"/>
            </w:pPr>
            <w:r>
              <w:t>坝址下游约0.75km左岸I级阶地</w:t>
            </w:r>
          </w:p>
        </w:tc>
        <w:tc>
          <w:tcPr>
            <w:tcW w:w="471" w:type="pct"/>
            <w:tcMar>
              <w:left w:w="0" w:type="dxa"/>
              <w:right w:w="0" w:type="dxa"/>
            </w:tcMar>
            <w:vAlign w:val="center"/>
          </w:tcPr>
          <w:p>
            <w:pPr>
              <w:pStyle w:val="136"/>
            </w:pPr>
            <w:r>
              <w:t>5000</w:t>
            </w:r>
          </w:p>
        </w:tc>
        <w:tc>
          <w:tcPr>
            <w:tcW w:w="629" w:type="pct"/>
            <w:vMerge w:val="restart"/>
            <w:tcMar>
              <w:left w:w="0" w:type="dxa"/>
              <w:right w:w="0" w:type="dxa"/>
            </w:tcMar>
            <w:vAlign w:val="center"/>
          </w:tcPr>
          <w:p>
            <w:pPr>
              <w:pStyle w:val="136"/>
            </w:pPr>
            <w:r>
              <w:t>2.9</w:t>
            </w:r>
          </w:p>
        </w:tc>
        <w:tc>
          <w:tcPr>
            <w:tcW w:w="421" w:type="pct"/>
            <w:tcMar>
              <w:left w:w="0" w:type="dxa"/>
              <w:right w:w="0" w:type="dxa"/>
            </w:tcMar>
            <w:vAlign w:val="center"/>
          </w:tcPr>
          <w:p>
            <w:pPr>
              <w:pStyle w:val="136"/>
            </w:pPr>
            <w:r>
              <w:t>90</w:t>
            </w:r>
          </w:p>
        </w:tc>
        <w:tc>
          <w:tcPr>
            <w:tcW w:w="421" w:type="pct"/>
            <w:tcMar>
              <w:left w:w="0" w:type="dxa"/>
              <w:right w:w="0" w:type="dxa"/>
            </w:tcMar>
            <w:vAlign w:val="center"/>
          </w:tcPr>
          <w:p>
            <w:pPr>
              <w:pStyle w:val="136"/>
            </w:pPr>
            <w:r>
              <w:t>50</w:t>
            </w:r>
          </w:p>
        </w:tc>
        <w:tc>
          <w:tcPr>
            <w:tcW w:w="379" w:type="pct"/>
            <w:tcMar>
              <w:left w:w="0" w:type="dxa"/>
              <w:right w:w="0" w:type="dxa"/>
            </w:tcMar>
            <w:vAlign w:val="center"/>
          </w:tcPr>
          <w:p>
            <w:pPr>
              <w:pStyle w:val="136"/>
            </w:pPr>
            <w:r>
              <w:t>20</w:t>
            </w:r>
          </w:p>
        </w:tc>
        <w:tc>
          <w:tcPr>
            <w:tcW w:w="396" w:type="pct"/>
            <w:vMerge w:val="restart"/>
            <w:vAlign w:val="center"/>
          </w:tcPr>
          <w:p>
            <w:pPr>
              <w:pStyle w:val="136"/>
            </w:pPr>
            <w:r>
              <w:t>荒漠草场</w:t>
            </w:r>
          </w:p>
        </w:tc>
        <w:tc>
          <w:tcPr>
            <w:tcW w:w="794" w:type="pct"/>
            <w:vMerge w:val="restart"/>
            <w:tcMar>
              <w:left w:w="0" w:type="dxa"/>
              <w:right w:w="0" w:type="dxa"/>
            </w:tcMar>
            <w:vAlign w:val="center"/>
          </w:tcPr>
          <w:p>
            <w:pPr>
              <w:pStyle w:val="136"/>
            </w:pPr>
            <w:r>
              <w:t>距河道左岸岸边约105m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30" w:type="pct"/>
          </w:tcPr>
          <w:p>
            <w:pPr>
              <w:pStyle w:val="136"/>
            </w:pPr>
            <w:r>
              <w:t>2</w:t>
            </w:r>
          </w:p>
        </w:tc>
        <w:tc>
          <w:tcPr>
            <w:tcW w:w="550" w:type="pct"/>
            <w:tcMar>
              <w:left w:w="0" w:type="dxa"/>
              <w:right w:w="0" w:type="dxa"/>
            </w:tcMar>
            <w:vAlign w:val="center"/>
          </w:tcPr>
          <w:p>
            <w:pPr>
              <w:pStyle w:val="136"/>
            </w:pPr>
            <w:r>
              <w:t>2号拌合站HZS90</w:t>
            </w:r>
          </w:p>
        </w:tc>
        <w:tc>
          <w:tcPr>
            <w:tcW w:w="709" w:type="pct"/>
            <w:vMerge w:val="continue"/>
          </w:tcPr>
          <w:p>
            <w:pPr>
              <w:pStyle w:val="136"/>
            </w:pPr>
          </w:p>
        </w:tc>
        <w:tc>
          <w:tcPr>
            <w:tcW w:w="471" w:type="pct"/>
            <w:tcMar>
              <w:left w:w="0" w:type="dxa"/>
              <w:right w:w="0" w:type="dxa"/>
            </w:tcMar>
            <w:vAlign w:val="center"/>
          </w:tcPr>
          <w:p>
            <w:pPr>
              <w:pStyle w:val="136"/>
            </w:pPr>
            <w:r>
              <w:t>5000</w:t>
            </w:r>
          </w:p>
        </w:tc>
        <w:tc>
          <w:tcPr>
            <w:tcW w:w="629" w:type="pct"/>
            <w:vMerge w:val="continue"/>
            <w:tcMar>
              <w:left w:w="0" w:type="dxa"/>
              <w:right w:w="0" w:type="dxa"/>
            </w:tcMar>
            <w:vAlign w:val="center"/>
          </w:tcPr>
          <w:p>
            <w:pPr>
              <w:pStyle w:val="136"/>
            </w:pPr>
          </w:p>
        </w:tc>
        <w:tc>
          <w:tcPr>
            <w:tcW w:w="421" w:type="pct"/>
            <w:tcMar>
              <w:left w:w="0" w:type="dxa"/>
              <w:right w:w="0" w:type="dxa"/>
            </w:tcMar>
            <w:vAlign w:val="center"/>
          </w:tcPr>
          <w:p>
            <w:pPr>
              <w:pStyle w:val="136"/>
            </w:pPr>
            <w:r>
              <w:t>90</w:t>
            </w:r>
          </w:p>
        </w:tc>
        <w:tc>
          <w:tcPr>
            <w:tcW w:w="421" w:type="pct"/>
            <w:tcMar>
              <w:left w:w="0" w:type="dxa"/>
              <w:right w:w="0" w:type="dxa"/>
            </w:tcMar>
            <w:vAlign w:val="center"/>
          </w:tcPr>
          <w:p>
            <w:pPr>
              <w:pStyle w:val="136"/>
            </w:pPr>
            <w:r>
              <w:t>50</w:t>
            </w:r>
          </w:p>
        </w:tc>
        <w:tc>
          <w:tcPr>
            <w:tcW w:w="379" w:type="pct"/>
            <w:tcMar>
              <w:left w:w="0" w:type="dxa"/>
              <w:right w:w="0" w:type="dxa"/>
            </w:tcMar>
            <w:vAlign w:val="center"/>
          </w:tcPr>
          <w:p>
            <w:pPr>
              <w:pStyle w:val="136"/>
            </w:pPr>
            <w:r>
              <w:t>20</w:t>
            </w:r>
          </w:p>
        </w:tc>
        <w:tc>
          <w:tcPr>
            <w:tcW w:w="396" w:type="pct"/>
            <w:vMerge w:val="continue"/>
            <w:vAlign w:val="center"/>
          </w:tcPr>
          <w:p>
            <w:pPr>
              <w:pStyle w:val="136"/>
            </w:pPr>
          </w:p>
        </w:tc>
        <w:tc>
          <w:tcPr>
            <w:tcW w:w="794" w:type="pct"/>
            <w:vMerge w:val="continue"/>
            <w:tcMar>
              <w:left w:w="0" w:type="dxa"/>
              <w:right w:w="0" w:type="dxa"/>
            </w:tcMar>
            <w:vAlign w:val="center"/>
          </w:tcPr>
          <w:p>
            <w:pPr>
              <w:pStyle w:val="13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489" w:type="pct"/>
            <w:gridSpan w:val="3"/>
          </w:tcPr>
          <w:p>
            <w:pPr>
              <w:pStyle w:val="136"/>
            </w:pPr>
            <w:r>
              <w:t>合计</w:t>
            </w:r>
          </w:p>
        </w:tc>
        <w:tc>
          <w:tcPr>
            <w:tcW w:w="471" w:type="pct"/>
            <w:tcMar>
              <w:left w:w="0" w:type="dxa"/>
              <w:right w:w="0" w:type="dxa"/>
            </w:tcMar>
            <w:vAlign w:val="center"/>
          </w:tcPr>
          <w:p>
            <w:pPr>
              <w:pStyle w:val="136"/>
            </w:pPr>
            <w:r>
              <w:t>10000</w:t>
            </w:r>
          </w:p>
        </w:tc>
        <w:tc>
          <w:tcPr>
            <w:tcW w:w="629" w:type="pct"/>
            <w:tcMar>
              <w:left w:w="0" w:type="dxa"/>
              <w:right w:w="0" w:type="dxa"/>
            </w:tcMar>
            <w:vAlign w:val="center"/>
          </w:tcPr>
          <w:p>
            <w:pPr>
              <w:pStyle w:val="136"/>
            </w:pPr>
          </w:p>
        </w:tc>
        <w:tc>
          <w:tcPr>
            <w:tcW w:w="421" w:type="pct"/>
            <w:tcMar>
              <w:left w:w="0" w:type="dxa"/>
              <w:right w:w="0" w:type="dxa"/>
            </w:tcMar>
            <w:vAlign w:val="center"/>
          </w:tcPr>
          <w:p>
            <w:pPr>
              <w:pStyle w:val="136"/>
            </w:pPr>
            <w:r>
              <w:t>180</w:t>
            </w:r>
          </w:p>
        </w:tc>
        <w:tc>
          <w:tcPr>
            <w:tcW w:w="421" w:type="pct"/>
            <w:tcMar>
              <w:left w:w="0" w:type="dxa"/>
              <w:right w:w="0" w:type="dxa"/>
            </w:tcMar>
            <w:vAlign w:val="center"/>
          </w:tcPr>
          <w:p>
            <w:pPr>
              <w:pStyle w:val="136"/>
            </w:pPr>
            <w:r>
              <w:t>100</w:t>
            </w:r>
          </w:p>
        </w:tc>
        <w:tc>
          <w:tcPr>
            <w:tcW w:w="379" w:type="pct"/>
            <w:tcMar>
              <w:left w:w="0" w:type="dxa"/>
              <w:right w:w="0" w:type="dxa"/>
            </w:tcMar>
            <w:vAlign w:val="center"/>
          </w:tcPr>
          <w:p>
            <w:pPr>
              <w:pStyle w:val="136"/>
            </w:pPr>
            <w:r>
              <w:t>20</w:t>
            </w:r>
          </w:p>
        </w:tc>
        <w:tc>
          <w:tcPr>
            <w:tcW w:w="396" w:type="pct"/>
            <w:vAlign w:val="center"/>
          </w:tcPr>
          <w:p>
            <w:pPr>
              <w:pStyle w:val="136"/>
            </w:pPr>
          </w:p>
        </w:tc>
        <w:tc>
          <w:tcPr>
            <w:tcW w:w="794" w:type="pct"/>
            <w:tcMar>
              <w:left w:w="0" w:type="dxa"/>
              <w:right w:w="0" w:type="dxa"/>
            </w:tcMar>
            <w:vAlign w:val="center"/>
          </w:tcPr>
          <w:p>
            <w:pPr>
              <w:pStyle w:val="136"/>
            </w:pPr>
          </w:p>
        </w:tc>
      </w:tr>
    </w:tbl>
    <w:p>
      <w:pPr>
        <w:ind w:firstLine="480"/>
        <w:rPr>
          <w:rFonts w:cs="Times New Roman"/>
        </w:rPr>
      </w:pPr>
    </w:p>
    <w:p>
      <w:pPr>
        <w:ind w:firstLine="480"/>
        <w:rPr>
          <w:rFonts w:cs="Times New Roman"/>
        </w:rPr>
      </w:pPr>
      <w:r>
        <w:rPr>
          <w:rFonts w:cs="Times New Roman"/>
        </w:rPr>
        <w:t>砂石加工系统</w:t>
      </w:r>
    </w:p>
    <w:p>
      <w:pPr>
        <w:ind w:firstLine="480"/>
        <w:rPr>
          <w:rFonts w:cs="Times New Roman"/>
        </w:rPr>
      </w:pPr>
      <w:r>
        <w:rPr>
          <w:rFonts w:cs="Times New Roman"/>
        </w:rPr>
        <w:t>本工程碾压混凝土总量约11.86万m</w:t>
      </w:r>
      <w:r>
        <w:rPr>
          <w:rFonts w:cs="Times New Roman"/>
          <w:vertAlign w:val="superscript"/>
        </w:rPr>
        <w:t>3</w:t>
      </w:r>
      <w:r>
        <w:rPr>
          <w:rFonts w:cs="Times New Roman"/>
        </w:rPr>
        <w:t>，成品混凝土砂石骨料需要量为36.03万t，其中砾石24.33万t，砂11.70万t。砂石料加工系统布置在本工程坝址下游左岸约0.85km的Ⅰ级阶地上，地形平坦。砂石料加工系统主要特性见表2.4-7。</w:t>
      </w:r>
    </w:p>
    <w:p>
      <w:pPr>
        <w:pStyle w:val="137"/>
        <w:spacing w:before="48"/>
      </w:pPr>
      <w:r>
        <w:t>表2.4-7                    砂石料加工系统特性表</w:t>
      </w:r>
    </w:p>
    <w:tbl>
      <w:tblPr>
        <w:tblStyle w:val="40"/>
        <w:tblW w:w="508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9"/>
        <w:gridCol w:w="1053"/>
        <w:gridCol w:w="1056"/>
        <w:gridCol w:w="1056"/>
        <w:gridCol w:w="1054"/>
        <w:gridCol w:w="1056"/>
        <w:gridCol w:w="1056"/>
        <w:gridCol w:w="1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72" w:type="pct"/>
            <w:vAlign w:val="center"/>
          </w:tcPr>
          <w:p>
            <w:pPr>
              <w:pStyle w:val="136"/>
            </w:pPr>
            <w:r>
              <w:t>位置</w:t>
            </w:r>
          </w:p>
        </w:tc>
        <w:tc>
          <w:tcPr>
            <w:tcW w:w="589" w:type="pct"/>
            <w:vAlign w:val="center"/>
          </w:tcPr>
          <w:p>
            <w:pPr>
              <w:pStyle w:val="136"/>
            </w:pPr>
            <w:r>
              <w:t>占地面积（m</w:t>
            </w:r>
            <w:r>
              <w:rPr>
                <w:vertAlign w:val="superscript"/>
              </w:rPr>
              <w:t>2</w:t>
            </w:r>
            <w:r>
              <w:t>）</w:t>
            </w:r>
          </w:p>
        </w:tc>
        <w:tc>
          <w:tcPr>
            <w:tcW w:w="590" w:type="pct"/>
            <w:vAlign w:val="center"/>
          </w:tcPr>
          <w:p>
            <w:pPr>
              <w:pStyle w:val="136"/>
            </w:pPr>
            <w:r>
              <w:t>生产能力（t/h）</w:t>
            </w:r>
          </w:p>
        </w:tc>
        <w:tc>
          <w:tcPr>
            <w:tcW w:w="590" w:type="pct"/>
            <w:vAlign w:val="center"/>
          </w:tcPr>
          <w:p>
            <w:pPr>
              <w:pStyle w:val="136"/>
            </w:pPr>
            <w:r>
              <w:t>处理能力（t/h）</w:t>
            </w:r>
          </w:p>
        </w:tc>
        <w:tc>
          <w:tcPr>
            <w:tcW w:w="589" w:type="pct"/>
            <w:vAlign w:val="center"/>
          </w:tcPr>
          <w:p>
            <w:pPr>
              <w:pStyle w:val="136"/>
            </w:pPr>
            <w:r>
              <w:t>系统耗水量（m³/h）</w:t>
            </w:r>
          </w:p>
        </w:tc>
        <w:tc>
          <w:tcPr>
            <w:tcW w:w="590" w:type="pct"/>
            <w:vAlign w:val="center"/>
          </w:tcPr>
          <w:p>
            <w:pPr>
              <w:pStyle w:val="136"/>
            </w:pPr>
            <w:r>
              <w:t>生产班制</w:t>
            </w:r>
          </w:p>
        </w:tc>
        <w:tc>
          <w:tcPr>
            <w:tcW w:w="590" w:type="pct"/>
            <w:vAlign w:val="center"/>
          </w:tcPr>
          <w:p>
            <w:pPr>
              <w:pStyle w:val="136"/>
            </w:pPr>
            <w:r>
              <w:t>占地类型</w:t>
            </w:r>
          </w:p>
        </w:tc>
        <w:tc>
          <w:tcPr>
            <w:tcW w:w="590" w:type="pct"/>
            <w:vAlign w:val="center"/>
          </w:tcPr>
          <w:p>
            <w:pPr>
              <w:pStyle w:val="136"/>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872" w:type="pct"/>
            <w:vAlign w:val="center"/>
          </w:tcPr>
          <w:p>
            <w:pPr>
              <w:pStyle w:val="136"/>
            </w:pPr>
            <w:r>
              <w:t>坝址下游约0.85km处左岸</w:t>
            </w:r>
          </w:p>
        </w:tc>
        <w:tc>
          <w:tcPr>
            <w:tcW w:w="589" w:type="pct"/>
            <w:vAlign w:val="center"/>
          </w:tcPr>
          <w:p>
            <w:pPr>
              <w:pStyle w:val="136"/>
            </w:pPr>
            <w:r>
              <w:t>800</w:t>
            </w:r>
          </w:p>
        </w:tc>
        <w:tc>
          <w:tcPr>
            <w:tcW w:w="590" w:type="pct"/>
            <w:vAlign w:val="center"/>
          </w:tcPr>
          <w:p>
            <w:pPr>
              <w:pStyle w:val="136"/>
            </w:pPr>
            <w:r>
              <w:t>180</w:t>
            </w:r>
          </w:p>
        </w:tc>
        <w:tc>
          <w:tcPr>
            <w:tcW w:w="590" w:type="pct"/>
            <w:vAlign w:val="center"/>
          </w:tcPr>
          <w:p>
            <w:pPr>
              <w:pStyle w:val="136"/>
            </w:pPr>
            <w:r>
              <w:t>180</w:t>
            </w:r>
          </w:p>
        </w:tc>
        <w:tc>
          <w:tcPr>
            <w:tcW w:w="589" w:type="pct"/>
            <w:vAlign w:val="center"/>
          </w:tcPr>
          <w:p>
            <w:pPr>
              <w:pStyle w:val="136"/>
            </w:pPr>
            <w:r>
              <w:t>30</w:t>
            </w:r>
          </w:p>
        </w:tc>
        <w:tc>
          <w:tcPr>
            <w:tcW w:w="590" w:type="pct"/>
            <w:vAlign w:val="center"/>
          </w:tcPr>
          <w:p>
            <w:pPr>
              <w:pStyle w:val="136"/>
            </w:pPr>
            <w:r>
              <w:t>2班/每班7小时</w:t>
            </w:r>
          </w:p>
        </w:tc>
        <w:tc>
          <w:tcPr>
            <w:tcW w:w="590" w:type="pct"/>
            <w:vAlign w:val="center"/>
          </w:tcPr>
          <w:p>
            <w:pPr>
              <w:pStyle w:val="136"/>
            </w:pPr>
            <w:r>
              <w:t>草地</w:t>
            </w:r>
          </w:p>
        </w:tc>
        <w:tc>
          <w:tcPr>
            <w:tcW w:w="590" w:type="pct"/>
            <w:vAlign w:val="center"/>
          </w:tcPr>
          <w:p>
            <w:pPr>
              <w:pStyle w:val="136"/>
            </w:pPr>
            <w:r>
              <w:t>距河道左岸约110m</w:t>
            </w:r>
          </w:p>
        </w:tc>
      </w:tr>
    </w:tbl>
    <w:p>
      <w:pPr>
        <w:ind w:firstLine="480"/>
        <w:rPr>
          <w:rFonts w:cs="Times New Roman"/>
        </w:rPr>
      </w:pPr>
    </w:p>
    <w:p>
      <w:pPr>
        <w:ind w:firstLine="480"/>
        <w:rPr>
          <w:rFonts w:cs="Times New Roman"/>
        </w:rPr>
      </w:pPr>
      <w:r>
        <w:rPr>
          <w:rFonts w:cs="Times New Roman"/>
        </w:rPr>
        <w:t>机械修配停放场</w:t>
      </w:r>
    </w:p>
    <w:p>
      <w:pPr>
        <w:ind w:firstLine="480"/>
        <w:rPr>
          <w:rFonts w:cs="Times New Roman"/>
        </w:rPr>
      </w:pPr>
      <w:r>
        <w:rPr>
          <w:rFonts w:cs="Times New Roman"/>
        </w:rPr>
        <w:t>本工程机械修配停放场布置在坝址下游0.65km左岸Ⅰ级阶地，地势相对平坦。其建筑面积为100m</w:t>
      </w:r>
      <w:r>
        <w:rPr>
          <w:rFonts w:cs="Times New Roman"/>
          <w:vertAlign w:val="superscript"/>
        </w:rPr>
        <w:t>2</w:t>
      </w:r>
      <w:r>
        <w:rPr>
          <w:rFonts w:cs="Times New Roman"/>
        </w:rPr>
        <w:t>，占地面积为1500m</w:t>
      </w:r>
      <w:r>
        <w:rPr>
          <w:rFonts w:cs="Times New Roman"/>
          <w:vertAlign w:val="superscript"/>
        </w:rPr>
        <w:t>2</w:t>
      </w:r>
      <w:r>
        <w:rPr>
          <w:rFonts w:cs="Times New Roman"/>
        </w:rPr>
        <w:t>。主要承担本工程施工机械（包括挖掘机、装载机、推土机、起重机、碾压机械、自卸汽车、载重汽车、钻孔及灌浆机械等）的停放、修理及施工机械的定期保养等。对于非施工高峰期暂时封存的施工机械，也在此处停放。工程施工期间工地只提供一般性小修及保养服务，中修及以上修配加工服务可由巴里坤县或哈密市提供。</w:t>
      </w:r>
    </w:p>
    <w:p>
      <w:pPr>
        <w:ind w:firstLine="480"/>
        <w:rPr>
          <w:rFonts w:cs="Times New Roman"/>
        </w:rPr>
      </w:pPr>
      <w:r>
        <w:rPr>
          <w:rFonts w:cs="Times New Roman"/>
        </w:rPr>
        <w:t>（3）仓库、油库等储运系统区</w:t>
      </w:r>
    </w:p>
    <w:p>
      <w:pPr>
        <w:ind w:firstLine="480"/>
        <w:rPr>
          <w:rFonts w:cs="Times New Roman"/>
        </w:rPr>
      </w:pPr>
      <w:r>
        <w:rPr>
          <w:rFonts w:cs="Times New Roman"/>
        </w:rPr>
        <w:t>仓库及综合加工厂</w:t>
      </w:r>
    </w:p>
    <w:p>
      <w:pPr>
        <w:ind w:firstLine="480"/>
        <w:rPr>
          <w:rFonts w:cs="Times New Roman"/>
        </w:rPr>
      </w:pPr>
      <w:r>
        <w:rPr>
          <w:rFonts w:cs="Times New Roman"/>
        </w:rPr>
        <w:t>本工程综合仓库与综合加工厂结合布置，其中综合仓库布置在坝址下游约0.85km左岸II级阶地处、综合加工厂布置在坝址下游约0.9km左岸II级阶地处，地形平缓，植物群落以荒漠草地为主。其中综合仓库占地面积为2500m</w:t>
      </w:r>
      <w:r>
        <w:rPr>
          <w:rFonts w:cs="Times New Roman"/>
          <w:vertAlign w:val="superscript"/>
        </w:rPr>
        <w:t>2</w:t>
      </w:r>
      <w:r>
        <w:rPr>
          <w:rFonts w:cs="Times New Roman"/>
        </w:rPr>
        <w:t>，综合加工厂占地面积3000m</w:t>
      </w:r>
      <w:r>
        <w:rPr>
          <w:rFonts w:cs="Times New Roman"/>
          <w:vertAlign w:val="superscript"/>
        </w:rPr>
        <w:t>2</w:t>
      </w:r>
      <w:r>
        <w:rPr>
          <w:rFonts w:cs="Times New Roman"/>
        </w:rPr>
        <w:t>。</w:t>
      </w:r>
    </w:p>
    <w:p>
      <w:pPr>
        <w:ind w:firstLine="480"/>
        <w:rPr>
          <w:rFonts w:cs="Times New Roman"/>
        </w:rPr>
      </w:pPr>
      <w:r>
        <w:rPr>
          <w:rFonts w:cs="Times New Roman"/>
        </w:rPr>
        <w:t>油库</w:t>
      </w:r>
    </w:p>
    <w:p>
      <w:pPr>
        <w:ind w:firstLine="480"/>
        <w:rPr>
          <w:rFonts w:cs="Times New Roman"/>
        </w:rPr>
      </w:pPr>
      <w:r>
        <w:rPr>
          <w:rFonts w:cs="Times New Roman"/>
        </w:rPr>
        <w:t>本工程油库位于坝址下游右岸L2施工道路旁，距坝址约0.62km，由专人看管。</w:t>
      </w:r>
    </w:p>
    <w:p>
      <w:pPr>
        <w:ind w:firstLine="480"/>
        <w:rPr>
          <w:rFonts w:cs="Times New Roman"/>
        </w:rPr>
      </w:pPr>
      <w:r>
        <w:rPr>
          <w:rFonts w:cs="Times New Roman"/>
        </w:rPr>
        <w:t>（4）施工管理及生产生活区</w:t>
      </w:r>
    </w:p>
    <w:p>
      <w:pPr>
        <w:ind w:firstLine="480"/>
        <w:rPr>
          <w:rFonts w:cs="Times New Roman"/>
        </w:rPr>
      </w:pPr>
      <w:r>
        <w:rPr>
          <w:rFonts w:cs="Times New Roman"/>
        </w:rPr>
        <w:t>本工程施工管理及生活区主要有办公室、职工宿舍、食堂等。根据工程主体建筑物布置特性和其附近地形地貌条件，结合可利用的交通条件等，布置在坝址下游1km左岸Ⅲ级阶地处，临近L1施工道路。总建筑面积：彩钢结构4000m</w:t>
      </w:r>
      <w:r>
        <w:rPr>
          <w:rFonts w:cs="Times New Roman"/>
          <w:vertAlign w:val="superscript"/>
        </w:rPr>
        <w:t>2</w:t>
      </w:r>
      <w:r>
        <w:rPr>
          <w:rFonts w:cs="Times New Roman"/>
        </w:rPr>
        <w:t>，总占地面积12000m</w:t>
      </w:r>
      <w:r>
        <w:rPr>
          <w:rFonts w:cs="Times New Roman"/>
          <w:vertAlign w:val="superscript"/>
        </w:rPr>
        <w:t>2</w:t>
      </w:r>
      <w:r>
        <w:rPr>
          <w:rFonts w:cs="Times New Roman"/>
        </w:rPr>
        <w:t>。</w:t>
      </w:r>
    </w:p>
    <w:p>
      <w:pPr>
        <w:ind w:firstLine="480"/>
        <w:rPr>
          <w:rFonts w:cs="Times New Roman"/>
        </w:rPr>
      </w:pPr>
      <w:r>
        <w:rPr>
          <w:rFonts w:cs="Times New Roman"/>
        </w:rPr>
        <w:t>（5）弃料及利用料堆放区</w:t>
      </w:r>
    </w:p>
    <w:p>
      <w:pPr>
        <w:ind w:firstLine="480"/>
        <w:rPr>
          <w:rFonts w:cs="Times New Roman"/>
        </w:rPr>
      </w:pPr>
      <w:r>
        <w:rPr>
          <w:rFonts w:cs="Times New Roman"/>
        </w:rPr>
        <w:t>本工程共设置1个永久弃渣场和1个临时弃渣场，3个临时料堆放场。各弃渣场及临时堆放场布置特性见表2.4-8。</w:t>
      </w:r>
    </w:p>
    <w:p>
      <w:pPr>
        <w:pStyle w:val="137"/>
        <w:spacing w:before="48"/>
      </w:pPr>
      <w:r>
        <w:t>表2.4-8                  弃渣及利用料堆放场特性表</w:t>
      </w:r>
    </w:p>
    <w:tbl>
      <w:tblPr>
        <w:tblStyle w:val="41"/>
        <w:tblW w:w="5084"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943"/>
        <w:gridCol w:w="3199"/>
        <w:gridCol w:w="1306"/>
        <w:gridCol w:w="884"/>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69" w:type="pct"/>
            <w:vAlign w:val="center"/>
          </w:tcPr>
          <w:p>
            <w:pPr>
              <w:pStyle w:val="136"/>
            </w:pPr>
            <w:r>
              <w:t>序号</w:t>
            </w:r>
          </w:p>
        </w:tc>
        <w:tc>
          <w:tcPr>
            <w:tcW w:w="1061" w:type="pct"/>
            <w:vAlign w:val="center"/>
          </w:tcPr>
          <w:p>
            <w:pPr>
              <w:pStyle w:val="136"/>
            </w:pPr>
            <w:r>
              <w:t>名称</w:t>
            </w:r>
          </w:p>
        </w:tc>
        <w:tc>
          <w:tcPr>
            <w:tcW w:w="1747" w:type="pct"/>
            <w:vAlign w:val="center"/>
          </w:tcPr>
          <w:p>
            <w:pPr>
              <w:pStyle w:val="136"/>
            </w:pPr>
            <w:r>
              <w:t>位置</w:t>
            </w:r>
          </w:p>
        </w:tc>
        <w:tc>
          <w:tcPr>
            <w:tcW w:w="713" w:type="pct"/>
            <w:vAlign w:val="center"/>
          </w:tcPr>
          <w:p>
            <w:pPr>
              <w:pStyle w:val="136"/>
              <w:jc w:val="both"/>
            </w:pPr>
            <w:r>
              <w:t>占地面积（万m</w:t>
            </w:r>
            <w:r>
              <w:rPr>
                <w:vertAlign w:val="superscript"/>
              </w:rPr>
              <w:t>2</w:t>
            </w:r>
            <w:r>
              <w:t>）</w:t>
            </w:r>
          </w:p>
        </w:tc>
        <w:tc>
          <w:tcPr>
            <w:tcW w:w="483" w:type="pct"/>
            <w:vAlign w:val="center"/>
          </w:tcPr>
          <w:p>
            <w:pPr>
              <w:pStyle w:val="136"/>
              <w:jc w:val="both"/>
            </w:pPr>
            <w:r>
              <w:t>堆料容积（万m³）</w:t>
            </w:r>
          </w:p>
        </w:tc>
        <w:tc>
          <w:tcPr>
            <w:tcW w:w="627" w:type="pct"/>
            <w:vAlign w:val="center"/>
          </w:tcPr>
          <w:p>
            <w:pPr>
              <w:pStyle w:val="136"/>
            </w:pPr>
            <w: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pStyle w:val="136"/>
            </w:pPr>
            <w:r>
              <w:t>1</w:t>
            </w:r>
          </w:p>
        </w:tc>
        <w:tc>
          <w:tcPr>
            <w:tcW w:w="1061" w:type="pct"/>
            <w:vAlign w:val="center"/>
          </w:tcPr>
          <w:p>
            <w:pPr>
              <w:pStyle w:val="136"/>
            </w:pPr>
            <w:r>
              <w:t>1号弃渣场</w:t>
            </w:r>
          </w:p>
        </w:tc>
        <w:tc>
          <w:tcPr>
            <w:tcW w:w="1747" w:type="pct"/>
            <w:vAlign w:val="center"/>
          </w:tcPr>
          <w:p>
            <w:pPr>
              <w:pStyle w:val="136"/>
            </w:pPr>
            <w:r>
              <w:t>坝址下游约1.5km左岸Ⅳ级阶地上，距离河道约408m</w:t>
            </w:r>
          </w:p>
        </w:tc>
        <w:tc>
          <w:tcPr>
            <w:tcW w:w="713" w:type="pct"/>
            <w:vAlign w:val="center"/>
          </w:tcPr>
          <w:p>
            <w:pPr>
              <w:pStyle w:val="136"/>
            </w:pPr>
            <w:r>
              <w:t>5.6</w:t>
            </w:r>
          </w:p>
        </w:tc>
        <w:tc>
          <w:tcPr>
            <w:tcW w:w="483" w:type="pct"/>
            <w:vAlign w:val="center"/>
          </w:tcPr>
          <w:p>
            <w:pPr>
              <w:pStyle w:val="136"/>
            </w:pPr>
            <w:r>
              <w:t>16.76</w:t>
            </w:r>
          </w:p>
        </w:tc>
        <w:tc>
          <w:tcPr>
            <w:tcW w:w="627" w:type="pct"/>
            <w:vAlign w:val="center"/>
          </w:tcPr>
          <w:p>
            <w:pPr>
              <w:pStyle w:val="136"/>
            </w:pPr>
            <w:r>
              <w:t>永久，荒漠草地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69" w:type="pct"/>
            <w:vAlign w:val="center"/>
          </w:tcPr>
          <w:p>
            <w:pPr>
              <w:pStyle w:val="136"/>
            </w:pPr>
            <w:r>
              <w:t>2</w:t>
            </w:r>
          </w:p>
        </w:tc>
        <w:tc>
          <w:tcPr>
            <w:tcW w:w="1061" w:type="pct"/>
            <w:vAlign w:val="center"/>
          </w:tcPr>
          <w:p>
            <w:pPr>
              <w:pStyle w:val="136"/>
            </w:pPr>
            <w:r>
              <w:t>2号弃渣场</w:t>
            </w:r>
          </w:p>
        </w:tc>
        <w:tc>
          <w:tcPr>
            <w:tcW w:w="1747" w:type="pct"/>
            <w:vAlign w:val="center"/>
          </w:tcPr>
          <w:p>
            <w:pPr>
              <w:pStyle w:val="136"/>
            </w:pPr>
            <w:r>
              <w:t>坝址下游0.8km左、右岸C2料场处覆坑（料场面积内)</w:t>
            </w:r>
          </w:p>
        </w:tc>
        <w:tc>
          <w:tcPr>
            <w:tcW w:w="713" w:type="pct"/>
            <w:vAlign w:val="center"/>
          </w:tcPr>
          <w:p>
            <w:pPr>
              <w:pStyle w:val="136"/>
            </w:pPr>
            <w:r>
              <w:t>3.52</w:t>
            </w:r>
          </w:p>
        </w:tc>
        <w:tc>
          <w:tcPr>
            <w:tcW w:w="483" w:type="pct"/>
            <w:vAlign w:val="center"/>
          </w:tcPr>
          <w:p>
            <w:pPr>
              <w:pStyle w:val="136"/>
            </w:pPr>
            <w:r>
              <w:t>9.11</w:t>
            </w:r>
          </w:p>
        </w:tc>
        <w:tc>
          <w:tcPr>
            <w:tcW w:w="627" w:type="pct"/>
            <w:vAlign w:val="center"/>
          </w:tcPr>
          <w:p>
            <w:pPr>
              <w:pStyle w:val="136"/>
            </w:pPr>
            <w:r>
              <w:t>临时，荒漠草地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pStyle w:val="136"/>
            </w:pPr>
            <w:r>
              <w:t>3</w:t>
            </w:r>
          </w:p>
        </w:tc>
        <w:tc>
          <w:tcPr>
            <w:tcW w:w="1061" w:type="pct"/>
            <w:vAlign w:val="center"/>
          </w:tcPr>
          <w:p>
            <w:pPr>
              <w:pStyle w:val="136"/>
            </w:pPr>
            <w:r>
              <w:t>1号坝体河床开挖料临时利用料堆放场</w:t>
            </w:r>
          </w:p>
        </w:tc>
        <w:tc>
          <w:tcPr>
            <w:tcW w:w="1747" w:type="pct"/>
            <w:vAlign w:val="center"/>
          </w:tcPr>
          <w:p>
            <w:pPr>
              <w:pStyle w:val="136"/>
            </w:pPr>
            <w:r>
              <w:t>坝址下游0.8km左岸C2料场处（料场面积内）</w:t>
            </w:r>
          </w:p>
        </w:tc>
        <w:tc>
          <w:tcPr>
            <w:tcW w:w="713" w:type="pct"/>
            <w:vAlign w:val="center"/>
          </w:tcPr>
          <w:p>
            <w:pPr>
              <w:pStyle w:val="136"/>
            </w:pPr>
            <w:r>
              <w:t>1.45</w:t>
            </w:r>
          </w:p>
        </w:tc>
        <w:tc>
          <w:tcPr>
            <w:tcW w:w="483" w:type="pct"/>
            <w:vAlign w:val="center"/>
          </w:tcPr>
          <w:p>
            <w:pPr>
              <w:pStyle w:val="136"/>
            </w:pPr>
            <w:r>
              <w:t>4.35</w:t>
            </w:r>
          </w:p>
        </w:tc>
        <w:tc>
          <w:tcPr>
            <w:tcW w:w="627" w:type="pct"/>
            <w:vAlign w:val="center"/>
          </w:tcPr>
          <w:p>
            <w:pPr>
              <w:pStyle w:val="136"/>
            </w:pPr>
            <w:r>
              <w:t>临时，荒漠草地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pStyle w:val="136"/>
            </w:pPr>
            <w:r>
              <w:t>4</w:t>
            </w:r>
          </w:p>
        </w:tc>
        <w:tc>
          <w:tcPr>
            <w:tcW w:w="1061" w:type="pct"/>
            <w:vAlign w:val="center"/>
          </w:tcPr>
          <w:p>
            <w:pPr>
              <w:pStyle w:val="136"/>
            </w:pPr>
            <w:r>
              <w:t>2号坝体河床开挖料临时利用料堆放场</w:t>
            </w:r>
          </w:p>
        </w:tc>
        <w:tc>
          <w:tcPr>
            <w:tcW w:w="1747" w:type="pct"/>
            <w:vAlign w:val="center"/>
          </w:tcPr>
          <w:p>
            <w:pPr>
              <w:pStyle w:val="136"/>
            </w:pPr>
            <w:r>
              <w:t>坝址下游0.8km右岸C2料场处（料场面积内)</w:t>
            </w:r>
          </w:p>
        </w:tc>
        <w:tc>
          <w:tcPr>
            <w:tcW w:w="713" w:type="pct"/>
            <w:vAlign w:val="center"/>
          </w:tcPr>
          <w:p>
            <w:pPr>
              <w:pStyle w:val="136"/>
            </w:pPr>
            <w:r>
              <w:t>2.07</w:t>
            </w:r>
          </w:p>
        </w:tc>
        <w:tc>
          <w:tcPr>
            <w:tcW w:w="483" w:type="pct"/>
            <w:vAlign w:val="center"/>
          </w:tcPr>
          <w:p>
            <w:pPr>
              <w:pStyle w:val="136"/>
            </w:pPr>
            <w:r>
              <w:t>6.21</w:t>
            </w:r>
          </w:p>
        </w:tc>
        <w:tc>
          <w:tcPr>
            <w:tcW w:w="627" w:type="pct"/>
            <w:vAlign w:val="center"/>
          </w:tcPr>
          <w:p>
            <w:pPr>
              <w:pStyle w:val="136"/>
            </w:pPr>
            <w:r>
              <w:t>临时，荒漠草地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pStyle w:val="136"/>
            </w:pPr>
            <w:r>
              <w:t>5</w:t>
            </w:r>
          </w:p>
        </w:tc>
        <w:tc>
          <w:tcPr>
            <w:tcW w:w="1061" w:type="pct"/>
            <w:vAlign w:val="center"/>
          </w:tcPr>
          <w:p>
            <w:pPr>
              <w:pStyle w:val="136"/>
            </w:pPr>
            <w:r>
              <w:t>3号坝体河床开挖料临时利用料堆放场</w:t>
            </w:r>
          </w:p>
        </w:tc>
        <w:tc>
          <w:tcPr>
            <w:tcW w:w="1747" w:type="pct"/>
            <w:vAlign w:val="center"/>
          </w:tcPr>
          <w:p>
            <w:pPr>
              <w:pStyle w:val="136"/>
            </w:pPr>
            <w:r>
              <w:t>坝址下游0.8km右岸C2料场处（料场面积内)</w:t>
            </w:r>
          </w:p>
        </w:tc>
        <w:tc>
          <w:tcPr>
            <w:tcW w:w="713" w:type="pct"/>
            <w:vAlign w:val="center"/>
          </w:tcPr>
          <w:p>
            <w:pPr>
              <w:pStyle w:val="136"/>
            </w:pPr>
            <w:r>
              <w:t>1.95</w:t>
            </w:r>
          </w:p>
        </w:tc>
        <w:tc>
          <w:tcPr>
            <w:tcW w:w="483" w:type="pct"/>
            <w:vAlign w:val="center"/>
          </w:tcPr>
          <w:p>
            <w:pPr>
              <w:pStyle w:val="136"/>
            </w:pPr>
            <w:r>
              <w:t>5.86</w:t>
            </w:r>
          </w:p>
        </w:tc>
        <w:tc>
          <w:tcPr>
            <w:tcW w:w="627" w:type="pct"/>
            <w:vAlign w:val="center"/>
          </w:tcPr>
          <w:p>
            <w:pPr>
              <w:pStyle w:val="136"/>
            </w:pPr>
            <w:r>
              <w:t>临时，荒漠草地</w:t>
            </w:r>
          </w:p>
        </w:tc>
      </w:tr>
    </w:tbl>
    <w:p>
      <w:pPr>
        <w:ind w:firstLine="480"/>
        <w:rPr>
          <w:rFonts w:cs="Times New Roman"/>
        </w:rPr>
      </w:pPr>
    </w:p>
    <w:p>
      <w:pPr>
        <w:ind w:firstLine="480"/>
        <w:rPr>
          <w:rFonts w:cs="Times New Roman"/>
        </w:rPr>
      </w:pPr>
      <w:r>
        <w:rPr>
          <w:rFonts w:cs="Times New Roman"/>
        </w:rPr>
        <w:t>本工程施工永久及临时占地面积统计表见表2.4-9。</w:t>
      </w:r>
    </w:p>
    <w:p>
      <w:pPr>
        <w:pStyle w:val="137"/>
        <w:spacing w:before="48"/>
      </w:pPr>
      <w:r>
        <w:t>表2.4-9            施工永久及临时占地面积统计表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10"/>
        <w:gridCol w:w="1062"/>
        <w:gridCol w:w="1631"/>
        <w:gridCol w:w="1559"/>
        <w:gridCol w:w="992"/>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2" w:type="dxa"/>
            <w:vAlign w:val="center"/>
          </w:tcPr>
          <w:p>
            <w:pPr>
              <w:pStyle w:val="136"/>
            </w:pPr>
            <w:r>
              <w:t>序号</w:t>
            </w:r>
          </w:p>
        </w:tc>
        <w:tc>
          <w:tcPr>
            <w:tcW w:w="1410" w:type="dxa"/>
            <w:vAlign w:val="center"/>
          </w:tcPr>
          <w:p>
            <w:pPr>
              <w:pStyle w:val="136"/>
            </w:pPr>
            <w:r>
              <w:t>项目名称</w:t>
            </w:r>
          </w:p>
        </w:tc>
        <w:tc>
          <w:tcPr>
            <w:tcW w:w="1062" w:type="dxa"/>
            <w:vAlign w:val="center"/>
          </w:tcPr>
          <w:p>
            <w:pPr>
              <w:pStyle w:val="136"/>
            </w:pPr>
            <w:r>
              <w:t>规模</w:t>
            </w:r>
          </w:p>
        </w:tc>
        <w:tc>
          <w:tcPr>
            <w:tcW w:w="1631" w:type="dxa"/>
            <w:vAlign w:val="center"/>
          </w:tcPr>
          <w:p>
            <w:pPr>
              <w:pStyle w:val="136"/>
            </w:pPr>
            <w:r>
              <w:t>建筑面积（㎡）</w:t>
            </w:r>
          </w:p>
        </w:tc>
        <w:tc>
          <w:tcPr>
            <w:tcW w:w="1559" w:type="dxa"/>
            <w:vAlign w:val="center"/>
          </w:tcPr>
          <w:p>
            <w:pPr>
              <w:pStyle w:val="136"/>
            </w:pPr>
            <w:r>
              <w:t>占地面积（㎡）</w:t>
            </w:r>
          </w:p>
        </w:tc>
        <w:tc>
          <w:tcPr>
            <w:tcW w:w="992" w:type="dxa"/>
            <w:vAlign w:val="center"/>
          </w:tcPr>
          <w:p>
            <w:pPr>
              <w:pStyle w:val="136"/>
            </w:pPr>
            <w:r>
              <w:t>占地性质</w:t>
            </w:r>
          </w:p>
        </w:tc>
        <w:tc>
          <w:tcPr>
            <w:tcW w:w="1412" w:type="dxa"/>
            <w:vAlign w:val="center"/>
          </w:tcPr>
          <w:p>
            <w:pPr>
              <w:pStyle w:val="136"/>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1</w:t>
            </w:r>
          </w:p>
        </w:tc>
        <w:tc>
          <w:tcPr>
            <w:tcW w:w="1410" w:type="dxa"/>
            <w:vAlign w:val="center"/>
          </w:tcPr>
          <w:p>
            <w:pPr>
              <w:pStyle w:val="136"/>
            </w:pPr>
            <w:r>
              <w:t>施工永久道路</w:t>
            </w:r>
          </w:p>
        </w:tc>
        <w:tc>
          <w:tcPr>
            <w:tcW w:w="1062" w:type="dxa"/>
            <w:vAlign w:val="center"/>
          </w:tcPr>
          <w:p>
            <w:pPr>
              <w:pStyle w:val="136"/>
            </w:pPr>
            <w:r>
              <w:t>8.5km</w:t>
            </w:r>
          </w:p>
        </w:tc>
        <w:tc>
          <w:tcPr>
            <w:tcW w:w="1631" w:type="dxa"/>
            <w:vAlign w:val="center"/>
          </w:tcPr>
          <w:p>
            <w:pPr>
              <w:pStyle w:val="136"/>
            </w:pPr>
            <w:r>
              <w:t>--</w:t>
            </w:r>
          </w:p>
        </w:tc>
        <w:tc>
          <w:tcPr>
            <w:tcW w:w="1559" w:type="dxa"/>
            <w:vAlign w:val="center"/>
          </w:tcPr>
          <w:p>
            <w:pPr>
              <w:pStyle w:val="136"/>
            </w:pPr>
            <w:r>
              <w:t>60000</w:t>
            </w:r>
          </w:p>
        </w:tc>
        <w:tc>
          <w:tcPr>
            <w:tcW w:w="992" w:type="dxa"/>
            <w:vAlign w:val="center"/>
          </w:tcPr>
          <w:p>
            <w:pPr>
              <w:pStyle w:val="136"/>
            </w:pPr>
            <w:r>
              <w:t>永久</w:t>
            </w:r>
          </w:p>
        </w:tc>
        <w:tc>
          <w:tcPr>
            <w:tcW w:w="1412" w:type="dxa"/>
            <w:vAlign w:val="center"/>
          </w:tcPr>
          <w:p>
            <w:pPr>
              <w:pStyle w:val="136"/>
            </w:pPr>
            <w:r>
              <w:t>路基宽6m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2</w:t>
            </w:r>
          </w:p>
        </w:tc>
        <w:tc>
          <w:tcPr>
            <w:tcW w:w="1410" w:type="dxa"/>
            <w:vAlign w:val="center"/>
          </w:tcPr>
          <w:p>
            <w:pPr>
              <w:pStyle w:val="136"/>
            </w:pPr>
            <w:r>
              <w:t>施工临时道路</w:t>
            </w:r>
          </w:p>
        </w:tc>
        <w:tc>
          <w:tcPr>
            <w:tcW w:w="1062" w:type="dxa"/>
            <w:vAlign w:val="center"/>
          </w:tcPr>
          <w:p>
            <w:pPr>
              <w:pStyle w:val="136"/>
            </w:pPr>
            <w:r>
              <w:t>4.1km</w:t>
            </w:r>
          </w:p>
        </w:tc>
        <w:tc>
          <w:tcPr>
            <w:tcW w:w="1631" w:type="dxa"/>
            <w:vAlign w:val="center"/>
          </w:tcPr>
          <w:p>
            <w:pPr>
              <w:pStyle w:val="136"/>
            </w:pPr>
            <w:r>
              <w:t>--</w:t>
            </w:r>
          </w:p>
        </w:tc>
        <w:tc>
          <w:tcPr>
            <w:tcW w:w="1559" w:type="dxa"/>
            <w:vAlign w:val="center"/>
          </w:tcPr>
          <w:p>
            <w:pPr>
              <w:pStyle w:val="136"/>
            </w:pPr>
            <w:r>
              <w:t>24600</w:t>
            </w:r>
          </w:p>
        </w:tc>
        <w:tc>
          <w:tcPr>
            <w:tcW w:w="992" w:type="dxa"/>
            <w:vAlign w:val="center"/>
          </w:tcPr>
          <w:p>
            <w:pPr>
              <w:pStyle w:val="136"/>
            </w:pPr>
            <w:r>
              <w:t>临时</w:t>
            </w:r>
          </w:p>
        </w:tc>
        <w:tc>
          <w:tcPr>
            <w:tcW w:w="1412" w:type="dxa"/>
            <w:vAlign w:val="center"/>
          </w:tcPr>
          <w:p>
            <w:pPr>
              <w:pStyle w:val="136"/>
            </w:pPr>
            <w:r>
              <w:t>路宽6m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3</w:t>
            </w:r>
          </w:p>
        </w:tc>
        <w:tc>
          <w:tcPr>
            <w:tcW w:w="1410" w:type="dxa"/>
            <w:vAlign w:val="center"/>
          </w:tcPr>
          <w:p>
            <w:pPr>
              <w:pStyle w:val="136"/>
            </w:pPr>
            <w:r>
              <w:t>砼拌合系统</w:t>
            </w:r>
          </w:p>
        </w:tc>
        <w:tc>
          <w:tcPr>
            <w:tcW w:w="1062" w:type="dxa"/>
            <w:vAlign w:val="center"/>
          </w:tcPr>
          <w:p>
            <w:pPr>
              <w:pStyle w:val="136"/>
            </w:pPr>
            <w:r>
              <w:t>210m</w:t>
            </w:r>
            <w:r>
              <w:rPr>
                <w:vertAlign w:val="superscript"/>
              </w:rPr>
              <w:t>3</w:t>
            </w:r>
            <w:r>
              <w:t>/h</w:t>
            </w:r>
          </w:p>
        </w:tc>
        <w:tc>
          <w:tcPr>
            <w:tcW w:w="1631" w:type="dxa"/>
            <w:vAlign w:val="center"/>
          </w:tcPr>
          <w:p>
            <w:pPr>
              <w:pStyle w:val="136"/>
            </w:pPr>
            <w:r>
              <w:t>800</w:t>
            </w:r>
          </w:p>
        </w:tc>
        <w:tc>
          <w:tcPr>
            <w:tcW w:w="1559" w:type="dxa"/>
            <w:vAlign w:val="center"/>
          </w:tcPr>
          <w:p>
            <w:pPr>
              <w:pStyle w:val="136"/>
            </w:pPr>
            <w:r>
              <w:t>10000</w:t>
            </w:r>
          </w:p>
        </w:tc>
        <w:tc>
          <w:tcPr>
            <w:tcW w:w="992" w:type="dxa"/>
            <w:vAlign w:val="center"/>
          </w:tcPr>
          <w:p>
            <w:pPr>
              <w:pStyle w:val="136"/>
            </w:pPr>
            <w:r>
              <w:t>临时</w:t>
            </w:r>
          </w:p>
        </w:tc>
        <w:tc>
          <w:tcPr>
            <w:tcW w:w="1412"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4</w:t>
            </w:r>
          </w:p>
        </w:tc>
        <w:tc>
          <w:tcPr>
            <w:tcW w:w="1410" w:type="dxa"/>
            <w:vAlign w:val="center"/>
          </w:tcPr>
          <w:p>
            <w:pPr>
              <w:pStyle w:val="136"/>
            </w:pPr>
            <w:r>
              <w:t>供风系统</w:t>
            </w:r>
          </w:p>
        </w:tc>
        <w:tc>
          <w:tcPr>
            <w:tcW w:w="1062" w:type="dxa"/>
            <w:vAlign w:val="center"/>
          </w:tcPr>
          <w:p>
            <w:pPr>
              <w:pStyle w:val="136"/>
            </w:pPr>
            <w:r>
              <w:t>156m</w:t>
            </w:r>
            <w:r>
              <w:rPr>
                <w:vertAlign w:val="superscript"/>
              </w:rPr>
              <w:t>3</w:t>
            </w:r>
            <w:r>
              <w:t>/min</w:t>
            </w:r>
          </w:p>
        </w:tc>
        <w:tc>
          <w:tcPr>
            <w:tcW w:w="1631" w:type="dxa"/>
            <w:vAlign w:val="center"/>
          </w:tcPr>
          <w:p>
            <w:pPr>
              <w:pStyle w:val="136"/>
            </w:pPr>
            <w:r>
              <w:t>--</w:t>
            </w:r>
          </w:p>
        </w:tc>
        <w:tc>
          <w:tcPr>
            <w:tcW w:w="1559" w:type="dxa"/>
            <w:vAlign w:val="center"/>
          </w:tcPr>
          <w:p>
            <w:pPr>
              <w:pStyle w:val="136"/>
            </w:pPr>
            <w:r>
              <w:t>--</w:t>
            </w:r>
          </w:p>
        </w:tc>
        <w:tc>
          <w:tcPr>
            <w:tcW w:w="992" w:type="dxa"/>
            <w:vAlign w:val="center"/>
          </w:tcPr>
          <w:p>
            <w:pPr>
              <w:pStyle w:val="136"/>
            </w:pPr>
            <w:r>
              <w:t>--</w:t>
            </w:r>
          </w:p>
        </w:tc>
        <w:tc>
          <w:tcPr>
            <w:tcW w:w="1412"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5</w:t>
            </w:r>
          </w:p>
        </w:tc>
        <w:tc>
          <w:tcPr>
            <w:tcW w:w="1410" w:type="dxa"/>
            <w:vAlign w:val="center"/>
          </w:tcPr>
          <w:p>
            <w:pPr>
              <w:pStyle w:val="136"/>
            </w:pPr>
            <w:r>
              <w:t>供水系统</w:t>
            </w:r>
          </w:p>
        </w:tc>
        <w:tc>
          <w:tcPr>
            <w:tcW w:w="1062" w:type="dxa"/>
            <w:vAlign w:val="center"/>
          </w:tcPr>
          <w:p>
            <w:pPr>
              <w:pStyle w:val="136"/>
            </w:pPr>
            <w:r>
              <w:t>345m</w:t>
            </w:r>
            <w:r>
              <w:rPr>
                <w:vertAlign w:val="superscript"/>
              </w:rPr>
              <w:t>3</w:t>
            </w:r>
            <w:r>
              <w:t>/h</w:t>
            </w:r>
          </w:p>
        </w:tc>
        <w:tc>
          <w:tcPr>
            <w:tcW w:w="1631" w:type="dxa"/>
            <w:vAlign w:val="center"/>
          </w:tcPr>
          <w:p>
            <w:pPr>
              <w:pStyle w:val="136"/>
            </w:pPr>
            <w:r>
              <w:t>--</w:t>
            </w:r>
          </w:p>
        </w:tc>
        <w:tc>
          <w:tcPr>
            <w:tcW w:w="1559" w:type="dxa"/>
            <w:vAlign w:val="center"/>
          </w:tcPr>
          <w:p>
            <w:pPr>
              <w:pStyle w:val="136"/>
            </w:pPr>
            <w:r>
              <w:t>--</w:t>
            </w:r>
          </w:p>
        </w:tc>
        <w:tc>
          <w:tcPr>
            <w:tcW w:w="992" w:type="dxa"/>
            <w:vAlign w:val="center"/>
          </w:tcPr>
          <w:p>
            <w:pPr>
              <w:pStyle w:val="136"/>
            </w:pPr>
            <w:r>
              <w:t>--</w:t>
            </w:r>
          </w:p>
        </w:tc>
        <w:tc>
          <w:tcPr>
            <w:tcW w:w="1412"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6</w:t>
            </w:r>
          </w:p>
        </w:tc>
        <w:tc>
          <w:tcPr>
            <w:tcW w:w="1410" w:type="dxa"/>
            <w:vAlign w:val="center"/>
          </w:tcPr>
          <w:p>
            <w:pPr>
              <w:pStyle w:val="136"/>
            </w:pPr>
            <w:r>
              <w:t>供电系统</w:t>
            </w:r>
          </w:p>
        </w:tc>
        <w:tc>
          <w:tcPr>
            <w:tcW w:w="1062" w:type="dxa"/>
            <w:vAlign w:val="center"/>
          </w:tcPr>
          <w:p>
            <w:pPr>
              <w:pStyle w:val="136"/>
            </w:pPr>
            <w:r>
              <w:t>--</w:t>
            </w:r>
          </w:p>
        </w:tc>
        <w:tc>
          <w:tcPr>
            <w:tcW w:w="1631" w:type="dxa"/>
            <w:vAlign w:val="center"/>
          </w:tcPr>
          <w:p>
            <w:pPr>
              <w:pStyle w:val="136"/>
            </w:pPr>
            <w:r>
              <w:t>--</w:t>
            </w:r>
          </w:p>
        </w:tc>
        <w:tc>
          <w:tcPr>
            <w:tcW w:w="1559" w:type="dxa"/>
            <w:vAlign w:val="center"/>
          </w:tcPr>
          <w:p>
            <w:pPr>
              <w:pStyle w:val="136"/>
            </w:pPr>
            <w:r>
              <w:t>--</w:t>
            </w:r>
          </w:p>
        </w:tc>
        <w:tc>
          <w:tcPr>
            <w:tcW w:w="992" w:type="dxa"/>
            <w:vAlign w:val="center"/>
          </w:tcPr>
          <w:p>
            <w:pPr>
              <w:pStyle w:val="136"/>
            </w:pPr>
            <w:r>
              <w:t>--</w:t>
            </w:r>
          </w:p>
        </w:tc>
        <w:tc>
          <w:tcPr>
            <w:tcW w:w="1412"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7</w:t>
            </w:r>
          </w:p>
        </w:tc>
        <w:tc>
          <w:tcPr>
            <w:tcW w:w="1410" w:type="dxa"/>
            <w:vAlign w:val="center"/>
          </w:tcPr>
          <w:p>
            <w:pPr>
              <w:pStyle w:val="136"/>
            </w:pPr>
            <w:r>
              <w:t>砂石筛分系统</w:t>
            </w:r>
          </w:p>
        </w:tc>
        <w:tc>
          <w:tcPr>
            <w:tcW w:w="1062" w:type="dxa"/>
            <w:vAlign w:val="center"/>
          </w:tcPr>
          <w:p>
            <w:pPr>
              <w:pStyle w:val="136"/>
            </w:pPr>
            <w:r>
              <w:t>--</w:t>
            </w:r>
          </w:p>
        </w:tc>
        <w:tc>
          <w:tcPr>
            <w:tcW w:w="1631" w:type="dxa"/>
            <w:vAlign w:val="center"/>
          </w:tcPr>
          <w:p>
            <w:pPr>
              <w:pStyle w:val="136"/>
            </w:pPr>
            <w:r>
              <w:t>800</w:t>
            </w:r>
          </w:p>
        </w:tc>
        <w:tc>
          <w:tcPr>
            <w:tcW w:w="1559" w:type="dxa"/>
            <w:vAlign w:val="center"/>
          </w:tcPr>
          <w:p>
            <w:pPr>
              <w:pStyle w:val="136"/>
            </w:pPr>
            <w:r>
              <w:t>10000</w:t>
            </w:r>
          </w:p>
        </w:tc>
        <w:tc>
          <w:tcPr>
            <w:tcW w:w="992" w:type="dxa"/>
            <w:vAlign w:val="center"/>
          </w:tcPr>
          <w:p>
            <w:pPr>
              <w:pStyle w:val="136"/>
            </w:pPr>
            <w:r>
              <w:t>临时</w:t>
            </w:r>
          </w:p>
        </w:tc>
        <w:tc>
          <w:tcPr>
            <w:tcW w:w="1412" w:type="dxa"/>
            <w:vAlign w:val="center"/>
          </w:tcPr>
          <w:p>
            <w:pPr>
              <w:pStyle w:val="136"/>
            </w:pPr>
            <w:r>
              <w:t>布置在料场占地范围内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8</w:t>
            </w:r>
          </w:p>
        </w:tc>
        <w:tc>
          <w:tcPr>
            <w:tcW w:w="1410" w:type="dxa"/>
            <w:vAlign w:val="center"/>
          </w:tcPr>
          <w:p>
            <w:pPr>
              <w:pStyle w:val="136"/>
            </w:pPr>
            <w:r>
              <w:t>综合加工厂</w:t>
            </w:r>
          </w:p>
        </w:tc>
        <w:tc>
          <w:tcPr>
            <w:tcW w:w="1062" w:type="dxa"/>
            <w:vAlign w:val="center"/>
          </w:tcPr>
          <w:p>
            <w:pPr>
              <w:pStyle w:val="136"/>
            </w:pPr>
            <w:r>
              <w:t>--</w:t>
            </w:r>
          </w:p>
        </w:tc>
        <w:tc>
          <w:tcPr>
            <w:tcW w:w="1631" w:type="dxa"/>
            <w:vAlign w:val="center"/>
          </w:tcPr>
          <w:p>
            <w:pPr>
              <w:pStyle w:val="136"/>
            </w:pPr>
            <w:r>
              <w:t>200</w:t>
            </w:r>
          </w:p>
        </w:tc>
        <w:tc>
          <w:tcPr>
            <w:tcW w:w="1559" w:type="dxa"/>
            <w:vAlign w:val="center"/>
          </w:tcPr>
          <w:p>
            <w:pPr>
              <w:pStyle w:val="136"/>
            </w:pPr>
            <w:r>
              <w:t>3000</w:t>
            </w:r>
          </w:p>
        </w:tc>
        <w:tc>
          <w:tcPr>
            <w:tcW w:w="992" w:type="dxa"/>
            <w:vAlign w:val="center"/>
          </w:tcPr>
          <w:p>
            <w:pPr>
              <w:pStyle w:val="136"/>
            </w:pPr>
            <w:r>
              <w:t>临时</w:t>
            </w:r>
          </w:p>
        </w:tc>
        <w:tc>
          <w:tcPr>
            <w:tcW w:w="1412"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9</w:t>
            </w:r>
          </w:p>
        </w:tc>
        <w:tc>
          <w:tcPr>
            <w:tcW w:w="1410" w:type="dxa"/>
            <w:vAlign w:val="center"/>
          </w:tcPr>
          <w:p>
            <w:pPr>
              <w:pStyle w:val="136"/>
            </w:pPr>
            <w:r>
              <w:t>综合仓库</w:t>
            </w:r>
          </w:p>
        </w:tc>
        <w:tc>
          <w:tcPr>
            <w:tcW w:w="1062" w:type="dxa"/>
            <w:vAlign w:val="center"/>
          </w:tcPr>
          <w:p>
            <w:pPr>
              <w:pStyle w:val="136"/>
            </w:pPr>
            <w:r>
              <w:t>--</w:t>
            </w:r>
          </w:p>
        </w:tc>
        <w:tc>
          <w:tcPr>
            <w:tcW w:w="1631" w:type="dxa"/>
            <w:vAlign w:val="center"/>
          </w:tcPr>
          <w:p>
            <w:pPr>
              <w:pStyle w:val="136"/>
            </w:pPr>
            <w:r>
              <w:t>800</w:t>
            </w:r>
          </w:p>
        </w:tc>
        <w:tc>
          <w:tcPr>
            <w:tcW w:w="1559" w:type="dxa"/>
            <w:vAlign w:val="center"/>
          </w:tcPr>
          <w:p>
            <w:pPr>
              <w:pStyle w:val="136"/>
            </w:pPr>
            <w:r>
              <w:t>2500</w:t>
            </w:r>
          </w:p>
        </w:tc>
        <w:tc>
          <w:tcPr>
            <w:tcW w:w="992" w:type="dxa"/>
            <w:vAlign w:val="center"/>
          </w:tcPr>
          <w:p>
            <w:pPr>
              <w:pStyle w:val="136"/>
            </w:pPr>
            <w:r>
              <w:t>临时</w:t>
            </w:r>
          </w:p>
        </w:tc>
        <w:tc>
          <w:tcPr>
            <w:tcW w:w="1412"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10</w:t>
            </w:r>
          </w:p>
        </w:tc>
        <w:tc>
          <w:tcPr>
            <w:tcW w:w="1410" w:type="dxa"/>
            <w:vAlign w:val="center"/>
          </w:tcPr>
          <w:p>
            <w:pPr>
              <w:pStyle w:val="136"/>
            </w:pPr>
            <w:r>
              <w:t>机械修配、停放场</w:t>
            </w:r>
          </w:p>
        </w:tc>
        <w:tc>
          <w:tcPr>
            <w:tcW w:w="1062" w:type="dxa"/>
            <w:vAlign w:val="center"/>
          </w:tcPr>
          <w:p>
            <w:pPr>
              <w:pStyle w:val="136"/>
            </w:pPr>
            <w:r>
              <w:t>--</w:t>
            </w:r>
          </w:p>
        </w:tc>
        <w:tc>
          <w:tcPr>
            <w:tcW w:w="1631" w:type="dxa"/>
            <w:vAlign w:val="center"/>
          </w:tcPr>
          <w:p>
            <w:pPr>
              <w:pStyle w:val="136"/>
            </w:pPr>
            <w:r>
              <w:t>100</w:t>
            </w:r>
          </w:p>
        </w:tc>
        <w:tc>
          <w:tcPr>
            <w:tcW w:w="1559" w:type="dxa"/>
            <w:vAlign w:val="center"/>
          </w:tcPr>
          <w:p>
            <w:pPr>
              <w:pStyle w:val="136"/>
            </w:pPr>
            <w:r>
              <w:t>1500</w:t>
            </w:r>
          </w:p>
        </w:tc>
        <w:tc>
          <w:tcPr>
            <w:tcW w:w="992" w:type="dxa"/>
            <w:vAlign w:val="center"/>
          </w:tcPr>
          <w:p>
            <w:pPr>
              <w:pStyle w:val="136"/>
            </w:pPr>
            <w:r>
              <w:t>临时</w:t>
            </w:r>
          </w:p>
        </w:tc>
        <w:tc>
          <w:tcPr>
            <w:tcW w:w="1412"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11</w:t>
            </w:r>
          </w:p>
        </w:tc>
        <w:tc>
          <w:tcPr>
            <w:tcW w:w="1410" w:type="dxa"/>
            <w:vAlign w:val="center"/>
          </w:tcPr>
          <w:p>
            <w:pPr>
              <w:pStyle w:val="136"/>
            </w:pPr>
            <w:r>
              <w:t>临时生活区</w:t>
            </w:r>
          </w:p>
        </w:tc>
        <w:tc>
          <w:tcPr>
            <w:tcW w:w="1062" w:type="dxa"/>
            <w:vAlign w:val="center"/>
          </w:tcPr>
          <w:p>
            <w:pPr>
              <w:pStyle w:val="136"/>
            </w:pPr>
            <w:r>
              <w:t>--</w:t>
            </w:r>
          </w:p>
        </w:tc>
        <w:tc>
          <w:tcPr>
            <w:tcW w:w="1631" w:type="dxa"/>
            <w:vAlign w:val="center"/>
          </w:tcPr>
          <w:p>
            <w:pPr>
              <w:pStyle w:val="136"/>
            </w:pPr>
            <w:r>
              <w:t>4000</w:t>
            </w:r>
          </w:p>
        </w:tc>
        <w:tc>
          <w:tcPr>
            <w:tcW w:w="1559" w:type="dxa"/>
            <w:vAlign w:val="center"/>
          </w:tcPr>
          <w:p>
            <w:pPr>
              <w:pStyle w:val="136"/>
            </w:pPr>
            <w:r>
              <w:t>12000</w:t>
            </w:r>
          </w:p>
        </w:tc>
        <w:tc>
          <w:tcPr>
            <w:tcW w:w="992" w:type="dxa"/>
            <w:vAlign w:val="center"/>
          </w:tcPr>
          <w:p>
            <w:pPr>
              <w:pStyle w:val="136"/>
            </w:pPr>
            <w:r>
              <w:t>临时</w:t>
            </w:r>
          </w:p>
        </w:tc>
        <w:tc>
          <w:tcPr>
            <w:tcW w:w="1412"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12</w:t>
            </w:r>
          </w:p>
        </w:tc>
        <w:tc>
          <w:tcPr>
            <w:tcW w:w="1410" w:type="dxa"/>
            <w:vAlign w:val="center"/>
          </w:tcPr>
          <w:p>
            <w:pPr>
              <w:pStyle w:val="136"/>
            </w:pPr>
            <w:r>
              <w:t>1号弃渣场</w:t>
            </w:r>
          </w:p>
        </w:tc>
        <w:tc>
          <w:tcPr>
            <w:tcW w:w="1062" w:type="dxa"/>
            <w:vAlign w:val="center"/>
          </w:tcPr>
          <w:p>
            <w:pPr>
              <w:pStyle w:val="136"/>
            </w:pPr>
            <w:r>
              <w:t>--</w:t>
            </w:r>
          </w:p>
        </w:tc>
        <w:tc>
          <w:tcPr>
            <w:tcW w:w="1631" w:type="dxa"/>
            <w:vAlign w:val="center"/>
          </w:tcPr>
          <w:p>
            <w:pPr>
              <w:pStyle w:val="136"/>
            </w:pPr>
            <w:r>
              <w:t>--</w:t>
            </w:r>
          </w:p>
        </w:tc>
        <w:tc>
          <w:tcPr>
            <w:tcW w:w="1559" w:type="dxa"/>
            <w:vAlign w:val="center"/>
          </w:tcPr>
          <w:p>
            <w:pPr>
              <w:pStyle w:val="136"/>
            </w:pPr>
            <w:r>
              <w:t>56000</w:t>
            </w:r>
          </w:p>
        </w:tc>
        <w:tc>
          <w:tcPr>
            <w:tcW w:w="992" w:type="dxa"/>
            <w:vAlign w:val="center"/>
          </w:tcPr>
          <w:p>
            <w:pPr>
              <w:pStyle w:val="136"/>
            </w:pPr>
            <w:r>
              <w:t>永久</w:t>
            </w:r>
          </w:p>
        </w:tc>
        <w:tc>
          <w:tcPr>
            <w:tcW w:w="1412"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pStyle w:val="136"/>
            </w:pPr>
            <w:r>
              <w:t>13</w:t>
            </w:r>
          </w:p>
        </w:tc>
        <w:tc>
          <w:tcPr>
            <w:tcW w:w="1410" w:type="dxa"/>
            <w:vAlign w:val="center"/>
          </w:tcPr>
          <w:p>
            <w:pPr>
              <w:pStyle w:val="136"/>
            </w:pPr>
            <w:r>
              <w:t>下游河床C2料场</w:t>
            </w:r>
          </w:p>
        </w:tc>
        <w:tc>
          <w:tcPr>
            <w:tcW w:w="1062" w:type="dxa"/>
            <w:vAlign w:val="center"/>
          </w:tcPr>
          <w:p>
            <w:pPr>
              <w:pStyle w:val="136"/>
            </w:pPr>
            <w:r>
              <w:t>--</w:t>
            </w:r>
          </w:p>
        </w:tc>
        <w:tc>
          <w:tcPr>
            <w:tcW w:w="1631" w:type="dxa"/>
            <w:vAlign w:val="center"/>
          </w:tcPr>
          <w:p>
            <w:pPr>
              <w:pStyle w:val="136"/>
            </w:pPr>
            <w:r>
              <w:t>--</w:t>
            </w:r>
          </w:p>
        </w:tc>
        <w:tc>
          <w:tcPr>
            <w:tcW w:w="1559" w:type="dxa"/>
            <w:vAlign w:val="center"/>
          </w:tcPr>
          <w:p>
            <w:pPr>
              <w:pStyle w:val="136"/>
            </w:pPr>
            <w:r>
              <w:t>60000</w:t>
            </w:r>
          </w:p>
        </w:tc>
        <w:tc>
          <w:tcPr>
            <w:tcW w:w="992" w:type="dxa"/>
            <w:vAlign w:val="center"/>
          </w:tcPr>
          <w:p>
            <w:pPr>
              <w:pStyle w:val="136"/>
            </w:pPr>
            <w:r>
              <w:t>临时</w:t>
            </w:r>
          </w:p>
        </w:tc>
        <w:tc>
          <w:tcPr>
            <w:tcW w:w="1412" w:type="dxa"/>
            <w:vAlign w:val="center"/>
          </w:tcPr>
          <w:p>
            <w:pPr>
              <w:pStyle w:val="136"/>
            </w:pPr>
            <w:r>
              <w:t>--</w:t>
            </w:r>
          </w:p>
        </w:tc>
      </w:tr>
    </w:tbl>
    <w:p>
      <w:pPr>
        <w:ind w:firstLine="480"/>
        <w:rPr>
          <w:rFonts w:cs="Times New Roman"/>
        </w:rPr>
      </w:pPr>
    </w:p>
    <w:p>
      <w:pPr>
        <w:pStyle w:val="4"/>
        <w:rPr>
          <w:rFonts w:cs="Times New Roman"/>
        </w:rPr>
      </w:pPr>
      <w:r>
        <w:rPr>
          <w:rFonts w:cs="Times New Roman"/>
        </w:rPr>
        <w:t>2.4.5 施工导流和截流</w:t>
      </w:r>
    </w:p>
    <w:p>
      <w:pPr>
        <w:pStyle w:val="62"/>
        <w:rPr>
          <w:rFonts w:cs="Times New Roman"/>
        </w:rPr>
      </w:pPr>
      <w:r>
        <w:rPr>
          <w:rFonts w:cs="Times New Roman"/>
        </w:rPr>
        <w:t>2.4.5.1 导流及度汛标准</w:t>
      </w:r>
    </w:p>
    <w:p>
      <w:pPr>
        <w:ind w:firstLine="480"/>
        <w:rPr>
          <w:rFonts w:cs="Times New Roman"/>
        </w:rPr>
      </w:pPr>
      <w:r>
        <w:rPr>
          <w:rFonts w:cs="Times New Roman"/>
        </w:rPr>
        <w:t>本工程导流方式为：挡水大坝采用碾压重力式混凝土坝，基础防渗采用大开挖+帷幕灌浆的形式，综合考虑水工建筑物布置及施工总进度计划，大坝施工导流采用一次性拦断河床的导流方式，上游围堰挡水、导流洞过流的方式。</w:t>
      </w:r>
    </w:p>
    <w:p>
      <w:pPr>
        <w:ind w:firstLine="480"/>
        <w:rPr>
          <w:rFonts w:cs="Times New Roman"/>
        </w:rPr>
      </w:pPr>
      <w:r>
        <w:rPr>
          <w:rFonts w:cs="Times New Roman"/>
        </w:rPr>
        <w:t>工程施工总工期3年，代尔昆代郭勒河汛期为4月中旬～8月中旬，在整个施工期内，坝体施工</w:t>
      </w:r>
      <w:r>
        <w:rPr>
          <w:rFonts w:hint="eastAsia" w:cs="Times New Roman"/>
          <w:lang w:eastAsia="zh-CN"/>
        </w:rPr>
        <w:t>将</w:t>
      </w:r>
      <w:r>
        <w:rPr>
          <w:rFonts w:cs="Times New Roman"/>
        </w:rPr>
        <w:t>经历2个汛期，综合考虑枢纽水文条件、大坝施工强度，在整个施工期内，坝体经历两个汛期，坝体施工导流时段划分为以下3个阶段。</w:t>
      </w:r>
    </w:p>
    <w:p>
      <w:pPr>
        <w:ind w:firstLine="480"/>
        <w:rPr>
          <w:rFonts w:cs="Times New Roman"/>
        </w:rPr>
      </w:pPr>
      <w:r>
        <w:rPr>
          <w:rFonts w:cs="Times New Roman"/>
        </w:rPr>
        <w:t>第一阶段：工程开工（施工第一年4月1日）至截流时间（施工第一年9月15日）。该阶段原河床过流，主要进行导流洞施工、大坝岸坡开挖、灌浆处理工作。</w:t>
      </w:r>
    </w:p>
    <w:p>
      <w:pPr>
        <w:ind w:firstLine="480"/>
        <w:rPr>
          <w:rFonts w:cs="Times New Roman"/>
        </w:rPr>
      </w:pPr>
      <w:r>
        <w:rPr>
          <w:rFonts w:cs="Times New Roman"/>
        </w:rPr>
        <w:t>第二阶段：截流时间（施工第一年9月15日）至第二年10月底期间（施工第二年11月1日），由围堰挡水，导流放水洞过流。11月1日初水库具备蓄水条件。</w:t>
      </w:r>
    </w:p>
    <w:p>
      <w:pPr>
        <w:ind w:firstLine="480"/>
        <w:rPr>
          <w:rFonts w:cs="Times New Roman"/>
        </w:rPr>
      </w:pPr>
      <w:r>
        <w:rPr>
          <w:rFonts w:cs="Times New Roman"/>
        </w:rPr>
        <w:t>第三阶段：施工第三年4月1日至工程完工期间（施工第三年7月1日），由坝体临时挡水，导流洞过流。</w:t>
      </w:r>
    </w:p>
    <w:p>
      <w:pPr>
        <w:ind w:firstLine="480"/>
        <w:rPr>
          <w:rFonts w:cs="Times New Roman"/>
        </w:rPr>
      </w:pPr>
      <w:r>
        <w:rPr>
          <w:rFonts w:cs="Times New Roman"/>
        </w:rPr>
        <w:t>经调洪计算，相应成果见表2.4-10。</w:t>
      </w:r>
    </w:p>
    <w:p>
      <w:pPr>
        <w:pStyle w:val="137"/>
        <w:spacing w:before="48"/>
      </w:pPr>
      <w:r>
        <w:t>表2.4-10                   施工期导流度汛特征表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984"/>
        <w:gridCol w:w="938"/>
        <w:gridCol w:w="484"/>
        <w:gridCol w:w="954"/>
        <w:gridCol w:w="1194"/>
        <w:gridCol w:w="645"/>
        <w:gridCol w:w="1281"/>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vMerge w:val="restart"/>
            <w:vAlign w:val="center"/>
          </w:tcPr>
          <w:p>
            <w:pPr>
              <w:pStyle w:val="136"/>
            </w:pPr>
            <w:r>
              <w:t>施工汛期</w:t>
            </w:r>
          </w:p>
        </w:tc>
        <w:tc>
          <w:tcPr>
            <w:tcW w:w="984" w:type="dxa"/>
            <w:vMerge w:val="restart"/>
            <w:vAlign w:val="center"/>
          </w:tcPr>
          <w:p>
            <w:pPr>
              <w:pStyle w:val="136"/>
              <w:jc w:val="both"/>
            </w:pPr>
            <w:r>
              <w:t>导流度汛标准（%）</w:t>
            </w:r>
          </w:p>
        </w:tc>
        <w:tc>
          <w:tcPr>
            <w:tcW w:w="938" w:type="dxa"/>
            <w:vMerge w:val="restart"/>
            <w:vAlign w:val="center"/>
          </w:tcPr>
          <w:p>
            <w:pPr>
              <w:pStyle w:val="136"/>
              <w:jc w:val="both"/>
            </w:pPr>
            <w:r>
              <w:t>洪峰流量（m</w:t>
            </w:r>
            <w:r>
              <w:rPr>
                <w:vertAlign w:val="superscript"/>
              </w:rPr>
              <w:t>3</w:t>
            </w:r>
            <w:r>
              <w:t>/s）</w:t>
            </w:r>
          </w:p>
        </w:tc>
        <w:tc>
          <w:tcPr>
            <w:tcW w:w="0" w:type="auto"/>
            <w:gridSpan w:val="6"/>
            <w:vAlign w:val="center"/>
          </w:tcPr>
          <w:p>
            <w:pPr>
              <w:pStyle w:val="136"/>
            </w:pPr>
            <w:r>
              <w:t>泄水建筑物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136"/>
            </w:pPr>
          </w:p>
        </w:tc>
        <w:tc>
          <w:tcPr>
            <w:tcW w:w="984" w:type="dxa"/>
            <w:vMerge w:val="continue"/>
            <w:vAlign w:val="center"/>
          </w:tcPr>
          <w:p>
            <w:pPr>
              <w:pStyle w:val="136"/>
            </w:pPr>
          </w:p>
        </w:tc>
        <w:tc>
          <w:tcPr>
            <w:tcW w:w="938" w:type="dxa"/>
            <w:vMerge w:val="continue"/>
            <w:vAlign w:val="center"/>
          </w:tcPr>
          <w:p>
            <w:pPr>
              <w:pStyle w:val="136"/>
            </w:pPr>
          </w:p>
        </w:tc>
        <w:tc>
          <w:tcPr>
            <w:tcW w:w="484" w:type="dxa"/>
            <w:vAlign w:val="center"/>
          </w:tcPr>
          <w:p>
            <w:pPr>
              <w:pStyle w:val="136"/>
            </w:pPr>
            <w:r>
              <w:t>型式</w:t>
            </w:r>
          </w:p>
        </w:tc>
        <w:tc>
          <w:tcPr>
            <w:tcW w:w="954" w:type="dxa"/>
            <w:vAlign w:val="center"/>
          </w:tcPr>
          <w:p>
            <w:pPr>
              <w:pStyle w:val="136"/>
            </w:pPr>
            <w:r>
              <w:t>水位（m）</w:t>
            </w:r>
          </w:p>
        </w:tc>
        <w:tc>
          <w:tcPr>
            <w:tcW w:w="0" w:type="auto"/>
            <w:vAlign w:val="center"/>
          </w:tcPr>
          <w:p>
            <w:pPr>
              <w:pStyle w:val="136"/>
            </w:pPr>
            <w:r>
              <w:t>堰坝顶高程（m）</w:t>
            </w:r>
          </w:p>
        </w:tc>
        <w:tc>
          <w:tcPr>
            <w:tcW w:w="0" w:type="auto"/>
            <w:vAlign w:val="center"/>
          </w:tcPr>
          <w:p>
            <w:pPr>
              <w:pStyle w:val="136"/>
            </w:pPr>
            <w:r>
              <w:t>泄洪方式</w:t>
            </w:r>
          </w:p>
        </w:tc>
        <w:tc>
          <w:tcPr>
            <w:tcW w:w="0" w:type="auto"/>
            <w:vAlign w:val="center"/>
          </w:tcPr>
          <w:p>
            <w:pPr>
              <w:pStyle w:val="136"/>
            </w:pPr>
            <w:r>
              <w:t>孔口尺寸（B×H）</w:t>
            </w:r>
          </w:p>
        </w:tc>
        <w:tc>
          <w:tcPr>
            <w:tcW w:w="0" w:type="auto"/>
            <w:vAlign w:val="center"/>
          </w:tcPr>
          <w:p>
            <w:pPr>
              <w:pStyle w:val="136"/>
            </w:pPr>
            <w:r>
              <w:t>下泄流量（m</w:t>
            </w:r>
            <w:r>
              <w:rPr>
                <w:vertAlign w:val="superscript"/>
              </w:rPr>
              <w:t>3</w:t>
            </w:r>
            <w: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36"/>
            </w:pPr>
            <w:r>
              <w:t>施工第一年</w:t>
            </w:r>
          </w:p>
        </w:tc>
        <w:tc>
          <w:tcPr>
            <w:tcW w:w="984" w:type="dxa"/>
            <w:vAlign w:val="center"/>
          </w:tcPr>
          <w:p>
            <w:pPr>
              <w:pStyle w:val="136"/>
            </w:pPr>
            <w:r>
              <w:t>5</w:t>
            </w:r>
          </w:p>
        </w:tc>
        <w:tc>
          <w:tcPr>
            <w:tcW w:w="938" w:type="dxa"/>
            <w:vAlign w:val="center"/>
          </w:tcPr>
          <w:p>
            <w:pPr>
              <w:pStyle w:val="136"/>
            </w:pPr>
            <w:r>
              <w:t>12.9</w:t>
            </w:r>
          </w:p>
        </w:tc>
        <w:tc>
          <w:tcPr>
            <w:tcW w:w="484" w:type="dxa"/>
            <w:vAlign w:val="center"/>
          </w:tcPr>
          <w:p>
            <w:pPr>
              <w:pStyle w:val="136"/>
            </w:pPr>
            <w:r>
              <w:t>围堰</w:t>
            </w:r>
          </w:p>
        </w:tc>
        <w:tc>
          <w:tcPr>
            <w:tcW w:w="954" w:type="dxa"/>
            <w:vAlign w:val="center"/>
          </w:tcPr>
          <w:p>
            <w:pPr>
              <w:pStyle w:val="136"/>
            </w:pPr>
            <w:r>
              <w:t>1953.43</w:t>
            </w:r>
          </w:p>
        </w:tc>
        <w:tc>
          <w:tcPr>
            <w:tcW w:w="0" w:type="auto"/>
            <w:vAlign w:val="center"/>
          </w:tcPr>
          <w:p>
            <w:pPr>
              <w:pStyle w:val="136"/>
            </w:pPr>
            <w:r>
              <w:t>1954.18</w:t>
            </w:r>
          </w:p>
        </w:tc>
        <w:tc>
          <w:tcPr>
            <w:tcW w:w="0" w:type="auto"/>
            <w:vMerge w:val="restart"/>
            <w:vAlign w:val="center"/>
          </w:tcPr>
          <w:p>
            <w:pPr>
              <w:pStyle w:val="136"/>
            </w:pPr>
            <w:r>
              <w:t>导流隧洞</w:t>
            </w:r>
          </w:p>
        </w:tc>
        <w:tc>
          <w:tcPr>
            <w:tcW w:w="0" w:type="auto"/>
            <w:vAlign w:val="center"/>
          </w:tcPr>
          <w:p>
            <w:pPr>
              <w:pStyle w:val="136"/>
            </w:pPr>
            <w:r>
              <w:t>2.0×2.78</w:t>
            </w:r>
          </w:p>
        </w:tc>
        <w:tc>
          <w:tcPr>
            <w:tcW w:w="0" w:type="auto"/>
            <w:vAlign w:val="center"/>
          </w:tcPr>
          <w:p>
            <w:pPr>
              <w:pStyle w:val="136"/>
            </w:pPr>
            <w:r>
              <w:t>11.72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36"/>
            </w:pPr>
            <w:r>
              <w:t>施工第二年</w:t>
            </w:r>
          </w:p>
        </w:tc>
        <w:tc>
          <w:tcPr>
            <w:tcW w:w="984" w:type="dxa"/>
            <w:vAlign w:val="center"/>
          </w:tcPr>
          <w:p>
            <w:pPr>
              <w:pStyle w:val="136"/>
            </w:pPr>
            <w:r>
              <w:t>20</w:t>
            </w:r>
          </w:p>
        </w:tc>
        <w:tc>
          <w:tcPr>
            <w:tcW w:w="938" w:type="dxa"/>
            <w:vAlign w:val="center"/>
          </w:tcPr>
          <w:p>
            <w:pPr>
              <w:pStyle w:val="136"/>
            </w:pPr>
            <w:r>
              <w:t>44.2</w:t>
            </w:r>
          </w:p>
        </w:tc>
        <w:tc>
          <w:tcPr>
            <w:tcW w:w="484" w:type="dxa"/>
            <w:vAlign w:val="center"/>
          </w:tcPr>
          <w:p>
            <w:pPr>
              <w:pStyle w:val="136"/>
            </w:pPr>
            <w:r>
              <w:t>坝体</w:t>
            </w:r>
          </w:p>
        </w:tc>
        <w:tc>
          <w:tcPr>
            <w:tcW w:w="954" w:type="dxa"/>
            <w:vAlign w:val="center"/>
          </w:tcPr>
          <w:p>
            <w:pPr>
              <w:pStyle w:val="136"/>
            </w:pPr>
            <w:r>
              <w:t>1959.48</w:t>
            </w:r>
          </w:p>
        </w:tc>
        <w:tc>
          <w:tcPr>
            <w:tcW w:w="0" w:type="auto"/>
            <w:vAlign w:val="center"/>
          </w:tcPr>
          <w:p>
            <w:pPr>
              <w:pStyle w:val="136"/>
            </w:pPr>
            <w:r>
              <w:t>1960.36</w:t>
            </w:r>
          </w:p>
        </w:tc>
        <w:tc>
          <w:tcPr>
            <w:tcW w:w="0" w:type="auto"/>
            <w:vMerge w:val="continue"/>
            <w:vAlign w:val="center"/>
          </w:tcPr>
          <w:p>
            <w:pPr>
              <w:pStyle w:val="136"/>
            </w:pPr>
          </w:p>
        </w:tc>
        <w:tc>
          <w:tcPr>
            <w:tcW w:w="0" w:type="auto"/>
            <w:vAlign w:val="center"/>
          </w:tcPr>
          <w:p>
            <w:pPr>
              <w:pStyle w:val="136"/>
            </w:pPr>
            <w:r>
              <w:t>2.0×2.78</w:t>
            </w:r>
          </w:p>
        </w:tc>
        <w:tc>
          <w:tcPr>
            <w:tcW w:w="0" w:type="auto"/>
            <w:vAlign w:val="center"/>
          </w:tcPr>
          <w:p>
            <w:pPr>
              <w:pStyle w:val="136"/>
            </w:pPr>
            <w:r>
              <w:t>27.13</w:t>
            </w:r>
          </w:p>
        </w:tc>
      </w:tr>
    </w:tbl>
    <w:p>
      <w:pPr>
        <w:ind w:firstLine="480"/>
        <w:rPr>
          <w:rFonts w:cs="Times New Roman"/>
        </w:rPr>
      </w:pPr>
    </w:p>
    <w:p>
      <w:pPr>
        <w:pStyle w:val="62"/>
        <w:rPr>
          <w:rFonts w:cs="Times New Roman"/>
        </w:rPr>
      </w:pPr>
      <w:r>
        <w:rPr>
          <w:rFonts w:cs="Times New Roman"/>
        </w:rPr>
        <w:t>2.4.5.2 导流建筑物</w:t>
      </w:r>
    </w:p>
    <w:p>
      <w:pPr>
        <w:ind w:firstLine="480"/>
        <w:rPr>
          <w:rFonts w:cs="Times New Roman"/>
        </w:rPr>
      </w:pPr>
      <w:r>
        <w:rPr>
          <w:rFonts w:cs="Times New Roman"/>
        </w:rPr>
        <w:t>本工程导流建筑物主要为上游围堰和导流、放水隧洞。</w:t>
      </w:r>
    </w:p>
    <w:p>
      <w:pPr>
        <w:ind w:firstLine="480"/>
        <w:rPr>
          <w:rFonts w:cs="Times New Roman"/>
        </w:rPr>
      </w:pPr>
      <w:r>
        <w:rPr>
          <w:rFonts w:cs="Times New Roman"/>
        </w:rPr>
        <w:t>（1）导流、防水隧洞</w:t>
      </w:r>
    </w:p>
    <w:p>
      <w:pPr>
        <w:ind w:firstLine="480"/>
        <w:rPr>
          <w:rFonts w:cs="Times New Roman"/>
        </w:rPr>
      </w:pPr>
      <w:r>
        <w:rPr>
          <w:rFonts w:cs="Times New Roman"/>
        </w:rPr>
        <w:t>导流泄水建筑物采用永临结合布置，即导流洞施工期兼做导流洞泄流，工程建成后用于放水。导流隧洞布置在大坝左岸，隧洞全长330m，由进口段、闸井段、洞身段、出口消能防冲段组成。导流隧洞进口高程1951m，洞身段设计底坡1：50，采用圆拱直墙型（城门洞型），为无压隧洞。导流洞最大下泄流量为导流时段最大下泄量，即5年一遇洪水时，最大下泄流量为11.72m</w:t>
      </w:r>
      <w:r>
        <w:rPr>
          <w:rFonts w:cs="Times New Roman"/>
          <w:vertAlign w:val="superscript"/>
        </w:rPr>
        <w:t>3</w:t>
      </w:r>
      <w:r>
        <w:rPr>
          <w:rFonts w:cs="Times New Roman"/>
        </w:rPr>
        <w:t>/s。</w:t>
      </w:r>
    </w:p>
    <w:p>
      <w:pPr>
        <w:ind w:firstLine="480"/>
        <w:rPr>
          <w:rFonts w:cs="Times New Roman"/>
        </w:rPr>
      </w:pPr>
      <w:r>
        <w:rPr>
          <w:rFonts w:cs="Times New Roman"/>
        </w:rPr>
        <w:t>（2）上游围堰</w:t>
      </w:r>
    </w:p>
    <w:p>
      <w:pPr>
        <w:ind w:firstLine="480"/>
        <w:rPr>
          <w:rFonts w:cs="Times New Roman"/>
        </w:rPr>
      </w:pPr>
      <w:r>
        <w:rPr>
          <w:rFonts w:cs="Times New Roman"/>
        </w:rPr>
        <w:t>上游围堰5年一遇洪水时，堰前水位为1953.43m。上游围堰布置在大坝上游侧，围堰轴线平行坝轴线布置，两者相距110m。经调洪演算，上游围堰堰前水位为1953.43m，设计堰顶高程为1954.18m，最大堰高为3.18m。上游围堰采用土石围堰，堰顶宽度4m，迎水面边坡1:2.25，背水面边坡1:1.8，堰体采用土工膜斜墙防渗，采用两布一膜（250g/0.5mmPE/250g），膜下设置50cm砂砾料细粒垫层，土工膜上游侧设置20cm厚C25F250混凝土护坡板，围堰基础采用单排控制灌浆防渗，孔间距0.8m，灌浆底部深入基岩1.0m，最大深度19.68m。</w:t>
      </w:r>
    </w:p>
    <w:p>
      <w:pPr>
        <w:pStyle w:val="62"/>
        <w:rPr>
          <w:rFonts w:cs="Times New Roman"/>
        </w:rPr>
      </w:pPr>
      <w:r>
        <w:rPr>
          <w:rFonts w:cs="Times New Roman"/>
        </w:rPr>
        <w:t>2.4.5.3 截流</w:t>
      </w:r>
    </w:p>
    <w:p>
      <w:pPr>
        <w:ind w:firstLine="480"/>
        <w:rPr>
          <w:rFonts w:cs="Times New Roman"/>
        </w:rPr>
      </w:pPr>
      <w:r>
        <w:rPr>
          <w:rFonts w:cs="Times New Roman"/>
        </w:rPr>
        <w:t>本工程截流时段暂定施工期第一年非汛期9月15日，截流流量选用5年一遇9月平均流量为0.17m</w:t>
      </w:r>
      <w:r>
        <w:rPr>
          <w:rFonts w:cs="Times New Roman"/>
          <w:vertAlign w:val="superscript"/>
        </w:rPr>
        <w:t>3</w:t>
      </w:r>
      <w:r>
        <w:rPr>
          <w:rFonts w:cs="Times New Roman"/>
        </w:rPr>
        <w:t>/s，上游围堰采用立堵方式截流，在上游围堰闭气后方可处理河床段坝体基础。</w:t>
      </w:r>
    </w:p>
    <w:p>
      <w:pPr>
        <w:pStyle w:val="4"/>
        <w:rPr>
          <w:rFonts w:cs="Times New Roman"/>
        </w:rPr>
      </w:pPr>
      <w:r>
        <w:rPr>
          <w:rFonts w:cs="Times New Roman"/>
        </w:rPr>
        <w:t>2.4.6 下闸蓄水</w:t>
      </w:r>
    </w:p>
    <w:p>
      <w:pPr>
        <w:ind w:firstLine="480"/>
        <w:rPr>
          <w:rFonts w:cs="Times New Roman"/>
        </w:rPr>
      </w:pPr>
      <w:r>
        <w:rPr>
          <w:rFonts w:cs="Times New Roman"/>
        </w:rPr>
        <w:t>本工程在施工期无通航、排冰要求。根据施工进度安排，本工程下闸蓄水时间初步选定为施工第三年9月1日开始，初期蓄水期，通过导流洞或放水管控制下泄流量，满足下游生态流量及供水要求。</w:t>
      </w:r>
    </w:p>
    <w:p>
      <w:pPr>
        <w:ind w:firstLine="480"/>
        <w:rPr>
          <w:rFonts w:cs="Times New Roman"/>
        </w:rPr>
      </w:pPr>
      <w:r>
        <w:t>代尔昆代水库初期蓄水计划</w:t>
      </w:r>
      <w:r>
        <w:rPr>
          <w:rFonts w:hint="eastAsia"/>
        </w:rPr>
        <w:t>见表2</w:t>
      </w:r>
      <w:r>
        <w:t>.3-11</w:t>
      </w:r>
      <w:r>
        <w:rPr>
          <w:rFonts w:hint="eastAsia"/>
        </w:rPr>
        <w:t>，</w:t>
      </w:r>
      <w:r>
        <w:rPr>
          <w:rFonts w:cs="Times New Roman"/>
        </w:rPr>
        <w:t>不同频率初期蓄水信息见表2.3-12。</w:t>
      </w:r>
    </w:p>
    <w:p>
      <w:pPr>
        <w:pStyle w:val="137"/>
        <w:spacing w:before="48"/>
      </w:pPr>
      <w:r>
        <w:t>表2.3-11                代尔昆代水库初期蓄水计划</w:t>
      </w:r>
    </w:p>
    <w:tbl>
      <w:tblPr>
        <w:tblStyle w:val="41"/>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788"/>
        <w:gridCol w:w="1276"/>
        <w:gridCol w:w="2268"/>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pPr>
              <w:pStyle w:val="136"/>
            </w:pPr>
            <w:r>
              <w:t>频率</w:t>
            </w:r>
          </w:p>
        </w:tc>
        <w:tc>
          <w:tcPr>
            <w:tcW w:w="2788" w:type="dxa"/>
            <w:vAlign w:val="center"/>
          </w:tcPr>
          <w:p>
            <w:pPr>
              <w:pStyle w:val="136"/>
            </w:pPr>
            <w:r>
              <w:t>蓄水时段</w:t>
            </w:r>
          </w:p>
        </w:tc>
        <w:tc>
          <w:tcPr>
            <w:tcW w:w="1276" w:type="dxa"/>
            <w:vAlign w:val="center"/>
          </w:tcPr>
          <w:p>
            <w:pPr>
              <w:pStyle w:val="136"/>
            </w:pPr>
            <w:r>
              <w:t>天数（天）</w:t>
            </w:r>
          </w:p>
        </w:tc>
        <w:tc>
          <w:tcPr>
            <w:tcW w:w="2268" w:type="dxa"/>
            <w:vAlign w:val="center"/>
          </w:tcPr>
          <w:p>
            <w:pPr>
              <w:pStyle w:val="136"/>
            </w:pPr>
            <w:r>
              <w:t>蓄水水位变化</w:t>
            </w:r>
          </w:p>
        </w:tc>
        <w:tc>
          <w:tcPr>
            <w:tcW w:w="1560" w:type="dxa"/>
            <w:vAlign w:val="center"/>
          </w:tcPr>
          <w:p>
            <w:pPr>
              <w:pStyle w:val="136"/>
            </w:pPr>
            <w:r>
              <w:t>泄水设施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restart"/>
            <w:vAlign w:val="center"/>
          </w:tcPr>
          <w:p>
            <w:pPr>
              <w:pStyle w:val="136"/>
            </w:pPr>
            <w:r>
              <w:t>P=50%</w:t>
            </w:r>
          </w:p>
        </w:tc>
        <w:tc>
          <w:tcPr>
            <w:tcW w:w="2788" w:type="dxa"/>
            <w:vAlign w:val="center"/>
          </w:tcPr>
          <w:p>
            <w:pPr>
              <w:pStyle w:val="136"/>
            </w:pPr>
            <w:r>
              <w:t>9月1日～9月19日</w:t>
            </w:r>
          </w:p>
        </w:tc>
        <w:tc>
          <w:tcPr>
            <w:tcW w:w="1276" w:type="dxa"/>
            <w:vAlign w:val="center"/>
          </w:tcPr>
          <w:p>
            <w:pPr>
              <w:pStyle w:val="136"/>
            </w:pPr>
            <w:r>
              <w:t>19</w:t>
            </w:r>
          </w:p>
        </w:tc>
        <w:tc>
          <w:tcPr>
            <w:tcW w:w="2268" w:type="dxa"/>
            <w:vAlign w:val="center"/>
          </w:tcPr>
          <w:p>
            <w:pPr>
              <w:pStyle w:val="136"/>
            </w:pPr>
            <w:r>
              <w:t>可达死水位1960m</w:t>
            </w:r>
          </w:p>
        </w:tc>
        <w:tc>
          <w:tcPr>
            <w:tcW w:w="1560" w:type="dxa"/>
            <w:vMerge w:val="restart"/>
            <w:vAlign w:val="center"/>
          </w:tcPr>
          <w:p>
            <w:pPr>
              <w:pStyle w:val="136"/>
            </w:pPr>
            <w:r>
              <w:t>导流洞或放水管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vAlign w:val="center"/>
          </w:tcPr>
          <w:p>
            <w:pPr>
              <w:pStyle w:val="136"/>
            </w:pPr>
          </w:p>
        </w:tc>
        <w:tc>
          <w:tcPr>
            <w:tcW w:w="2788" w:type="dxa"/>
            <w:vAlign w:val="center"/>
          </w:tcPr>
          <w:p>
            <w:pPr>
              <w:pStyle w:val="136"/>
            </w:pPr>
            <w:r>
              <w:t>9月20日～次年3月12日</w:t>
            </w:r>
          </w:p>
        </w:tc>
        <w:tc>
          <w:tcPr>
            <w:tcW w:w="1276" w:type="dxa"/>
            <w:vAlign w:val="center"/>
          </w:tcPr>
          <w:p>
            <w:pPr>
              <w:pStyle w:val="136"/>
            </w:pPr>
            <w:r>
              <w:t>193</w:t>
            </w:r>
          </w:p>
        </w:tc>
        <w:tc>
          <w:tcPr>
            <w:tcW w:w="2268" w:type="dxa"/>
            <w:vAlign w:val="center"/>
          </w:tcPr>
          <w:p>
            <w:pPr>
              <w:pStyle w:val="136"/>
            </w:pPr>
            <w:r>
              <w:t>可达正常蓄水位1981.85m</w:t>
            </w:r>
          </w:p>
        </w:tc>
        <w:tc>
          <w:tcPr>
            <w:tcW w:w="1560"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restart"/>
            <w:vAlign w:val="center"/>
          </w:tcPr>
          <w:p>
            <w:pPr>
              <w:pStyle w:val="136"/>
            </w:pPr>
            <w:r>
              <w:t>P=85%</w:t>
            </w:r>
          </w:p>
        </w:tc>
        <w:tc>
          <w:tcPr>
            <w:tcW w:w="2788" w:type="dxa"/>
            <w:vAlign w:val="center"/>
          </w:tcPr>
          <w:p>
            <w:pPr>
              <w:pStyle w:val="136"/>
            </w:pPr>
            <w:r>
              <w:t>9月1日～9月23日</w:t>
            </w:r>
          </w:p>
        </w:tc>
        <w:tc>
          <w:tcPr>
            <w:tcW w:w="1276" w:type="dxa"/>
            <w:vAlign w:val="center"/>
          </w:tcPr>
          <w:p>
            <w:pPr>
              <w:pStyle w:val="136"/>
            </w:pPr>
            <w:r>
              <w:t>23</w:t>
            </w:r>
          </w:p>
        </w:tc>
        <w:tc>
          <w:tcPr>
            <w:tcW w:w="2268" w:type="dxa"/>
            <w:vAlign w:val="center"/>
          </w:tcPr>
          <w:p>
            <w:pPr>
              <w:pStyle w:val="136"/>
            </w:pPr>
            <w:r>
              <w:t>可达死水位1960m</w:t>
            </w:r>
          </w:p>
        </w:tc>
        <w:tc>
          <w:tcPr>
            <w:tcW w:w="1560"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vAlign w:val="center"/>
          </w:tcPr>
          <w:p>
            <w:pPr>
              <w:pStyle w:val="136"/>
            </w:pPr>
          </w:p>
        </w:tc>
        <w:tc>
          <w:tcPr>
            <w:tcW w:w="2788" w:type="dxa"/>
            <w:vAlign w:val="center"/>
          </w:tcPr>
          <w:p>
            <w:pPr>
              <w:pStyle w:val="136"/>
            </w:pPr>
            <w:r>
              <w:t>9月24日～次年4月30日</w:t>
            </w:r>
          </w:p>
        </w:tc>
        <w:tc>
          <w:tcPr>
            <w:tcW w:w="1276" w:type="dxa"/>
            <w:vAlign w:val="center"/>
          </w:tcPr>
          <w:p>
            <w:pPr>
              <w:pStyle w:val="136"/>
            </w:pPr>
            <w:r>
              <w:t>242</w:t>
            </w:r>
          </w:p>
        </w:tc>
        <w:tc>
          <w:tcPr>
            <w:tcW w:w="2268" w:type="dxa"/>
            <w:vAlign w:val="center"/>
          </w:tcPr>
          <w:p>
            <w:pPr>
              <w:pStyle w:val="136"/>
            </w:pPr>
            <w:r>
              <w:t>可达水位1980.74m</w:t>
            </w:r>
          </w:p>
        </w:tc>
        <w:tc>
          <w:tcPr>
            <w:tcW w:w="1560"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restart"/>
            <w:vAlign w:val="center"/>
          </w:tcPr>
          <w:p>
            <w:pPr>
              <w:pStyle w:val="136"/>
            </w:pPr>
            <w:r>
              <w:t>P=95%</w:t>
            </w:r>
          </w:p>
        </w:tc>
        <w:tc>
          <w:tcPr>
            <w:tcW w:w="2788" w:type="dxa"/>
            <w:vAlign w:val="center"/>
          </w:tcPr>
          <w:p>
            <w:pPr>
              <w:pStyle w:val="136"/>
            </w:pPr>
            <w:r>
              <w:t>9月1日～9月24日</w:t>
            </w:r>
          </w:p>
        </w:tc>
        <w:tc>
          <w:tcPr>
            <w:tcW w:w="1276" w:type="dxa"/>
            <w:vAlign w:val="center"/>
          </w:tcPr>
          <w:p>
            <w:pPr>
              <w:pStyle w:val="136"/>
            </w:pPr>
            <w:r>
              <w:t>24</w:t>
            </w:r>
          </w:p>
        </w:tc>
        <w:tc>
          <w:tcPr>
            <w:tcW w:w="2268" w:type="dxa"/>
            <w:vAlign w:val="center"/>
          </w:tcPr>
          <w:p>
            <w:pPr>
              <w:pStyle w:val="136"/>
            </w:pPr>
            <w:r>
              <w:t>可达死水位1960m</w:t>
            </w:r>
          </w:p>
        </w:tc>
        <w:tc>
          <w:tcPr>
            <w:tcW w:w="1560"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vAlign w:val="center"/>
          </w:tcPr>
          <w:p>
            <w:pPr>
              <w:pStyle w:val="136"/>
            </w:pPr>
          </w:p>
        </w:tc>
        <w:tc>
          <w:tcPr>
            <w:tcW w:w="2788" w:type="dxa"/>
            <w:vAlign w:val="center"/>
          </w:tcPr>
          <w:p>
            <w:pPr>
              <w:pStyle w:val="136"/>
            </w:pPr>
            <w:r>
              <w:t>9月25日～次年4月30日</w:t>
            </w:r>
          </w:p>
        </w:tc>
        <w:tc>
          <w:tcPr>
            <w:tcW w:w="1276" w:type="dxa"/>
            <w:vAlign w:val="center"/>
          </w:tcPr>
          <w:p>
            <w:pPr>
              <w:pStyle w:val="136"/>
            </w:pPr>
            <w:r>
              <w:t>242</w:t>
            </w:r>
          </w:p>
        </w:tc>
        <w:tc>
          <w:tcPr>
            <w:tcW w:w="2268" w:type="dxa"/>
            <w:vAlign w:val="center"/>
          </w:tcPr>
          <w:p>
            <w:pPr>
              <w:pStyle w:val="136"/>
            </w:pPr>
            <w:r>
              <w:t>可达水位1981.24m</w:t>
            </w:r>
          </w:p>
        </w:tc>
        <w:tc>
          <w:tcPr>
            <w:tcW w:w="1560" w:type="dxa"/>
            <w:vMerge w:val="continue"/>
            <w:vAlign w:val="center"/>
          </w:tcPr>
          <w:p>
            <w:pPr>
              <w:pStyle w:val="136"/>
            </w:pPr>
          </w:p>
        </w:tc>
      </w:tr>
    </w:tbl>
    <w:p>
      <w:pPr>
        <w:pStyle w:val="64"/>
        <w:rPr>
          <w:rFonts w:cs="Times New Roman"/>
        </w:rPr>
      </w:pPr>
    </w:p>
    <w:p>
      <w:pPr>
        <w:pStyle w:val="137"/>
        <w:spacing w:before="48"/>
      </w:pPr>
      <w:r>
        <w:t>表2.3-12         不同频率下代尔昆代水库初期蓄水成果统计表       单位：万m³</w:t>
      </w:r>
    </w:p>
    <w:tbl>
      <w:tblPr>
        <w:tblStyle w:val="40"/>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55"/>
        <w:gridCol w:w="851"/>
        <w:gridCol w:w="850"/>
        <w:gridCol w:w="851"/>
        <w:gridCol w:w="858"/>
        <w:gridCol w:w="1133"/>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555" w:type="dxa"/>
            <w:shd w:val="clear" w:color="auto" w:fill="auto"/>
            <w:noWrap/>
            <w:vAlign w:val="center"/>
          </w:tcPr>
          <w:p>
            <w:pPr>
              <w:pStyle w:val="136"/>
            </w:pPr>
            <w:r>
              <w:t>蓄水时间</w:t>
            </w:r>
          </w:p>
        </w:tc>
        <w:tc>
          <w:tcPr>
            <w:tcW w:w="855" w:type="dxa"/>
            <w:shd w:val="clear" w:color="auto" w:fill="auto"/>
            <w:noWrap/>
            <w:vAlign w:val="center"/>
          </w:tcPr>
          <w:p>
            <w:pPr>
              <w:pStyle w:val="136"/>
            </w:pPr>
            <w:r>
              <w:t>来水量</w:t>
            </w:r>
          </w:p>
        </w:tc>
        <w:tc>
          <w:tcPr>
            <w:tcW w:w="851" w:type="dxa"/>
            <w:shd w:val="clear" w:color="auto" w:fill="auto"/>
            <w:noWrap/>
            <w:vAlign w:val="center"/>
          </w:tcPr>
          <w:p>
            <w:pPr>
              <w:pStyle w:val="136"/>
            </w:pPr>
            <w:r>
              <w:t>基本生态水量</w:t>
            </w:r>
          </w:p>
        </w:tc>
        <w:tc>
          <w:tcPr>
            <w:tcW w:w="850" w:type="dxa"/>
            <w:shd w:val="clear" w:color="auto" w:fill="auto"/>
            <w:noWrap/>
            <w:vAlign w:val="center"/>
          </w:tcPr>
          <w:p>
            <w:pPr>
              <w:pStyle w:val="136"/>
            </w:pPr>
            <w:r>
              <w:t>入库生态水量</w:t>
            </w:r>
          </w:p>
        </w:tc>
        <w:tc>
          <w:tcPr>
            <w:tcW w:w="851" w:type="dxa"/>
            <w:shd w:val="clear" w:color="auto" w:fill="auto"/>
            <w:noWrap/>
            <w:vAlign w:val="center"/>
          </w:tcPr>
          <w:p>
            <w:pPr>
              <w:pStyle w:val="136"/>
            </w:pPr>
            <w:r>
              <w:t>供水量</w:t>
            </w:r>
          </w:p>
        </w:tc>
        <w:tc>
          <w:tcPr>
            <w:tcW w:w="858" w:type="dxa"/>
            <w:shd w:val="clear" w:color="auto" w:fill="auto"/>
            <w:noWrap/>
            <w:vAlign w:val="center"/>
          </w:tcPr>
          <w:p>
            <w:pPr>
              <w:pStyle w:val="136"/>
            </w:pPr>
            <w:r>
              <w:t>可蓄水量</w:t>
            </w:r>
          </w:p>
        </w:tc>
        <w:tc>
          <w:tcPr>
            <w:tcW w:w="1133" w:type="dxa"/>
            <w:shd w:val="clear" w:color="auto" w:fill="auto"/>
            <w:noWrap/>
            <w:vAlign w:val="center"/>
          </w:tcPr>
          <w:p>
            <w:pPr>
              <w:pStyle w:val="136"/>
            </w:pPr>
            <w:r>
              <w:t>库容</w:t>
            </w:r>
          </w:p>
        </w:tc>
        <w:tc>
          <w:tcPr>
            <w:tcW w:w="2120" w:type="dxa"/>
            <w:shd w:val="clear" w:color="auto" w:fill="auto"/>
            <w:noWrap/>
            <w:vAlign w:val="center"/>
          </w:tcPr>
          <w:p>
            <w:pPr>
              <w:pStyle w:val="136"/>
            </w:pPr>
            <w:r>
              <w:t>水位（m）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73" w:type="dxa"/>
            <w:gridSpan w:val="8"/>
            <w:shd w:val="clear" w:color="auto" w:fill="auto"/>
            <w:noWrap/>
            <w:vAlign w:val="center"/>
          </w:tcPr>
          <w:p>
            <w:pPr>
              <w:pStyle w:val="136"/>
            </w:pPr>
            <w:r>
              <w:t>P=50%来水频率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9月1</w:t>
            </w:r>
            <w:r>
              <w:rPr>
                <w:rFonts w:hint="eastAsia"/>
                <w:lang w:val="en-US" w:eastAsia="zh-CN"/>
              </w:rPr>
              <w:t>日</w:t>
            </w:r>
            <w:r>
              <w:t>下闸</w:t>
            </w:r>
          </w:p>
        </w:tc>
        <w:tc>
          <w:tcPr>
            <w:tcW w:w="855" w:type="dxa"/>
            <w:shd w:val="clear" w:color="auto" w:fill="auto"/>
            <w:noWrap/>
            <w:vAlign w:val="center"/>
          </w:tcPr>
          <w:p>
            <w:pPr>
              <w:pStyle w:val="136"/>
            </w:pPr>
          </w:p>
        </w:tc>
        <w:tc>
          <w:tcPr>
            <w:tcW w:w="851" w:type="dxa"/>
            <w:shd w:val="clear" w:color="auto" w:fill="auto"/>
            <w:noWrap/>
            <w:vAlign w:val="center"/>
          </w:tcPr>
          <w:p>
            <w:pPr>
              <w:pStyle w:val="136"/>
            </w:pPr>
          </w:p>
        </w:tc>
        <w:tc>
          <w:tcPr>
            <w:tcW w:w="850" w:type="dxa"/>
            <w:shd w:val="clear" w:color="auto" w:fill="auto"/>
            <w:noWrap/>
            <w:vAlign w:val="center"/>
          </w:tcPr>
          <w:p>
            <w:pPr>
              <w:pStyle w:val="136"/>
            </w:pPr>
          </w:p>
        </w:tc>
        <w:tc>
          <w:tcPr>
            <w:tcW w:w="851" w:type="dxa"/>
            <w:shd w:val="clear" w:color="auto" w:fill="auto"/>
            <w:noWrap/>
            <w:vAlign w:val="center"/>
          </w:tcPr>
          <w:p>
            <w:pPr>
              <w:pStyle w:val="136"/>
            </w:pPr>
          </w:p>
        </w:tc>
        <w:tc>
          <w:tcPr>
            <w:tcW w:w="858" w:type="dxa"/>
            <w:shd w:val="clear" w:color="auto" w:fill="auto"/>
            <w:noWrap/>
            <w:vAlign w:val="center"/>
          </w:tcPr>
          <w:p>
            <w:pPr>
              <w:pStyle w:val="136"/>
            </w:pPr>
          </w:p>
        </w:tc>
        <w:tc>
          <w:tcPr>
            <w:tcW w:w="1133" w:type="dxa"/>
            <w:shd w:val="clear" w:color="auto" w:fill="auto"/>
            <w:noWrap/>
            <w:vAlign w:val="center"/>
          </w:tcPr>
          <w:p>
            <w:pPr>
              <w:pStyle w:val="136"/>
            </w:pPr>
            <w:r>
              <w:t>0</w:t>
            </w:r>
          </w:p>
        </w:tc>
        <w:tc>
          <w:tcPr>
            <w:tcW w:w="2120" w:type="dxa"/>
            <w:shd w:val="clear" w:color="auto" w:fill="auto"/>
            <w:noWrap/>
            <w:vAlign w:val="center"/>
          </w:tcPr>
          <w:p>
            <w:pPr>
              <w:pStyle w:val="136"/>
            </w:pPr>
            <w: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9月</w:t>
            </w:r>
          </w:p>
        </w:tc>
        <w:tc>
          <w:tcPr>
            <w:tcW w:w="855" w:type="dxa"/>
            <w:shd w:val="clear" w:color="auto" w:fill="auto"/>
            <w:noWrap/>
            <w:vAlign w:val="center"/>
          </w:tcPr>
          <w:p>
            <w:pPr>
              <w:pStyle w:val="136"/>
            </w:pPr>
            <w:r>
              <w:t>52.2</w:t>
            </w:r>
          </w:p>
        </w:tc>
        <w:tc>
          <w:tcPr>
            <w:tcW w:w="851" w:type="dxa"/>
            <w:shd w:val="clear" w:color="auto" w:fill="auto"/>
            <w:noWrap/>
            <w:vAlign w:val="center"/>
          </w:tcPr>
          <w:p>
            <w:pPr>
              <w:pStyle w:val="136"/>
            </w:pPr>
            <w:r>
              <w:t>6.82</w:t>
            </w:r>
          </w:p>
        </w:tc>
        <w:tc>
          <w:tcPr>
            <w:tcW w:w="850" w:type="dxa"/>
            <w:shd w:val="clear" w:color="auto" w:fill="auto"/>
            <w:noWrap/>
            <w:vAlign w:val="center"/>
          </w:tcPr>
          <w:p>
            <w:pPr>
              <w:pStyle w:val="136"/>
            </w:pPr>
            <w:r>
              <w:t>45.38</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45.38</w:t>
            </w:r>
          </w:p>
        </w:tc>
        <w:tc>
          <w:tcPr>
            <w:tcW w:w="1133" w:type="dxa"/>
            <w:shd w:val="clear" w:color="auto" w:fill="auto"/>
            <w:noWrap/>
            <w:vAlign w:val="center"/>
          </w:tcPr>
          <w:p>
            <w:pPr>
              <w:pStyle w:val="136"/>
            </w:pPr>
            <w:r>
              <w:t>45.38</w:t>
            </w:r>
          </w:p>
        </w:tc>
        <w:tc>
          <w:tcPr>
            <w:tcW w:w="2120" w:type="dxa"/>
            <w:shd w:val="clear" w:color="auto" w:fill="auto"/>
            <w:noWrap/>
            <w:vAlign w:val="center"/>
          </w:tcPr>
          <w:p>
            <w:pPr>
              <w:pStyle w:val="136"/>
            </w:pPr>
            <w:r>
              <w:t>1963.87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10月</w:t>
            </w:r>
          </w:p>
        </w:tc>
        <w:tc>
          <w:tcPr>
            <w:tcW w:w="855" w:type="dxa"/>
            <w:shd w:val="clear" w:color="auto" w:fill="auto"/>
            <w:noWrap/>
            <w:vAlign w:val="center"/>
          </w:tcPr>
          <w:p>
            <w:pPr>
              <w:pStyle w:val="136"/>
            </w:pPr>
            <w:r>
              <w:t>50.2</w:t>
            </w:r>
          </w:p>
        </w:tc>
        <w:tc>
          <w:tcPr>
            <w:tcW w:w="851" w:type="dxa"/>
            <w:shd w:val="clear" w:color="auto" w:fill="auto"/>
            <w:noWrap/>
            <w:vAlign w:val="center"/>
          </w:tcPr>
          <w:p>
            <w:pPr>
              <w:pStyle w:val="136"/>
            </w:pPr>
            <w:r>
              <w:t>6.06</w:t>
            </w:r>
          </w:p>
        </w:tc>
        <w:tc>
          <w:tcPr>
            <w:tcW w:w="850" w:type="dxa"/>
            <w:shd w:val="clear" w:color="auto" w:fill="auto"/>
            <w:noWrap/>
            <w:vAlign w:val="center"/>
          </w:tcPr>
          <w:p>
            <w:pPr>
              <w:pStyle w:val="136"/>
            </w:pPr>
            <w:r>
              <w:t>44.14</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44.14</w:t>
            </w:r>
          </w:p>
        </w:tc>
        <w:tc>
          <w:tcPr>
            <w:tcW w:w="1133" w:type="dxa"/>
            <w:shd w:val="clear" w:color="auto" w:fill="auto"/>
            <w:noWrap/>
            <w:vAlign w:val="center"/>
          </w:tcPr>
          <w:p>
            <w:pPr>
              <w:pStyle w:val="136"/>
            </w:pPr>
            <w:r>
              <w:t>89.52</w:t>
            </w:r>
          </w:p>
        </w:tc>
        <w:tc>
          <w:tcPr>
            <w:tcW w:w="2120" w:type="dxa"/>
            <w:shd w:val="clear" w:color="auto" w:fill="auto"/>
            <w:noWrap/>
            <w:vAlign w:val="center"/>
          </w:tcPr>
          <w:p>
            <w:pPr>
              <w:pStyle w:val="136"/>
            </w:pPr>
            <w:r>
              <w:t>1969.74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11月</w:t>
            </w:r>
          </w:p>
        </w:tc>
        <w:tc>
          <w:tcPr>
            <w:tcW w:w="855" w:type="dxa"/>
            <w:shd w:val="clear" w:color="auto" w:fill="auto"/>
            <w:noWrap/>
            <w:vAlign w:val="center"/>
          </w:tcPr>
          <w:p>
            <w:pPr>
              <w:pStyle w:val="136"/>
            </w:pPr>
            <w:r>
              <w:t>50.7</w:t>
            </w:r>
          </w:p>
        </w:tc>
        <w:tc>
          <w:tcPr>
            <w:tcW w:w="851" w:type="dxa"/>
            <w:shd w:val="clear" w:color="auto" w:fill="auto"/>
            <w:noWrap/>
            <w:vAlign w:val="center"/>
          </w:tcPr>
          <w:p>
            <w:pPr>
              <w:pStyle w:val="136"/>
            </w:pPr>
            <w:r>
              <w:t>5.51</w:t>
            </w:r>
          </w:p>
        </w:tc>
        <w:tc>
          <w:tcPr>
            <w:tcW w:w="850" w:type="dxa"/>
            <w:shd w:val="clear" w:color="auto" w:fill="auto"/>
            <w:noWrap/>
            <w:vAlign w:val="center"/>
          </w:tcPr>
          <w:p>
            <w:pPr>
              <w:pStyle w:val="136"/>
            </w:pPr>
            <w:r>
              <w:t>45.19</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45.19</w:t>
            </w:r>
          </w:p>
        </w:tc>
        <w:tc>
          <w:tcPr>
            <w:tcW w:w="1133" w:type="dxa"/>
            <w:shd w:val="clear" w:color="auto" w:fill="auto"/>
            <w:noWrap/>
            <w:vAlign w:val="center"/>
          </w:tcPr>
          <w:p>
            <w:pPr>
              <w:pStyle w:val="136"/>
            </w:pPr>
            <w:r>
              <w:t>134.71</w:t>
            </w:r>
          </w:p>
        </w:tc>
        <w:tc>
          <w:tcPr>
            <w:tcW w:w="2120" w:type="dxa"/>
            <w:shd w:val="clear" w:color="auto" w:fill="auto"/>
            <w:noWrap/>
            <w:vAlign w:val="center"/>
          </w:tcPr>
          <w:p>
            <w:pPr>
              <w:pStyle w:val="136"/>
            </w:pPr>
            <w:r>
              <w:t>1974.02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12月</w:t>
            </w:r>
          </w:p>
        </w:tc>
        <w:tc>
          <w:tcPr>
            <w:tcW w:w="855" w:type="dxa"/>
            <w:shd w:val="clear" w:color="auto" w:fill="auto"/>
            <w:noWrap/>
            <w:vAlign w:val="center"/>
          </w:tcPr>
          <w:p>
            <w:pPr>
              <w:pStyle w:val="136"/>
            </w:pPr>
            <w:r>
              <w:t>41.5</w:t>
            </w:r>
          </w:p>
        </w:tc>
        <w:tc>
          <w:tcPr>
            <w:tcW w:w="851" w:type="dxa"/>
            <w:shd w:val="clear" w:color="auto" w:fill="auto"/>
            <w:noWrap/>
            <w:vAlign w:val="center"/>
          </w:tcPr>
          <w:p>
            <w:pPr>
              <w:pStyle w:val="136"/>
            </w:pPr>
            <w:r>
              <w:t>5.02</w:t>
            </w:r>
          </w:p>
        </w:tc>
        <w:tc>
          <w:tcPr>
            <w:tcW w:w="850" w:type="dxa"/>
            <w:shd w:val="clear" w:color="auto" w:fill="auto"/>
            <w:noWrap/>
            <w:vAlign w:val="center"/>
          </w:tcPr>
          <w:p>
            <w:pPr>
              <w:pStyle w:val="136"/>
            </w:pPr>
            <w:r>
              <w:t>36.48</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36.48</w:t>
            </w:r>
          </w:p>
        </w:tc>
        <w:tc>
          <w:tcPr>
            <w:tcW w:w="1133" w:type="dxa"/>
            <w:shd w:val="clear" w:color="auto" w:fill="auto"/>
            <w:noWrap/>
            <w:vAlign w:val="center"/>
          </w:tcPr>
          <w:p>
            <w:pPr>
              <w:pStyle w:val="136"/>
            </w:pPr>
            <w:r>
              <w:t>171.19</w:t>
            </w:r>
          </w:p>
        </w:tc>
        <w:tc>
          <w:tcPr>
            <w:tcW w:w="2120" w:type="dxa"/>
            <w:shd w:val="clear" w:color="auto" w:fill="auto"/>
            <w:noWrap/>
            <w:vAlign w:val="center"/>
          </w:tcPr>
          <w:p>
            <w:pPr>
              <w:pStyle w:val="136"/>
            </w:pPr>
            <w:r>
              <w:t>1976.81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1月</w:t>
            </w:r>
          </w:p>
        </w:tc>
        <w:tc>
          <w:tcPr>
            <w:tcW w:w="855" w:type="dxa"/>
            <w:shd w:val="clear" w:color="auto" w:fill="auto"/>
            <w:noWrap/>
            <w:vAlign w:val="center"/>
          </w:tcPr>
          <w:p>
            <w:pPr>
              <w:pStyle w:val="136"/>
            </w:pPr>
            <w:r>
              <w:t>39.5</w:t>
            </w:r>
          </w:p>
        </w:tc>
        <w:tc>
          <w:tcPr>
            <w:tcW w:w="851" w:type="dxa"/>
            <w:shd w:val="clear" w:color="auto" w:fill="auto"/>
            <w:noWrap/>
            <w:vAlign w:val="center"/>
          </w:tcPr>
          <w:p>
            <w:pPr>
              <w:pStyle w:val="136"/>
            </w:pPr>
            <w:r>
              <w:t>4.56</w:t>
            </w:r>
          </w:p>
        </w:tc>
        <w:tc>
          <w:tcPr>
            <w:tcW w:w="850" w:type="dxa"/>
            <w:shd w:val="clear" w:color="auto" w:fill="auto"/>
            <w:noWrap/>
            <w:vAlign w:val="center"/>
          </w:tcPr>
          <w:p>
            <w:pPr>
              <w:pStyle w:val="136"/>
            </w:pPr>
            <w:r>
              <w:t>34.94</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34.94</w:t>
            </w:r>
          </w:p>
        </w:tc>
        <w:tc>
          <w:tcPr>
            <w:tcW w:w="1133" w:type="dxa"/>
            <w:shd w:val="clear" w:color="auto" w:fill="auto"/>
            <w:noWrap/>
            <w:vAlign w:val="center"/>
          </w:tcPr>
          <w:p>
            <w:pPr>
              <w:pStyle w:val="136"/>
            </w:pPr>
            <w:r>
              <w:t>206.13</w:t>
            </w:r>
          </w:p>
        </w:tc>
        <w:tc>
          <w:tcPr>
            <w:tcW w:w="2120" w:type="dxa"/>
            <w:shd w:val="clear" w:color="auto" w:fill="auto"/>
            <w:noWrap/>
            <w:vAlign w:val="center"/>
          </w:tcPr>
          <w:p>
            <w:pPr>
              <w:pStyle w:val="136"/>
            </w:pPr>
            <w:r>
              <w:t>1979.14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2月</w:t>
            </w:r>
          </w:p>
        </w:tc>
        <w:tc>
          <w:tcPr>
            <w:tcW w:w="855" w:type="dxa"/>
            <w:shd w:val="clear" w:color="auto" w:fill="auto"/>
            <w:noWrap/>
            <w:vAlign w:val="center"/>
          </w:tcPr>
          <w:p>
            <w:pPr>
              <w:pStyle w:val="136"/>
            </w:pPr>
            <w:r>
              <w:t>40.2</w:t>
            </w:r>
          </w:p>
        </w:tc>
        <w:tc>
          <w:tcPr>
            <w:tcW w:w="851" w:type="dxa"/>
            <w:shd w:val="clear" w:color="auto" w:fill="auto"/>
            <w:noWrap/>
            <w:vAlign w:val="center"/>
          </w:tcPr>
          <w:p>
            <w:pPr>
              <w:pStyle w:val="136"/>
            </w:pPr>
            <w:r>
              <w:t>4.42</w:t>
            </w:r>
          </w:p>
        </w:tc>
        <w:tc>
          <w:tcPr>
            <w:tcW w:w="850" w:type="dxa"/>
            <w:shd w:val="clear" w:color="auto" w:fill="auto"/>
            <w:noWrap/>
            <w:vAlign w:val="center"/>
          </w:tcPr>
          <w:p>
            <w:pPr>
              <w:pStyle w:val="136"/>
            </w:pPr>
            <w:r>
              <w:t>35.78</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35.78</w:t>
            </w:r>
          </w:p>
        </w:tc>
        <w:tc>
          <w:tcPr>
            <w:tcW w:w="1133" w:type="dxa"/>
            <w:shd w:val="clear" w:color="auto" w:fill="auto"/>
            <w:noWrap/>
            <w:vAlign w:val="center"/>
          </w:tcPr>
          <w:p>
            <w:pPr>
              <w:pStyle w:val="136"/>
            </w:pPr>
            <w:r>
              <w:t>241.91</w:t>
            </w:r>
          </w:p>
        </w:tc>
        <w:tc>
          <w:tcPr>
            <w:tcW w:w="2120" w:type="dxa"/>
            <w:shd w:val="clear" w:color="auto" w:fill="auto"/>
            <w:noWrap/>
            <w:vAlign w:val="center"/>
          </w:tcPr>
          <w:p>
            <w:pPr>
              <w:pStyle w:val="136"/>
            </w:pPr>
            <w:r>
              <w:t>1981.27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3月12日</w:t>
            </w:r>
          </w:p>
        </w:tc>
        <w:tc>
          <w:tcPr>
            <w:tcW w:w="855" w:type="dxa"/>
            <w:shd w:val="clear" w:color="auto" w:fill="auto"/>
            <w:noWrap/>
            <w:vAlign w:val="center"/>
          </w:tcPr>
          <w:p>
            <w:pPr>
              <w:pStyle w:val="136"/>
            </w:pPr>
            <w:r>
              <w:t>14.79</w:t>
            </w:r>
          </w:p>
        </w:tc>
        <w:tc>
          <w:tcPr>
            <w:tcW w:w="851" w:type="dxa"/>
            <w:shd w:val="clear" w:color="auto" w:fill="auto"/>
            <w:noWrap/>
            <w:vAlign w:val="center"/>
          </w:tcPr>
          <w:p>
            <w:pPr>
              <w:pStyle w:val="136"/>
            </w:pPr>
            <w:r>
              <w:t>4.29</w:t>
            </w:r>
          </w:p>
        </w:tc>
        <w:tc>
          <w:tcPr>
            <w:tcW w:w="850" w:type="dxa"/>
            <w:shd w:val="clear" w:color="auto" w:fill="auto"/>
            <w:noWrap/>
            <w:vAlign w:val="center"/>
          </w:tcPr>
          <w:p>
            <w:pPr>
              <w:pStyle w:val="136"/>
            </w:pPr>
            <w:r>
              <w:t>10.5</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10.5</w:t>
            </w:r>
          </w:p>
        </w:tc>
        <w:tc>
          <w:tcPr>
            <w:tcW w:w="1133" w:type="dxa"/>
            <w:shd w:val="clear" w:color="auto" w:fill="auto"/>
            <w:noWrap/>
            <w:vAlign w:val="center"/>
          </w:tcPr>
          <w:p>
            <w:pPr>
              <w:pStyle w:val="136"/>
            </w:pPr>
            <w:r>
              <w:t>252.41</w:t>
            </w:r>
          </w:p>
        </w:tc>
        <w:tc>
          <w:tcPr>
            <w:tcW w:w="2120" w:type="dxa"/>
            <w:shd w:val="clear" w:color="auto" w:fill="auto"/>
            <w:noWrap/>
            <w:vAlign w:val="center"/>
          </w:tcPr>
          <w:p>
            <w:pPr>
              <w:pStyle w:val="136"/>
            </w:pPr>
            <w:r>
              <w:t>1981.85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合计</w:t>
            </w:r>
          </w:p>
        </w:tc>
        <w:tc>
          <w:tcPr>
            <w:tcW w:w="7518" w:type="dxa"/>
            <w:gridSpan w:val="7"/>
            <w:shd w:val="clear" w:color="auto" w:fill="auto"/>
            <w:noWrap/>
            <w:vAlign w:val="center"/>
          </w:tcPr>
          <w:p>
            <w:pPr>
              <w:pStyle w:val="136"/>
            </w:pPr>
            <w:r>
              <w:t>193天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73" w:type="dxa"/>
            <w:gridSpan w:val="8"/>
            <w:shd w:val="clear" w:color="auto" w:fill="auto"/>
            <w:noWrap/>
            <w:vAlign w:val="center"/>
          </w:tcPr>
          <w:p>
            <w:pPr>
              <w:pStyle w:val="136"/>
            </w:pPr>
            <w:r>
              <w:t>P=85%来水频率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9月1</w:t>
            </w:r>
            <w:r>
              <w:rPr>
                <w:rFonts w:hint="eastAsia"/>
                <w:lang w:val="en-US" w:eastAsia="zh-CN"/>
              </w:rPr>
              <w:t>日</w:t>
            </w:r>
            <w:r>
              <w:t>下闸</w:t>
            </w:r>
          </w:p>
        </w:tc>
        <w:tc>
          <w:tcPr>
            <w:tcW w:w="855" w:type="dxa"/>
            <w:shd w:val="clear" w:color="auto" w:fill="auto"/>
            <w:noWrap/>
            <w:vAlign w:val="center"/>
          </w:tcPr>
          <w:p>
            <w:pPr>
              <w:pStyle w:val="136"/>
            </w:pPr>
          </w:p>
        </w:tc>
        <w:tc>
          <w:tcPr>
            <w:tcW w:w="851" w:type="dxa"/>
            <w:shd w:val="clear" w:color="auto" w:fill="auto"/>
            <w:noWrap/>
            <w:vAlign w:val="center"/>
          </w:tcPr>
          <w:p>
            <w:pPr>
              <w:pStyle w:val="136"/>
            </w:pPr>
          </w:p>
        </w:tc>
        <w:tc>
          <w:tcPr>
            <w:tcW w:w="850" w:type="dxa"/>
            <w:shd w:val="clear" w:color="auto" w:fill="auto"/>
            <w:noWrap/>
            <w:vAlign w:val="center"/>
          </w:tcPr>
          <w:p>
            <w:pPr>
              <w:pStyle w:val="136"/>
            </w:pPr>
          </w:p>
        </w:tc>
        <w:tc>
          <w:tcPr>
            <w:tcW w:w="851" w:type="dxa"/>
            <w:shd w:val="clear" w:color="auto" w:fill="auto"/>
            <w:noWrap/>
            <w:vAlign w:val="center"/>
          </w:tcPr>
          <w:p>
            <w:pPr>
              <w:pStyle w:val="136"/>
            </w:pPr>
          </w:p>
        </w:tc>
        <w:tc>
          <w:tcPr>
            <w:tcW w:w="858" w:type="dxa"/>
            <w:shd w:val="clear" w:color="auto" w:fill="auto"/>
            <w:noWrap/>
            <w:vAlign w:val="center"/>
          </w:tcPr>
          <w:p>
            <w:pPr>
              <w:pStyle w:val="136"/>
            </w:pPr>
          </w:p>
        </w:tc>
        <w:tc>
          <w:tcPr>
            <w:tcW w:w="1133" w:type="dxa"/>
            <w:shd w:val="clear" w:color="auto" w:fill="auto"/>
            <w:noWrap/>
            <w:vAlign w:val="center"/>
          </w:tcPr>
          <w:p>
            <w:pPr>
              <w:pStyle w:val="136"/>
            </w:pPr>
            <w:r>
              <w:t>0</w:t>
            </w:r>
          </w:p>
        </w:tc>
        <w:tc>
          <w:tcPr>
            <w:tcW w:w="2120" w:type="dxa"/>
            <w:shd w:val="clear" w:color="auto" w:fill="auto"/>
            <w:noWrap/>
            <w:vAlign w:val="center"/>
          </w:tcPr>
          <w:p>
            <w:pPr>
              <w:pStyle w:val="136"/>
            </w:pPr>
            <w: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9月</w:t>
            </w:r>
          </w:p>
        </w:tc>
        <w:tc>
          <w:tcPr>
            <w:tcW w:w="855" w:type="dxa"/>
            <w:shd w:val="clear" w:color="auto" w:fill="auto"/>
            <w:noWrap/>
            <w:vAlign w:val="center"/>
          </w:tcPr>
          <w:p>
            <w:pPr>
              <w:pStyle w:val="136"/>
            </w:pPr>
            <w:r>
              <w:t>43.1</w:t>
            </w:r>
          </w:p>
        </w:tc>
        <w:tc>
          <w:tcPr>
            <w:tcW w:w="851" w:type="dxa"/>
            <w:shd w:val="clear" w:color="auto" w:fill="auto"/>
            <w:noWrap/>
            <w:vAlign w:val="center"/>
          </w:tcPr>
          <w:p>
            <w:pPr>
              <w:pStyle w:val="136"/>
            </w:pPr>
            <w:r>
              <w:t>6.82</w:t>
            </w:r>
          </w:p>
        </w:tc>
        <w:tc>
          <w:tcPr>
            <w:tcW w:w="850" w:type="dxa"/>
            <w:shd w:val="clear" w:color="auto" w:fill="auto"/>
            <w:noWrap/>
            <w:vAlign w:val="center"/>
          </w:tcPr>
          <w:p>
            <w:pPr>
              <w:pStyle w:val="136"/>
            </w:pPr>
            <w:r>
              <w:t>36.28</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36.28</w:t>
            </w:r>
          </w:p>
        </w:tc>
        <w:tc>
          <w:tcPr>
            <w:tcW w:w="1133" w:type="dxa"/>
            <w:shd w:val="clear" w:color="auto" w:fill="auto"/>
            <w:noWrap/>
            <w:vAlign w:val="center"/>
          </w:tcPr>
          <w:p>
            <w:pPr>
              <w:pStyle w:val="136"/>
            </w:pPr>
            <w:r>
              <w:t>36.28</w:t>
            </w:r>
          </w:p>
        </w:tc>
        <w:tc>
          <w:tcPr>
            <w:tcW w:w="2120" w:type="dxa"/>
            <w:shd w:val="clear" w:color="auto" w:fill="auto"/>
            <w:noWrap/>
            <w:vAlign w:val="center"/>
          </w:tcPr>
          <w:p>
            <w:pPr>
              <w:pStyle w:val="136"/>
            </w:pPr>
            <w:r>
              <w:t>1962.24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10月</w:t>
            </w:r>
          </w:p>
        </w:tc>
        <w:tc>
          <w:tcPr>
            <w:tcW w:w="855" w:type="dxa"/>
            <w:shd w:val="clear" w:color="auto" w:fill="auto"/>
            <w:noWrap/>
            <w:vAlign w:val="center"/>
          </w:tcPr>
          <w:p>
            <w:pPr>
              <w:pStyle w:val="136"/>
            </w:pPr>
            <w:r>
              <w:t>38.2</w:t>
            </w:r>
          </w:p>
        </w:tc>
        <w:tc>
          <w:tcPr>
            <w:tcW w:w="851" w:type="dxa"/>
            <w:shd w:val="clear" w:color="auto" w:fill="auto"/>
            <w:noWrap/>
            <w:vAlign w:val="center"/>
          </w:tcPr>
          <w:p>
            <w:pPr>
              <w:pStyle w:val="136"/>
            </w:pPr>
            <w:r>
              <w:t>6.06</w:t>
            </w:r>
          </w:p>
        </w:tc>
        <w:tc>
          <w:tcPr>
            <w:tcW w:w="850" w:type="dxa"/>
            <w:shd w:val="clear" w:color="auto" w:fill="auto"/>
            <w:noWrap/>
            <w:vAlign w:val="center"/>
          </w:tcPr>
          <w:p>
            <w:pPr>
              <w:pStyle w:val="136"/>
            </w:pPr>
            <w:r>
              <w:t>32.14</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32.14</w:t>
            </w:r>
          </w:p>
        </w:tc>
        <w:tc>
          <w:tcPr>
            <w:tcW w:w="1133" w:type="dxa"/>
            <w:shd w:val="clear" w:color="auto" w:fill="auto"/>
            <w:noWrap/>
            <w:vAlign w:val="center"/>
          </w:tcPr>
          <w:p>
            <w:pPr>
              <w:pStyle w:val="136"/>
            </w:pPr>
            <w:r>
              <w:t>68.42</w:t>
            </w:r>
          </w:p>
        </w:tc>
        <w:tc>
          <w:tcPr>
            <w:tcW w:w="2120" w:type="dxa"/>
            <w:shd w:val="clear" w:color="auto" w:fill="auto"/>
            <w:noWrap/>
            <w:vAlign w:val="center"/>
          </w:tcPr>
          <w:p>
            <w:pPr>
              <w:pStyle w:val="136"/>
            </w:pPr>
            <w:r>
              <w:t>1967.24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11月</w:t>
            </w:r>
          </w:p>
        </w:tc>
        <w:tc>
          <w:tcPr>
            <w:tcW w:w="855" w:type="dxa"/>
            <w:shd w:val="clear" w:color="auto" w:fill="auto"/>
            <w:noWrap/>
            <w:vAlign w:val="center"/>
          </w:tcPr>
          <w:p>
            <w:pPr>
              <w:pStyle w:val="136"/>
            </w:pPr>
            <w:r>
              <w:t>38.9</w:t>
            </w:r>
          </w:p>
        </w:tc>
        <w:tc>
          <w:tcPr>
            <w:tcW w:w="851" w:type="dxa"/>
            <w:shd w:val="clear" w:color="auto" w:fill="auto"/>
            <w:noWrap/>
            <w:vAlign w:val="center"/>
          </w:tcPr>
          <w:p>
            <w:pPr>
              <w:pStyle w:val="136"/>
            </w:pPr>
            <w:r>
              <w:t>5.51</w:t>
            </w:r>
          </w:p>
        </w:tc>
        <w:tc>
          <w:tcPr>
            <w:tcW w:w="850" w:type="dxa"/>
            <w:shd w:val="clear" w:color="auto" w:fill="auto"/>
            <w:noWrap/>
            <w:vAlign w:val="center"/>
          </w:tcPr>
          <w:p>
            <w:pPr>
              <w:pStyle w:val="136"/>
            </w:pPr>
            <w:r>
              <w:t>33.39</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33.39</w:t>
            </w:r>
          </w:p>
        </w:tc>
        <w:tc>
          <w:tcPr>
            <w:tcW w:w="1133" w:type="dxa"/>
            <w:shd w:val="clear" w:color="auto" w:fill="auto"/>
            <w:noWrap/>
            <w:vAlign w:val="center"/>
          </w:tcPr>
          <w:p>
            <w:pPr>
              <w:pStyle w:val="136"/>
            </w:pPr>
            <w:r>
              <w:t>101.81</w:t>
            </w:r>
          </w:p>
        </w:tc>
        <w:tc>
          <w:tcPr>
            <w:tcW w:w="2120" w:type="dxa"/>
            <w:shd w:val="clear" w:color="auto" w:fill="auto"/>
            <w:noWrap/>
            <w:vAlign w:val="center"/>
          </w:tcPr>
          <w:p>
            <w:pPr>
              <w:pStyle w:val="136"/>
            </w:pPr>
            <w:r>
              <w:t>1971.02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12月</w:t>
            </w:r>
          </w:p>
        </w:tc>
        <w:tc>
          <w:tcPr>
            <w:tcW w:w="855" w:type="dxa"/>
            <w:shd w:val="clear" w:color="auto" w:fill="auto"/>
            <w:noWrap/>
            <w:vAlign w:val="center"/>
          </w:tcPr>
          <w:p>
            <w:pPr>
              <w:pStyle w:val="136"/>
            </w:pPr>
            <w:r>
              <w:t>35.2</w:t>
            </w:r>
          </w:p>
        </w:tc>
        <w:tc>
          <w:tcPr>
            <w:tcW w:w="851" w:type="dxa"/>
            <w:shd w:val="clear" w:color="auto" w:fill="auto"/>
            <w:noWrap/>
            <w:vAlign w:val="center"/>
          </w:tcPr>
          <w:p>
            <w:pPr>
              <w:pStyle w:val="136"/>
            </w:pPr>
            <w:r>
              <w:t>5.02</w:t>
            </w:r>
          </w:p>
        </w:tc>
        <w:tc>
          <w:tcPr>
            <w:tcW w:w="850" w:type="dxa"/>
            <w:shd w:val="clear" w:color="auto" w:fill="auto"/>
            <w:noWrap/>
            <w:vAlign w:val="center"/>
          </w:tcPr>
          <w:p>
            <w:pPr>
              <w:pStyle w:val="136"/>
            </w:pPr>
            <w:r>
              <w:t>30.18</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30.18</w:t>
            </w:r>
          </w:p>
        </w:tc>
        <w:tc>
          <w:tcPr>
            <w:tcW w:w="1133" w:type="dxa"/>
            <w:shd w:val="clear" w:color="auto" w:fill="auto"/>
            <w:noWrap/>
            <w:vAlign w:val="center"/>
          </w:tcPr>
          <w:p>
            <w:pPr>
              <w:pStyle w:val="136"/>
            </w:pPr>
            <w:r>
              <w:t>131.99</w:t>
            </w:r>
          </w:p>
        </w:tc>
        <w:tc>
          <w:tcPr>
            <w:tcW w:w="2120" w:type="dxa"/>
            <w:shd w:val="clear" w:color="auto" w:fill="auto"/>
            <w:noWrap/>
            <w:vAlign w:val="center"/>
          </w:tcPr>
          <w:p>
            <w:pPr>
              <w:pStyle w:val="136"/>
            </w:pPr>
            <w:r>
              <w:t>1973.79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1月</w:t>
            </w:r>
          </w:p>
        </w:tc>
        <w:tc>
          <w:tcPr>
            <w:tcW w:w="855" w:type="dxa"/>
            <w:shd w:val="clear" w:color="auto" w:fill="auto"/>
            <w:noWrap/>
            <w:vAlign w:val="center"/>
          </w:tcPr>
          <w:p>
            <w:pPr>
              <w:pStyle w:val="136"/>
            </w:pPr>
            <w:r>
              <w:t>32.9</w:t>
            </w:r>
          </w:p>
        </w:tc>
        <w:tc>
          <w:tcPr>
            <w:tcW w:w="851" w:type="dxa"/>
            <w:shd w:val="clear" w:color="auto" w:fill="auto"/>
            <w:noWrap/>
            <w:vAlign w:val="center"/>
          </w:tcPr>
          <w:p>
            <w:pPr>
              <w:pStyle w:val="136"/>
            </w:pPr>
            <w:r>
              <w:t>4.56</w:t>
            </w:r>
          </w:p>
        </w:tc>
        <w:tc>
          <w:tcPr>
            <w:tcW w:w="850" w:type="dxa"/>
            <w:shd w:val="clear" w:color="auto" w:fill="auto"/>
            <w:noWrap/>
            <w:vAlign w:val="center"/>
          </w:tcPr>
          <w:p>
            <w:pPr>
              <w:pStyle w:val="136"/>
            </w:pPr>
            <w:r>
              <w:t>28.34</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28.34</w:t>
            </w:r>
          </w:p>
        </w:tc>
        <w:tc>
          <w:tcPr>
            <w:tcW w:w="1133" w:type="dxa"/>
            <w:shd w:val="clear" w:color="auto" w:fill="auto"/>
            <w:noWrap/>
            <w:vAlign w:val="center"/>
          </w:tcPr>
          <w:p>
            <w:pPr>
              <w:pStyle w:val="136"/>
            </w:pPr>
            <w:r>
              <w:t>160.33</w:t>
            </w:r>
          </w:p>
        </w:tc>
        <w:tc>
          <w:tcPr>
            <w:tcW w:w="2120" w:type="dxa"/>
            <w:shd w:val="clear" w:color="auto" w:fill="auto"/>
            <w:noWrap/>
            <w:vAlign w:val="center"/>
          </w:tcPr>
          <w:p>
            <w:pPr>
              <w:pStyle w:val="136"/>
            </w:pPr>
            <w:r>
              <w:t>1976.03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2月</w:t>
            </w:r>
          </w:p>
        </w:tc>
        <w:tc>
          <w:tcPr>
            <w:tcW w:w="855" w:type="dxa"/>
            <w:shd w:val="clear" w:color="auto" w:fill="auto"/>
            <w:noWrap/>
            <w:vAlign w:val="center"/>
          </w:tcPr>
          <w:p>
            <w:pPr>
              <w:pStyle w:val="136"/>
            </w:pPr>
            <w:r>
              <w:t>32.7</w:t>
            </w:r>
          </w:p>
        </w:tc>
        <w:tc>
          <w:tcPr>
            <w:tcW w:w="851" w:type="dxa"/>
            <w:shd w:val="clear" w:color="auto" w:fill="auto"/>
            <w:noWrap/>
            <w:vAlign w:val="center"/>
          </w:tcPr>
          <w:p>
            <w:pPr>
              <w:pStyle w:val="136"/>
            </w:pPr>
            <w:r>
              <w:t>4.42</w:t>
            </w:r>
          </w:p>
        </w:tc>
        <w:tc>
          <w:tcPr>
            <w:tcW w:w="850" w:type="dxa"/>
            <w:shd w:val="clear" w:color="auto" w:fill="auto"/>
            <w:noWrap/>
            <w:vAlign w:val="center"/>
          </w:tcPr>
          <w:p>
            <w:pPr>
              <w:pStyle w:val="136"/>
            </w:pPr>
            <w:r>
              <w:t>28.28</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28.28</w:t>
            </w:r>
          </w:p>
        </w:tc>
        <w:tc>
          <w:tcPr>
            <w:tcW w:w="1133" w:type="dxa"/>
            <w:shd w:val="clear" w:color="auto" w:fill="auto"/>
            <w:noWrap/>
            <w:vAlign w:val="center"/>
          </w:tcPr>
          <w:p>
            <w:pPr>
              <w:pStyle w:val="136"/>
            </w:pPr>
            <w:r>
              <w:t>188.61</w:t>
            </w:r>
          </w:p>
        </w:tc>
        <w:tc>
          <w:tcPr>
            <w:tcW w:w="2120" w:type="dxa"/>
            <w:shd w:val="clear" w:color="auto" w:fill="auto"/>
            <w:noWrap/>
            <w:vAlign w:val="center"/>
          </w:tcPr>
          <w:p>
            <w:pPr>
              <w:pStyle w:val="136"/>
            </w:pPr>
            <w:r>
              <w:t>1978.01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3月</w:t>
            </w:r>
          </w:p>
        </w:tc>
        <w:tc>
          <w:tcPr>
            <w:tcW w:w="855" w:type="dxa"/>
            <w:shd w:val="clear" w:color="auto" w:fill="auto"/>
            <w:noWrap/>
            <w:vAlign w:val="center"/>
          </w:tcPr>
          <w:p>
            <w:pPr>
              <w:pStyle w:val="136"/>
            </w:pPr>
            <w:r>
              <w:t>34</w:t>
            </w:r>
          </w:p>
        </w:tc>
        <w:tc>
          <w:tcPr>
            <w:tcW w:w="851" w:type="dxa"/>
            <w:shd w:val="clear" w:color="auto" w:fill="auto"/>
            <w:noWrap/>
            <w:vAlign w:val="center"/>
          </w:tcPr>
          <w:p>
            <w:pPr>
              <w:pStyle w:val="136"/>
            </w:pPr>
            <w:r>
              <w:t>4.29</w:t>
            </w:r>
          </w:p>
        </w:tc>
        <w:tc>
          <w:tcPr>
            <w:tcW w:w="850" w:type="dxa"/>
            <w:shd w:val="clear" w:color="auto" w:fill="auto"/>
            <w:noWrap/>
            <w:vAlign w:val="center"/>
          </w:tcPr>
          <w:p>
            <w:pPr>
              <w:pStyle w:val="136"/>
            </w:pPr>
            <w:r>
              <w:t>29.71</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29.71</w:t>
            </w:r>
          </w:p>
        </w:tc>
        <w:tc>
          <w:tcPr>
            <w:tcW w:w="1133" w:type="dxa"/>
            <w:shd w:val="clear" w:color="auto" w:fill="auto"/>
            <w:noWrap/>
            <w:vAlign w:val="center"/>
          </w:tcPr>
          <w:p>
            <w:pPr>
              <w:pStyle w:val="136"/>
            </w:pPr>
            <w:r>
              <w:t>218.32</w:t>
            </w:r>
          </w:p>
        </w:tc>
        <w:tc>
          <w:tcPr>
            <w:tcW w:w="2120" w:type="dxa"/>
            <w:shd w:val="clear" w:color="auto" w:fill="auto"/>
            <w:noWrap/>
            <w:vAlign w:val="center"/>
          </w:tcPr>
          <w:p>
            <w:pPr>
              <w:pStyle w:val="136"/>
            </w:pPr>
            <w:r>
              <w:t>1979.9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4月30日</w:t>
            </w:r>
          </w:p>
        </w:tc>
        <w:tc>
          <w:tcPr>
            <w:tcW w:w="855" w:type="dxa"/>
            <w:shd w:val="clear" w:color="auto" w:fill="auto"/>
            <w:noWrap/>
            <w:vAlign w:val="center"/>
          </w:tcPr>
          <w:p>
            <w:pPr>
              <w:pStyle w:val="136"/>
            </w:pPr>
            <w:r>
              <w:t>27.4</w:t>
            </w:r>
          </w:p>
        </w:tc>
        <w:tc>
          <w:tcPr>
            <w:tcW w:w="851" w:type="dxa"/>
            <w:shd w:val="clear" w:color="auto" w:fill="auto"/>
            <w:noWrap/>
            <w:vAlign w:val="center"/>
          </w:tcPr>
          <w:p>
            <w:pPr>
              <w:pStyle w:val="136"/>
            </w:pPr>
            <w:r>
              <w:t>3.66</w:t>
            </w:r>
          </w:p>
        </w:tc>
        <w:tc>
          <w:tcPr>
            <w:tcW w:w="850" w:type="dxa"/>
            <w:shd w:val="clear" w:color="auto" w:fill="auto"/>
            <w:noWrap/>
            <w:vAlign w:val="center"/>
          </w:tcPr>
          <w:p>
            <w:pPr>
              <w:pStyle w:val="136"/>
            </w:pPr>
            <w:r>
              <w:t>23.74</w:t>
            </w:r>
          </w:p>
        </w:tc>
        <w:tc>
          <w:tcPr>
            <w:tcW w:w="851" w:type="dxa"/>
            <w:shd w:val="clear" w:color="auto" w:fill="auto"/>
            <w:noWrap/>
            <w:vAlign w:val="center"/>
          </w:tcPr>
          <w:p>
            <w:pPr>
              <w:pStyle w:val="136"/>
            </w:pPr>
            <w:r>
              <w:t>9.41</w:t>
            </w:r>
          </w:p>
        </w:tc>
        <w:tc>
          <w:tcPr>
            <w:tcW w:w="858" w:type="dxa"/>
            <w:shd w:val="clear" w:color="auto" w:fill="auto"/>
            <w:noWrap/>
            <w:vAlign w:val="center"/>
          </w:tcPr>
          <w:p>
            <w:pPr>
              <w:pStyle w:val="136"/>
            </w:pPr>
            <w:r>
              <w:t>14.33</w:t>
            </w:r>
          </w:p>
        </w:tc>
        <w:tc>
          <w:tcPr>
            <w:tcW w:w="1133" w:type="dxa"/>
            <w:shd w:val="clear" w:color="auto" w:fill="auto"/>
            <w:noWrap/>
            <w:vAlign w:val="center"/>
          </w:tcPr>
          <w:p>
            <w:pPr>
              <w:pStyle w:val="136"/>
            </w:pPr>
            <w:r>
              <w:t>232.65</w:t>
            </w:r>
          </w:p>
        </w:tc>
        <w:tc>
          <w:tcPr>
            <w:tcW w:w="2120" w:type="dxa"/>
            <w:shd w:val="clear" w:color="auto" w:fill="auto"/>
            <w:noWrap/>
            <w:vAlign w:val="center"/>
          </w:tcPr>
          <w:p>
            <w:pPr>
              <w:pStyle w:val="136"/>
            </w:pPr>
            <w:r>
              <w:t>1980.74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合计</w:t>
            </w:r>
          </w:p>
        </w:tc>
        <w:tc>
          <w:tcPr>
            <w:tcW w:w="7518" w:type="dxa"/>
            <w:gridSpan w:val="7"/>
            <w:shd w:val="clear" w:color="auto" w:fill="auto"/>
            <w:noWrap/>
            <w:vAlign w:val="center"/>
          </w:tcPr>
          <w:p>
            <w:pPr>
              <w:pStyle w:val="136"/>
            </w:pPr>
            <w:r>
              <w:t>242天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73" w:type="dxa"/>
            <w:gridSpan w:val="8"/>
            <w:shd w:val="clear" w:color="auto" w:fill="auto"/>
            <w:noWrap/>
            <w:vAlign w:val="center"/>
          </w:tcPr>
          <w:p>
            <w:pPr>
              <w:pStyle w:val="136"/>
            </w:pPr>
            <w:r>
              <w:t>P=95%来水频率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9月1</w:t>
            </w:r>
            <w:r>
              <w:rPr>
                <w:rFonts w:hint="eastAsia"/>
                <w:lang w:val="en-US" w:eastAsia="zh-CN"/>
              </w:rPr>
              <w:t>日</w:t>
            </w:r>
            <w:r>
              <w:t>下闸</w:t>
            </w:r>
          </w:p>
        </w:tc>
        <w:tc>
          <w:tcPr>
            <w:tcW w:w="855" w:type="dxa"/>
            <w:shd w:val="clear" w:color="auto" w:fill="auto"/>
            <w:noWrap/>
            <w:vAlign w:val="center"/>
          </w:tcPr>
          <w:p>
            <w:pPr>
              <w:pStyle w:val="136"/>
            </w:pPr>
          </w:p>
        </w:tc>
        <w:tc>
          <w:tcPr>
            <w:tcW w:w="851" w:type="dxa"/>
            <w:shd w:val="clear" w:color="auto" w:fill="auto"/>
            <w:noWrap/>
            <w:vAlign w:val="center"/>
          </w:tcPr>
          <w:p>
            <w:pPr>
              <w:pStyle w:val="136"/>
            </w:pPr>
          </w:p>
        </w:tc>
        <w:tc>
          <w:tcPr>
            <w:tcW w:w="850" w:type="dxa"/>
            <w:shd w:val="clear" w:color="auto" w:fill="auto"/>
            <w:noWrap/>
            <w:vAlign w:val="center"/>
          </w:tcPr>
          <w:p>
            <w:pPr>
              <w:pStyle w:val="136"/>
            </w:pPr>
          </w:p>
        </w:tc>
        <w:tc>
          <w:tcPr>
            <w:tcW w:w="851" w:type="dxa"/>
            <w:shd w:val="clear" w:color="auto" w:fill="auto"/>
            <w:noWrap/>
            <w:vAlign w:val="center"/>
          </w:tcPr>
          <w:p>
            <w:pPr>
              <w:pStyle w:val="136"/>
            </w:pPr>
          </w:p>
        </w:tc>
        <w:tc>
          <w:tcPr>
            <w:tcW w:w="858" w:type="dxa"/>
            <w:shd w:val="clear" w:color="auto" w:fill="auto"/>
            <w:noWrap/>
            <w:vAlign w:val="center"/>
          </w:tcPr>
          <w:p>
            <w:pPr>
              <w:pStyle w:val="136"/>
            </w:pPr>
          </w:p>
        </w:tc>
        <w:tc>
          <w:tcPr>
            <w:tcW w:w="1133" w:type="dxa"/>
            <w:shd w:val="clear" w:color="auto" w:fill="auto"/>
            <w:noWrap/>
            <w:vAlign w:val="center"/>
          </w:tcPr>
          <w:p>
            <w:pPr>
              <w:pStyle w:val="136"/>
            </w:pPr>
            <w:r>
              <w:t>0</w:t>
            </w:r>
          </w:p>
        </w:tc>
        <w:tc>
          <w:tcPr>
            <w:tcW w:w="2120" w:type="dxa"/>
            <w:shd w:val="clear" w:color="auto" w:fill="auto"/>
            <w:noWrap/>
            <w:vAlign w:val="center"/>
          </w:tcPr>
          <w:p>
            <w:pPr>
              <w:pStyle w:val="136"/>
            </w:pPr>
            <w: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9月</w:t>
            </w:r>
          </w:p>
        </w:tc>
        <w:tc>
          <w:tcPr>
            <w:tcW w:w="855" w:type="dxa"/>
            <w:shd w:val="clear" w:color="auto" w:fill="auto"/>
            <w:noWrap/>
            <w:vAlign w:val="center"/>
          </w:tcPr>
          <w:p>
            <w:pPr>
              <w:pStyle w:val="136"/>
            </w:pPr>
            <w:r>
              <w:t>31.9</w:t>
            </w:r>
          </w:p>
        </w:tc>
        <w:tc>
          <w:tcPr>
            <w:tcW w:w="851" w:type="dxa"/>
            <w:shd w:val="clear" w:color="auto" w:fill="auto"/>
            <w:noWrap/>
            <w:vAlign w:val="center"/>
          </w:tcPr>
          <w:p>
            <w:pPr>
              <w:pStyle w:val="136"/>
            </w:pPr>
            <w:r>
              <w:t>0</w:t>
            </w:r>
          </w:p>
        </w:tc>
        <w:tc>
          <w:tcPr>
            <w:tcW w:w="850" w:type="dxa"/>
            <w:shd w:val="clear" w:color="auto" w:fill="auto"/>
            <w:noWrap/>
            <w:vAlign w:val="center"/>
          </w:tcPr>
          <w:p>
            <w:pPr>
              <w:pStyle w:val="136"/>
            </w:pPr>
            <w:r>
              <w:t>31.9</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31.9</w:t>
            </w:r>
          </w:p>
        </w:tc>
        <w:tc>
          <w:tcPr>
            <w:tcW w:w="1133" w:type="dxa"/>
            <w:shd w:val="clear" w:color="auto" w:fill="auto"/>
            <w:noWrap/>
            <w:vAlign w:val="center"/>
          </w:tcPr>
          <w:p>
            <w:pPr>
              <w:pStyle w:val="136"/>
            </w:pPr>
            <w:r>
              <w:t>31.9</w:t>
            </w:r>
          </w:p>
        </w:tc>
        <w:tc>
          <w:tcPr>
            <w:tcW w:w="2120" w:type="dxa"/>
            <w:shd w:val="clear" w:color="auto" w:fill="auto"/>
            <w:noWrap/>
            <w:vAlign w:val="center"/>
          </w:tcPr>
          <w:p>
            <w:pPr>
              <w:pStyle w:val="136"/>
            </w:pPr>
            <w:r>
              <w:t>1961.38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10月</w:t>
            </w:r>
          </w:p>
        </w:tc>
        <w:tc>
          <w:tcPr>
            <w:tcW w:w="855" w:type="dxa"/>
            <w:shd w:val="clear" w:color="auto" w:fill="auto"/>
            <w:noWrap/>
            <w:vAlign w:val="center"/>
          </w:tcPr>
          <w:p>
            <w:pPr>
              <w:pStyle w:val="136"/>
            </w:pPr>
            <w:r>
              <w:t>33.7</w:t>
            </w:r>
          </w:p>
        </w:tc>
        <w:tc>
          <w:tcPr>
            <w:tcW w:w="851" w:type="dxa"/>
            <w:shd w:val="clear" w:color="auto" w:fill="auto"/>
            <w:noWrap/>
            <w:vAlign w:val="center"/>
          </w:tcPr>
          <w:p>
            <w:pPr>
              <w:pStyle w:val="136"/>
            </w:pPr>
            <w:r>
              <w:t>0</w:t>
            </w:r>
          </w:p>
        </w:tc>
        <w:tc>
          <w:tcPr>
            <w:tcW w:w="850" w:type="dxa"/>
            <w:shd w:val="clear" w:color="auto" w:fill="auto"/>
            <w:noWrap/>
            <w:vAlign w:val="center"/>
          </w:tcPr>
          <w:p>
            <w:pPr>
              <w:pStyle w:val="136"/>
            </w:pPr>
            <w:r>
              <w:t>33.7</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33.7</w:t>
            </w:r>
          </w:p>
        </w:tc>
        <w:tc>
          <w:tcPr>
            <w:tcW w:w="1133" w:type="dxa"/>
            <w:shd w:val="clear" w:color="auto" w:fill="auto"/>
            <w:noWrap/>
            <w:vAlign w:val="center"/>
          </w:tcPr>
          <w:p>
            <w:pPr>
              <w:pStyle w:val="136"/>
            </w:pPr>
            <w:r>
              <w:t>65.6</w:t>
            </w:r>
          </w:p>
        </w:tc>
        <w:tc>
          <w:tcPr>
            <w:tcW w:w="2120" w:type="dxa"/>
            <w:shd w:val="clear" w:color="auto" w:fill="auto"/>
            <w:noWrap/>
            <w:vAlign w:val="center"/>
          </w:tcPr>
          <w:p>
            <w:pPr>
              <w:pStyle w:val="136"/>
            </w:pPr>
            <w:r>
              <w:t>1966.87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11月</w:t>
            </w:r>
          </w:p>
        </w:tc>
        <w:tc>
          <w:tcPr>
            <w:tcW w:w="855" w:type="dxa"/>
            <w:shd w:val="clear" w:color="auto" w:fill="auto"/>
            <w:noWrap/>
            <w:vAlign w:val="center"/>
          </w:tcPr>
          <w:p>
            <w:pPr>
              <w:pStyle w:val="136"/>
            </w:pPr>
            <w:r>
              <w:t>32.6</w:t>
            </w:r>
          </w:p>
        </w:tc>
        <w:tc>
          <w:tcPr>
            <w:tcW w:w="851" w:type="dxa"/>
            <w:shd w:val="clear" w:color="auto" w:fill="auto"/>
            <w:noWrap/>
            <w:vAlign w:val="center"/>
          </w:tcPr>
          <w:p>
            <w:pPr>
              <w:pStyle w:val="136"/>
            </w:pPr>
            <w:r>
              <w:t>0</w:t>
            </w:r>
          </w:p>
        </w:tc>
        <w:tc>
          <w:tcPr>
            <w:tcW w:w="850" w:type="dxa"/>
            <w:shd w:val="clear" w:color="auto" w:fill="auto"/>
            <w:noWrap/>
            <w:vAlign w:val="center"/>
          </w:tcPr>
          <w:p>
            <w:pPr>
              <w:pStyle w:val="136"/>
            </w:pPr>
            <w:r>
              <w:t>32.6</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32.6</w:t>
            </w:r>
          </w:p>
        </w:tc>
        <w:tc>
          <w:tcPr>
            <w:tcW w:w="1133" w:type="dxa"/>
            <w:shd w:val="clear" w:color="auto" w:fill="auto"/>
            <w:noWrap/>
            <w:vAlign w:val="center"/>
          </w:tcPr>
          <w:p>
            <w:pPr>
              <w:pStyle w:val="136"/>
            </w:pPr>
            <w:r>
              <w:t>98.2</w:t>
            </w:r>
          </w:p>
        </w:tc>
        <w:tc>
          <w:tcPr>
            <w:tcW w:w="2120" w:type="dxa"/>
            <w:shd w:val="clear" w:color="auto" w:fill="auto"/>
            <w:noWrap/>
            <w:vAlign w:val="center"/>
          </w:tcPr>
          <w:p>
            <w:pPr>
              <w:pStyle w:val="136"/>
            </w:pPr>
            <w:r>
              <w:t>1970.65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12月</w:t>
            </w:r>
          </w:p>
        </w:tc>
        <w:tc>
          <w:tcPr>
            <w:tcW w:w="855" w:type="dxa"/>
            <w:shd w:val="clear" w:color="auto" w:fill="auto"/>
            <w:noWrap/>
            <w:vAlign w:val="center"/>
          </w:tcPr>
          <w:p>
            <w:pPr>
              <w:pStyle w:val="136"/>
            </w:pPr>
            <w:r>
              <w:t>31.9</w:t>
            </w:r>
          </w:p>
        </w:tc>
        <w:tc>
          <w:tcPr>
            <w:tcW w:w="851" w:type="dxa"/>
            <w:shd w:val="clear" w:color="auto" w:fill="auto"/>
            <w:noWrap/>
            <w:vAlign w:val="center"/>
          </w:tcPr>
          <w:p>
            <w:pPr>
              <w:pStyle w:val="136"/>
            </w:pPr>
            <w:r>
              <w:t>0</w:t>
            </w:r>
          </w:p>
        </w:tc>
        <w:tc>
          <w:tcPr>
            <w:tcW w:w="850" w:type="dxa"/>
            <w:shd w:val="clear" w:color="auto" w:fill="auto"/>
            <w:noWrap/>
            <w:vAlign w:val="center"/>
          </w:tcPr>
          <w:p>
            <w:pPr>
              <w:pStyle w:val="136"/>
            </w:pPr>
            <w:r>
              <w:t>31.9</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31.9</w:t>
            </w:r>
          </w:p>
        </w:tc>
        <w:tc>
          <w:tcPr>
            <w:tcW w:w="1133" w:type="dxa"/>
            <w:shd w:val="clear" w:color="auto" w:fill="auto"/>
            <w:noWrap/>
            <w:vAlign w:val="center"/>
          </w:tcPr>
          <w:p>
            <w:pPr>
              <w:pStyle w:val="136"/>
            </w:pPr>
            <w:r>
              <w:t>130.1</w:t>
            </w:r>
          </w:p>
        </w:tc>
        <w:tc>
          <w:tcPr>
            <w:tcW w:w="2120" w:type="dxa"/>
            <w:shd w:val="clear" w:color="auto" w:fill="auto"/>
            <w:noWrap/>
            <w:vAlign w:val="center"/>
          </w:tcPr>
          <w:p>
            <w:pPr>
              <w:pStyle w:val="136"/>
            </w:pPr>
            <w:r>
              <w:t>1973.62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1月</w:t>
            </w:r>
          </w:p>
        </w:tc>
        <w:tc>
          <w:tcPr>
            <w:tcW w:w="855" w:type="dxa"/>
            <w:shd w:val="clear" w:color="auto" w:fill="auto"/>
            <w:noWrap/>
            <w:vAlign w:val="center"/>
          </w:tcPr>
          <w:p>
            <w:pPr>
              <w:pStyle w:val="136"/>
            </w:pPr>
            <w:r>
              <w:t>33.5</w:t>
            </w:r>
          </w:p>
        </w:tc>
        <w:tc>
          <w:tcPr>
            <w:tcW w:w="851" w:type="dxa"/>
            <w:shd w:val="clear" w:color="auto" w:fill="auto"/>
            <w:noWrap/>
            <w:vAlign w:val="center"/>
          </w:tcPr>
          <w:p>
            <w:pPr>
              <w:pStyle w:val="136"/>
            </w:pPr>
            <w:r>
              <w:t>0</w:t>
            </w:r>
          </w:p>
        </w:tc>
        <w:tc>
          <w:tcPr>
            <w:tcW w:w="850" w:type="dxa"/>
            <w:shd w:val="clear" w:color="auto" w:fill="auto"/>
            <w:noWrap/>
            <w:vAlign w:val="center"/>
          </w:tcPr>
          <w:p>
            <w:pPr>
              <w:pStyle w:val="136"/>
            </w:pPr>
            <w:r>
              <w:t>33.5</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33.5</w:t>
            </w:r>
          </w:p>
        </w:tc>
        <w:tc>
          <w:tcPr>
            <w:tcW w:w="1133" w:type="dxa"/>
            <w:shd w:val="clear" w:color="auto" w:fill="auto"/>
            <w:noWrap/>
            <w:vAlign w:val="center"/>
          </w:tcPr>
          <w:p>
            <w:pPr>
              <w:pStyle w:val="136"/>
            </w:pPr>
            <w:r>
              <w:t>163.6</w:t>
            </w:r>
          </w:p>
        </w:tc>
        <w:tc>
          <w:tcPr>
            <w:tcW w:w="2120" w:type="dxa"/>
            <w:shd w:val="clear" w:color="auto" w:fill="auto"/>
            <w:noWrap/>
            <w:vAlign w:val="center"/>
          </w:tcPr>
          <w:p>
            <w:pPr>
              <w:pStyle w:val="136"/>
            </w:pPr>
            <w:r>
              <w:t>1976.26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2月</w:t>
            </w:r>
          </w:p>
        </w:tc>
        <w:tc>
          <w:tcPr>
            <w:tcW w:w="855" w:type="dxa"/>
            <w:shd w:val="clear" w:color="auto" w:fill="auto"/>
            <w:noWrap/>
            <w:vAlign w:val="center"/>
          </w:tcPr>
          <w:p>
            <w:pPr>
              <w:pStyle w:val="136"/>
            </w:pPr>
            <w:r>
              <w:t>31.5</w:t>
            </w:r>
          </w:p>
        </w:tc>
        <w:tc>
          <w:tcPr>
            <w:tcW w:w="851" w:type="dxa"/>
            <w:shd w:val="clear" w:color="auto" w:fill="auto"/>
            <w:noWrap/>
            <w:vAlign w:val="center"/>
          </w:tcPr>
          <w:p>
            <w:pPr>
              <w:pStyle w:val="136"/>
            </w:pPr>
            <w:r>
              <w:t>0</w:t>
            </w:r>
          </w:p>
        </w:tc>
        <w:tc>
          <w:tcPr>
            <w:tcW w:w="850" w:type="dxa"/>
            <w:shd w:val="clear" w:color="auto" w:fill="auto"/>
            <w:noWrap/>
            <w:vAlign w:val="center"/>
          </w:tcPr>
          <w:p>
            <w:pPr>
              <w:pStyle w:val="136"/>
            </w:pPr>
            <w:r>
              <w:t>31.5</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31.5</w:t>
            </w:r>
          </w:p>
        </w:tc>
        <w:tc>
          <w:tcPr>
            <w:tcW w:w="1133" w:type="dxa"/>
            <w:shd w:val="clear" w:color="auto" w:fill="auto"/>
            <w:noWrap/>
            <w:vAlign w:val="center"/>
          </w:tcPr>
          <w:p>
            <w:pPr>
              <w:pStyle w:val="136"/>
            </w:pPr>
            <w:r>
              <w:t>195.1</w:t>
            </w:r>
          </w:p>
        </w:tc>
        <w:tc>
          <w:tcPr>
            <w:tcW w:w="2120" w:type="dxa"/>
            <w:shd w:val="clear" w:color="auto" w:fill="auto"/>
            <w:noWrap/>
            <w:vAlign w:val="center"/>
          </w:tcPr>
          <w:p>
            <w:pPr>
              <w:pStyle w:val="136"/>
            </w:pPr>
            <w:r>
              <w:t>1978.44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3月</w:t>
            </w:r>
          </w:p>
        </w:tc>
        <w:tc>
          <w:tcPr>
            <w:tcW w:w="855" w:type="dxa"/>
            <w:shd w:val="clear" w:color="auto" w:fill="auto"/>
            <w:noWrap/>
            <w:vAlign w:val="center"/>
          </w:tcPr>
          <w:p>
            <w:pPr>
              <w:pStyle w:val="136"/>
            </w:pPr>
            <w:r>
              <w:t>30</w:t>
            </w:r>
          </w:p>
        </w:tc>
        <w:tc>
          <w:tcPr>
            <w:tcW w:w="851" w:type="dxa"/>
            <w:shd w:val="clear" w:color="auto" w:fill="auto"/>
            <w:noWrap/>
            <w:vAlign w:val="center"/>
          </w:tcPr>
          <w:p>
            <w:pPr>
              <w:pStyle w:val="136"/>
            </w:pPr>
            <w:r>
              <w:t>0</w:t>
            </w:r>
          </w:p>
        </w:tc>
        <w:tc>
          <w:tcPr>
            <w:tcW w:w="850" w:type="dxa"/>
            <w:shd w:val="clear" w:color="auto" w:fill="auto"/>
            <w:noWrap/>
            <w:vAlign w:val="center"/>
          </w:tcPr>
          <w:p>
            <w:pPr>
              <w:pStyle w:val="136"/>
            </w:pPr>
            <w:r>
              <w:t>30</w:t>
            </w:r>
          </w:p>
        </w:tc>
        <w:tc>
          <w:tcPr>
            <w:tcW w:w="851" w:type="dxa"/>
            <w:shd w:val="clear" w:color="auto" w:fill="auto"/>
            <w:noWrap/>
            <w:vAlign w:val="center"/>
          </w:tcPr>
          <w:p>
            <w:pPr>
              <w:pStyle w:val="136"/>
            </w:pPr>
            <w:r>
              <w:t>0</w:t>
            </w:r>
          </w:p>
        </w:tc>
        <w:tc>
          <w:tcPr>
            <w:tcW w:w="858" w:type="dxa"/>
            <w:shd w:val="clear" w:color="auto" w:fill="auto"/>
            <w:noWrap/>
            <w:vAlign w:val="center"/>
          </w:tcPr>
          <w:p>
            <w:pPr>
              <w:pStyle w:val="136"/>
            </w:pPr>
            <w:r>
              <w:t>30</w:t>
            </w:r>
          </w:p>
        </w:tc>
        <w:tc>
          <w:tcPr>
            <w:tcW w:w="1133" w:type="dxa"/>
            <w:shd w:val="clear" w:color="auto" w:fill="auto"/>
            <w:noWrap/>
            <w:vAlign w:val="center"/>
          </w:tcPr>
          <w:p>
            <w:pPr>
              <w:pStyle w:val="136"/>
            </w:pPr>
            <w:r>
              <w:t>225.1</w:t>
            </w:r>
          </w:p>
        </w:tc>
        <w:tc>
          <w:tcPr>
            <w:tcW w:w="2120" w:type="dxa"/>
            <w:shd w:val="clear" w:color="auto" w:fill="auto"/>
            <w:noWrap/>
            <w:vAlign w:val="center"/>
          </w:tcPr>
          <w:p>
            <w:pPr>
              <w:pStyle w:val="136"/>
            </w:pPr>
            <w:r>
              <w:t>1980.3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4月30日</w:t>
            </w:r>
          </w:p>
        </w:tc>
        <w:tc>
          <w:tcPr>
            <w:tcW w:w="855" w:type="dxa"/>
            <w:shd w:val="clear" w:color="auto" w:fill="auto"/>
            <w:noWrap/>
            <w:vAlign w:val="center"/>
          </w:tcPr>
          <w:p>
            <w:pPr>
              <w:pStyle w:val="136"/>
            </w:pPr>
            <w:r>
              <w:t>25.8</w:t>
            </w:r>
          </w:p>
        </w:tc>
        <w:tc>
          <w:tcPr>
            <w:tcW w:w="851" w:type="dxa"/>
            <w:shd w:val="clear" w:color="auto" w:fill="auto"/>
            <w:noWrap/>
            <w:vAlign w:val="center"/>
          </w:tcPr>
          <w:p>
            <w:pPr>
              <w:pStyle w:val="136"/>
            </w:pPr>
            <w:r>
              <w:t>0</w:t>
            </w:r>
          </w:p>
        </w:tc>
        <w:tc>
          <w:tcPr>
            <w:tcW w:w="850" w:type="dxa"/>
            <w:shd w:val="clear" w:color="auto" w:fill="auto"/>
            <w:noWrap/>
            <w:vAlign w:val="center"/>
          </w:tcPr>
          <w:p>
            <w:pPr>
              <w:pStyle w:val="136"/>
            </w:pPr>
            <w:r>
              <w:t>25.8</w:t>
            </w:r>
          </w:p>
        </w:tc>
        <w:tc>
          <w:tcPr>
            <w:tcW w:w="851" w:type="dxa"/>
            <w:shd w:val="clear" w:color="auto" w:fill="auto"/>
            <w:noWrap/>
            <w:vAlign w:val="center"/>
          </w:tcPr>
          <w:p>
            <w:pPr>
              <w:pStyle w:val="136"/>
            </w:pPr>
            <w:r>
              <w:t>9.41</w:t>
            </w:r>
          </w:p>
        </w:tc>
        <w:tc>
          <w:tcPr>
            <w:tcW w:w="858" w:type="dxa"/>
            <w:shd w:val="clear" w:color="auto" w:fill="auto"/>
            <w:noWrap/>
            <w:vAlign w:val="center"/>
          </w:tcPr>
          <w:p>
            <w:pPr>
              <w:pStyle w:val="136"/>
            </w:pPr>
            <w:r>
              <w:t>16.39</w:t>
            </w:r>
          </w:p>
        </w:tc>
        <w:tc>
          <w:tcPr>
            <w:tcW w:w="1133" w:type="dxa"/>
            <w:shd w:val="clear" w:color="auto" w:fill="auto"/>
            <w:noWrap/>
            <w:vAlign w:val="center"/>
          </w:tcPr>
          <w:p>
            <w:pPr>
              <w:pStyle w:val="136"/>
            </w:pPr>
            <w:r>
              <w:t>241.49</w:t>
            </w:r>
          </w:p>
        </w:tc>
        <w:tc>
          <w:tcPr>
            <w:tcW w:w="2120" w:type="dxa"/>
            <w:shd w:val="clear" w:color="auto" w:fill="auto"/>
            <w:noWrap/>
            <w:vAlign w:val="center"/>
          </w:tcPr>
          <w:p>
            <w:pPr>
              <w:pStyle w:val="136"/>
            </w:pPr>
            <w:r>
              <w:t>1981.24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pStyle w:val="136"/>
            </w:pPr>
            <w:r>
              <w:t>合计</w:t>
            </w:r>
          </w:p>
        </w:tc>
        <w:tc>
          <w:tcPr>
            <w:tcW w:w="7518" w:type="dxa"/>
            <w:gridSpan w:val="7"/>
            <w:shd w:val="clear" w:color="auto" w:fill="auto"/>
            <w:noWrap/>
            <w:vAlign w:val="center"/>
          </w:tcPr>
          <w:p>
            <w:pPr>
              <w:pStyle w:val="136"/>
            </w:pPr>
            <w:r>
              <w:t>242天</w:t>
            </w:r>
          </w:p>
        </w:tc>
      </w:tr>
    </w:tbl>
    <w:p>
      <w:pPr>
        <w:ind w:firstLine="480"/>
        <w:rPr>
          <w:rFonts w:cs="Times New Roman"/>
        </w:rPr>
      </w:pPr>
    </w:p>
    <w:p>
      <w:pPr>
        <w:pStyle w:val="4"/>
        <w:rPr>
          <w:rFonts w:cs="Times New Roman"/>
        </w:rPr>
      </w:pPr>
      <w:r>
        <w:rPr>
          <w:rFonts w:cs="Times New Roman"/>
        </w:rPr>
        <w:t>2.4.7 施工总进度</w:t>
      </w:r>
    </w:p>
    <w:p>
      <w:pPr>
        <w:ind w:firstLine="480"/>
        <w:rPr>
          <w:rFonts w:cs="Times New Roman"/>
        </w:rPr>
      </w:pPr>
      <w:r>
        <w:rPr>
          <w:rFonts w:cs="Times New Roman"/>
        </w:rPr>
        <w:t>根据施工组织设计，代尔昆代水库施工总工期为3年，有效工期17个月，工程拟于施工期第一年4月1日开工，第三年7月1日完工，具体见表2.4-1。</w:t>
      </w:r>
    </w:p>
    <w:p>
      <w:pPr>
        <w:ind w:firstLine="480"/>
        <w:rPr>
          <w:rFonts w:cs="Times New Roman"/>
        </w:rPr>
      </w:pPr>
      <w:r>
        <w:rPr>
          <w:rFonts w:cs="Times New Roman"/>
        </w:rPr>
        <w:t>施工高峰期总人数310人。</w:t>
      </w:r>
    </w:p>
    <w:p>
      <w:pPr>
        <w:pStyle w:val="137"/>
        <w:spacing w:before="48"/>
      </w:pPr>
      <w:r>
        <w:t>表2.4-1                       总工期特征表</w:t>
      </w:r>
    </w:p>
    <w:tbl>
      <w:tblPr>
        <w:tblStyle w:val="41"/>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675"/>
        <w:gridCol w:w="1757"/>
        <w:gridCol w:w="1757"/>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838" w:type="dxa"/>
            <w:vAlign w:val="center"/>
          </w:tcPr>
          <w:p>
            <w:pPr>
              <w:pStyle w:val="136"/>
            </w:pPr>
            <w:r>
              <w:t>工程筹建期（天）</w:t>
            </w:r>
          </w:p>
        </w:tc>
        <w:tc>
          <w:tcPr>
            <w:tcW w:w="1675" w:type="dxa"/>
            <w:vAlign w:val="center"/>
          </w:tcPr>
          <w:p>
            <w:pPr>
              <w:pStyle w:val="136"/>
            </w:pPr>
            <w:r>
              <w:t>工程准备期（月）</w:t>
            </w:r>
          </w:p>
        </w:tc>
        <w:tc>
          <w:tcPr>
            <w:tcW w:w="1757" w:type="dxa"/>
            <w:vAlign w:val="center"/>
          </w:tcPr>
          <w:p>
            <w:pPr>
              <w:pStyle w:val="136"/>
            </w:pPr>
            <w:r>
              <w:t>主体工程施工期（月）</w:t>
            </w:r>
          </w:p>
        </w:tc>
        <w:tc>
          <w:tcPr>
            <w:tcW w:w="1757" w:type="dxa"/>
            <w:vAlign w:val="center"/>
          </w:tcPr>
          <w:p>
            <w:pPr>
              <w:pStyle w:val="136"/>
            </w:pPr>
            <w:r>
              <w:t>完建期（月）</w:t>
            </w:r>
          </w:p>
        </w:tc>
        <w:tc>
          <w:tcPr>
            <w:tcW w:w="1757" w:type="dxa"/>
            <w:vAlign w:val="center"/>
          </w:tcPr>
          <w:p>
            <w:pPr>
              <w:pStyle w:val="136"/>
            </w:pPr>
            <w:r>
              <w:t>总工期（年）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838" w:type="dxa"/>
            <w:vAlign w:val="center"/>
          </w:tcPr>
          <w:p>
            <w:pPr>
              <w:pStyle w:val="136"/>
            </w:pPr>
            <w:r>
              <w:t>30</w:t>
            </w:r>
          </w:p>
        </w:tc>
        <w:tc>
          <w:tcPr>
            <w:tcW w:w="1675" w:type="dxa"/>
            <w:vAlign w:val="center"/>
          </w:tcPr>
          <w:p>
            <w:pPr>
              <w:pStyle w:val="136"/>
            </w:pPr>
            <w:r>
              <w:t>5</w:t>
            </w:r>
          </w:p>
        </w:tc>
        <w:tc>
          <w:tcPr>
            <w:tcW w:w="1757" w:type="dxa"/>
            <w:vAlign w:val="center"/>
          </w:tcPr>
          <w:p>
            <w:pPr>
              <w:pStyle w:val="136"/>
            </w:pPr>
            <w:r>
              <w:t>14</w:t>
            </w:r>
          </w:p>
        </w:tc>
        <w:tc>
          <w:tcPr>
            <w:tcW w:w="1757" w:type="dxa"/>
            <w:vAlign w:val="center"/>
          </w:tcPr>
          <w:p>
            <w:pPr>
              <w:pStyle w:val="136"/>
            </w:pPr>
            <w:r>
              <w:t>2</w:t>
            </w:r>
          </w:p>
        </w:tc>
        <w:tc>
          <w:tcPr>
            <w:tcW w:w="1757" w:type="dxa"/>
            <w:vAlign w:val="center"/>
          </w:tcPr>
          <w:p>
            <w:pPr>
              <w:pStyle w:val="136"/>
            </w:pPr>
            <w:r>
              <w:t>3（17个月）</w:t>
            </w:r>
          </w:p>
        </w:tc>
      </w:tr>
    </w:tbl>
    <w:p>
      <w:pPr>
        <w:ind w:firstLine="480"/>
        <w:rPr>
          <w:rFonts w:cs="Times New Roman"/>
        </w:rPr>
      </w:pPr>
      <w:bookmarkStart w:id="61" w:name="_Toc136263287"/>
    </w:p>
    <w:p>
      <w:pPr>
        <w:pStyle w:val="3"/>
        <w:rPr>
          <w:rFonts w:cs="Times New Roman"/>
        </w:rPr>
      </w:pPr>
      <w:bookmarkStart w:id="62" w:name="_Toc181381598"/>
      <w:r>
        <w:rPr>
          <w:rFonts w:cs="Times New Roman"/>
        </w:rPr>
        <w:t>2.5 土石方平衡</w:t>
      </w:r>
      <w:bookmarkEnd w:id="61"/>
      <w:bookmarkEnd w:id="62"/>
    </w:p>
    <w:p>
      <w:pPr>
        <w:ind w:firstLine="480"/>
        <w:rPr>
          <w:rFonts w:cs="Times New Roman"/>
        </w:rPr>
      </w:pPr>
      <w:r>
        <w:rPr>
          <w:rFonts w:cs="Times New Roman"/>
        </w:rPr>
        <w:t>代尔昆代水库工程土石方开挖总量约30.57万m</w:t>
      </w:r>
      <w:r>
        <w:rPr>
          <w:rFonts w:cs="Times New Roman"/>
          <w:vertAlign w:val="superscript"/>
        </w:rPr>
        <w:t>3</w:t>
      </w:r>
      <w:r>
        <w:rPr>
          <w:rFonts w:cs="Times New Roman"/>
        </w:rPr>
        <w:t>，其中土方明挖量约11.56万m</w:t>
      </w:r>
      <w:r>
        <w:rPr>
          <w:rFonts w:cs="Times New Roman"/>
          <w:vertAlign w:val="superscript"/>
        </w:rPr>
        <w:t>3</w:t>
      </w:r>
      <w:r>
        <w:rPr>
          <w:rFonts w:cs="Times New Roman"/>
        </w:rPr>
        <w:t>，石方开挖量19.01万m</w:t>
      </w:r>
      <w:r>
        <w:rPr>
          <w:rFonts w:cs="Times New Roman"/>
          <w:vertAlign w:val="superscript"/>
        </w:rPr>
        <w:t>3</w:t>
      </w:r>
      <w:r>
        <w:rPr>
          <w:rFonts w:cs="Times New Roman"/>
        </w:rPr>
        <w:t>。坝体填筑量（实方）为6.94万m</w:t>
      </w:r>
      <w:r>
        <w:rPr>
          <w:rFonts w:cs="Times New Roman"/>
          <w:vertAlign w:val="superscript"/>
        </w:rPr>
        <w:t>3</w:t>
      </w:r>
      <w:r>
        <w:rPr>
          <w:rFonts w:cs="Times New Roman"/>
        </w:rPr>
        <w:t>，重力坝碾压砼骨料利用量（自然方）为7.9万m</w:t>
      </w:r>
      <w:r>
        <w:rPr>
          <w:rFonts w:cs="Times New Roman"/>
          <w:vertAlign w:val="superscript"/>
        </w:rPr>
        <w:t>3</w:t>
      </w:r>
      <w:r>
        <w:rPr>
          <w:rFonts w:cs="Times New Roman"/>
        </w:rPr>
        <w:t>，借方量（自然方）为1.24万m</w:t>
      </w:r>
      <w:r>
        <w:rPr>
          <w:rFonts w:cs="Times New Roman"/>
          <w:vertAlign w:val="superscript"/>
        </w:rPr>
        <w:t>3</w:t>
      </w:r>
      <w:r>
        <w:rPr>
          <w:rFonts w:cs="Times New Roman"/>
        </w:rPr>
        <w:t>。弃渣量（松方）约26.96万m</w:t>
      </w:r>
      <w:r>
        <w:rPr>
          <w:rFonts w:cs="Times New Roman"/>
          <w:vertAlign w:val="superscript"/>
        </w:rPr>
        <w:t>3</w:t>
      </w:r>
      <w:r>
        <w:rPr>
          <w:rFonts w:cs="Times New Roman"/>
        </w:rPr>
        <w:t>。土石方平衡计算见表2.5-1。</w:t>
      </w:r>
    </w:p>
    <w:p>
      <w:pPr>
        <w:ind w:firstLine="480"/>
        <w:rPr>
          <w:rFonts w:cs="Times New Roman"/>
        </w:rPr>
        <w:sectPr>
          <w:pgSz w:w="11906" w:h="16838"/>
          <w:pgMar w:top="1418" w:right="1559" w:bottom="1418" w:left="1559" w:header="851" w:footer="992" w:gutter="0"/>
          <w:pgNumType w:start="1"/>
          <w:cols w:space="425" w:num="1"/>
          <w:docGrid w:linePitch="312" w:charSpace="0"/>
        </w:sectPr>
      </w:pPr>
    </w:p>
    <w:p>
      <w:pPr>
        <w:pStyle w:val="137"/>
        <w:spacing w:before="48"/>
      </w:pPr>
      <w:r>
        <w:t>表2.5-1                                     土石方挖填方平衡表                                 单位：m</w:t>
      </w:r>
      <w:r>
        <w:rPr>
          <w:vertAlign w:val="superscript"/>
        </w:rPr>
        <w:t>3</w:t>
      </w:r>
    </w:p>
    <w:tbl>
      <w:tblPr>
        <w:tblStyle w:val="40"/>
        <w:tblW w:w="139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1134"/>
        <w:gridCol w:w="708"/>
        <w:gridCol w:w="845"/>
        <w:gridCol w:w="993"/>
        <w:gridCol w:w="1842"/>
        <w:gridCol w:w="1276"/>
        <w:gridCol w:w="992"/>
        <w:gridCol w:w="1276"/>
        <w:gridCol w:w="1003"/>
        <w:gridCol w:w="1549"/>
        <w:gridCol w:w="850"/>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0" w:type="dxa"/>
            <w:vMerge w:val="restart"/>
            <w:vAlign w:val="center"/>
          </w:tcPr>
          <w:p>
            <w:pPr>
              <w:pStyle w:val="136"/>
            </w:pPr>
            <w:r>
              <w:t>序号</w:t>
            </w:r>
          </w:p>
        </w:tc>
        <w:tc>
          <w:tcPr>
            <w:tcW w:w="1134" w:type="dxa"/>
            <w:vMerge w:val="restart"/>
            <w:noWrap/>
            <w:vAlign w:val="center"/>
          </w:tcPr>
          <w:p>
            <w:pPr>
              <w:pStyle w:val="136"/>
            </w:pPr>
            <w:r>
              <w:t>工程名称</w:t>
            </w:r>
          </w:p>
        </w:tc>
        <w:tc>
          <w:tcPr>
            <w:tcW w:w="708" w:type="dxa"/>
            <w:vMerge w:val="restart"/>
            <w:vAlign w:val="center"/>
          </w:tcPr>
          <w:p>
            <w:pPr>
              <w:pStyle w:val="136"/>
            </w:pPr>
            <w:r>
              <w:t>清基料</w:t>
            </w:r>
          </w:p>
        </w:tc>
        <w:tc>
          <w:tcPr>
            <w:tcW w:w="1838" w:type="dxa"/>
            <w:gridSpan w:val="2"/>
            <w:noWrap/>
            <w:vAlign w:val="center"/>
          </w:tcPr>
          <w:p>
            <w:pPr>
              <w:pStyle w:val="136"/>
            </w:pPr>
            <w:r>
              <w:t>开挖量</w:t>
            </w:r>
          </w:p>
        </w:tc>
        <w:tc>
          <w:tcPr>
            <w:tcW w:w="3118" w:type="dxa"/>
            <w:gridSpan w:val="2"/>
            <w:noWrap/>
            <w:vAlign w:val="center"/>
          </w:tcPr>
          <w:p>
            <w:pPr>
              <w:pStyle w:val="136"/>
            </w:pPr>
            <w:r>
              <w:t>可利用方</w:t>
            </w:r>
          </w:p>
        </w:tc>
        <w:tc>
          <w:tcPr>
            <w:tcW w:w="992" w:type="dxa"/>
            <w:vMerge w:val="restart"/>
            <w:noWrap/>
            <w:vAlign w:val="center"/>
          </w:tcPr>
          <w:p>
            <w:pPr>
              <w:pStyle w:val="136"/>
            </w:pPr>
            <w:r>
              <w:t>土方填筑（实方）</w:t>
            </w:r>
          </w:p>
        </w:tc>
        <w:tc>
          <w:tcPr>
            <w:tcW w:w="1276" w:type="dxa"/>
            <w:vMerge w:val="restart"/>
            <w:vAlign w:val="center"/>
          </w:tcPr>
          <w:p>
            <w:pPr>
              <w:pStyle w:val="136"/>
            </w:pPr>
            <w:r>
              <w:t>填筑料场来源</w:t>
            </w:r>
          </w:p>
        </w:tc>
        <w:tc>
          <w:tcPr>
            <w:tcW w:w="1003" w:type="dxa"/>
            <w:vMerge w:val="restart"/>
            <w:vAlign w:val="center"/>
          </w:tcPr>
          <w:p>
            <w:pPr>
              <w:pStyle w:val="136"/>
            </w:pPr>
            <w:r>
              <w:t>弃料</w:t>
            </w:r>
          </w:p>
          <w:p>
            <w:pPr>
              <w:pStyle w:val="136"/>
            </w:pPr>
            <w:r>
              <w:t>（松方）</w:t>
            </w:r>
          </w:p>
        </w:tc>
        <w:tc>
          <w:tcPr>
            <w:tcW w:w="1549" w:type="dxa"/>
            <w:vMerge w:val="restart"/>
            <w:vAlign w:val="center"/>
          </w:tcPr>
          <w:p>
            <w:pPr>
              <w:pStyle w:val="136"/>
            </w:pPr>
            <w:r>
              <w:t>弃料场</w:t>
            </w:r>
          </w:p>
        </w:tc>
        <w:tc>
          <w:tcPr>
            <w:tcW w:w="1666" w:type="dxa"/>
            <w:gridSpan w:val="2"/>
            <w:vAlign w:val="center"/>
          </w:tcPr>
          <w:p>
            <w:pPr>
              <w:pStyle w:val="136"/>
            </w:pPr>
            <w:r>
              <w:t>补充方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0" w:type="dxa"/>
            <w:vMerge w:val="continue"/>
            <w:vAlign w:val="center"/>
          </w:tcPr>
          <w:p>
            <w:pPr>
              <w:pStyle w:val="136"/>
            </w:pPr>
          </w:p>
        </w:tc>
        <w:tc>
          <w:tcPr>
            <w:tcW w:w="1134" w:type="dxa"/>
            <w:vMerge w:val="continue"/>
            <w:noWrap/>
            <w:vAlign w:val="center"/>
          </w:tcPr>
          <w:p>
            <w:pPr>
              <w:pStyle w:val="136"/>
            </w:pPr>
          </w:p>
        </w:tc>
        <w:tc>
          <w:tcPr>
            <w:tcW w:w="708" w:type="dxa"/>
            <w:vMerge w:val="continue"/>
            <w:vAlign w:val="center"/>
          </w:tcPr>
          <w:p>
            <w:pPr>
              <w:pStyle w:val="136"/>
            </w:pPr>
          </w:p>
        </w:tc>
        <w:tc>
          <w:tcPr>
            <w:tcW w:w="845" w:type="dxa"/>
            <w:noWrap/>
            <w:vAlign w:val="center"/>
          </w:tcPr>
          <w:p>
            <w:pPr>
              <w:pStyle w:val="136"/>
            </w:pPr>
            <w:r>
              <w:t>土方开挖</w:t>
            </w:r>
          </w:p>
        </w:tc>
        <w:tc>
          <w:tcPr>
            <w:tcW w:w="993" w:type="dxa"/>
            <w:noWrap/>
            <w:vAlign w:val="center"/>
          </w:tcPr>
          <w:p>
            <w:pPr>
              <w:pStyle w:val="136"/>
            </w:pPr>
            <w:r>
              <w:t>石方开挖</w:t>
            </w:r>
          </w:p>
        </w:tc>
        <w:tc>
          <w:tcPr>
            <w:tcW w:w="1842" w:type="dxa"/>
            <w:noWrap/>
            <w:vAlign w:val="center"/>
          </w:tcPr>
          <w:p>
            <w:pPr>
              <w:pStyle w:val="136"/>
            </w:pPr>
            <w:r>
              <w:t>重力碾压砼骨料利用方（自然方）</w:t>
            </w:r>
          </w:p>
        </w:tc>
        <w:tc>
          <w:tcPr>
            <w:tcW w:w="1276" w:type="dxa"/>
            <w:noWrap/>
            <w:vAlign w:val="center"/>
          </w:tcPr>
          <w:p>
            <w:pPr>
              <w:pStyle w:val="136"/>
            </w:pPr>
            <w:r>
              <w:t>土方可利用方（实方）</w:t>
            </w:r>
          </w:p>
        </w:tc>
        <w:tc>
          <w:tcPr>
            <w:tcW w:w="992" w:type="dxa"/>
            <w:vMerge w:val="continue"/>
            <w:noWrap/>
            <w:vAlign w:val="center"/>
          </w:tcPr>
          <w:p>
            <w:pPr>
              <w:pStyle w:val="136"/>
            </w:pPr>
          </w:p>
        </w:tc>
        <w:tc>
          <w:tcPr>
            <w:tcW w:w="1276" w:type="dxa"/>
            <w:vMerge w:val="continue"/>
            <w:vAlign w:val="center"/>
          </w:tcPr>
          <w:p>
            <w:pPr>
              <w:pStyle w:val="136"/>
            </w:pPr>
          </w:p>
        </w:tc>
        <w:tc>
          <w:tcPr>
            <w:tcW w:w="1003" w:type="dxa"/>
            <w:vMerge w:val="continue"/>
            <w:vAlign w:val="center"/>
          </w:tcPr>
          <w:p>
            <w:pPr>
              <w:pStyle w:val="136"/>
            </w:pPr>
          </w:p>
        </w:tc>
        <w:tc>
          <w:tcPr>
            <w:tcW w:w="1549" w:type="dxa"/>
            <w:vMerge w:val="continue"/>
            <w:vAlign w:val="center"/>
          </w:tcPr>
          <w:p>
            <w:pPr>
              <w:pStyle w:val="136"/>
            </w:pPr>
          </w:p>
        </w:tc>
        <w:tc>
          <w:tcPr>
            <w:tcW w:w="850" w:type="dxa"/>
            <w:vAlign w:val="center"/>
          </w:tcPr>
          <w:p>
            <w:pPr>
              <w:pStyle w:val="136"/>
            </w:pPr>
            <w:r>
              <w:t>实方</w:t>
            </w:r>
          </w:p>
        </w:tc>
        <w:tc>
          <w:tcPr>
            <w:tcW w:w="816" w:type="dxa"/>
            <w:vAlign w:val="center"/>
          </w:tcPr>
          <w:p>
            <w:pPr>
              <w:pStyle w:val="136"/>
            </w:pPr>
            <w:r>
              <w:t>自然方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0" w:type="dxa"/>
            <w:vAlign w:val="center"/>
          </w:tcPr>
          <w:p>
            <w:pPr>
              <w:pStyle w:val="136"/>
            </w:pPr>
            <w:r>
              <w:t>1</w:t>
            </w:r>
          </w:p>
        </w:tc>
        <w:tc>
          <w:tcPr>
            <w:tcW w:w="1134" w:type="dxa"/>
            <w:noWrap/>
            <w:vAlign w:val="center"/>
          </w:tcPr>
          <w:p>
            <w:pPr>
              <w:pStyle w:val="136"/>
            </w:pPr>
            <w:r>
              <w:t>大坝</w:t>
            </w:r>
          </w:p>
        </w:tc>
        <w:tc>
          <w:tcPr>
            <w:tcW w:w="708" w:type="dxa"/>
            <w:vAlign w:val="center"/>
          </w:tcPr>
          <w:p>
            <w:pPr>
              <w:pStyle w:val="136"/>
            </w:pPr>
          </w:p>
        </w:tc>
        <w:tc>
          <w:tcPr>
            <w:tcW w:w="845" w:type="dxa"/>
            <w:noWrap/>
            <w:vAlign w:val="center"/>
          </w:tcPr>
          <w:p>
            <w:pPr>
              <w:pStyle w:val="136"/>
            </w:pPr>
            <w:r>
              <w:t>109170</w:t>
            </w:r>
          </w:p>
        </w:tc>
        <w:tc>
          <w:tcPr>
            <w:tcW w:w="993" w:type="dxa"/>
            <w:noWrap/>
            <w:vAlign w:val="center"/>
          </w:tcPr>
          <w:p>
            <w:pPr>
              <w:pStyle w:val="136"/>
            </w:pPr>
            <w:r>
              <w:t>100325.1</w:t>
            </w:r>
          </w:p>
        </w:tc>
        <w:tc>
          <w:tcPr>
            <w:tcW w:w="1842" w:type="dxa"/>
            <w:noWrap/>
            <w:vAlign w:val="center"/>
          </w:tcPr>
          <w:p>
            <w:pPr>
              <w:pStyle w:val="136"/>
            </w:pPr>
            <w:r>
              <w:t>76419</w:t>
            </w:r>
          </w:p>
        </w:tc>
        <w:tc>
          <w:tcPr>
            <w:tcW w:w="1276" w:type="dxa"/>
            <w:noWrap/>
            <w:vAlign w:val="center"/>
          </w:tcPr>
          <w:p>
            <w:pPr>
              <w:pStyle w:val="136"/>
            </w:pPr>
            <w:r>
              <w:t>85427</w:t>
            </w:r>
          </w:p>
        </w:tc>
        <w:tc>
          <w:tcPr>
            <w:tcW w:w="992" w:type="dxa"/>
            <w:noWrap/>
            <w:vAlign w:val="center"/>
          </w:tcPr>
          <w:p>
            <w:pPr>
              <w:pStyle w:val="136"/>
            </w:pPr>
            <w:r>
              <w:t>58600</w:t>
            </w:r>
          </w:p>
        </w:tc>
        <w:tc>
          <w:tcPr>
            <w:tcW w:w="1276" w:type="dxa"/>
            <w:vAlign w:val="center"/>
          </w:tcPr>
          <w:p>
            <w:pPr>
              <w:pStyle w:val="136"/>
            </w:pPr>
            <w:r>
              <w:t>坝体石方开挖利用料</w:t>
            </w:r>
          </w:p>
        </w:tc>
        <w:tc>
          <w:tcPr>
            <w:tcW w:w="1003" w:type="dxa"/>
            <w:vAlign w:val="center"/>
          </w:tcPr>
          <w:p>
            <w:pPr>
              <w:pStyle w:val="136"/>
            </w:pPr>
            <w:r>
              <w:t>128615</w:t>
            </w:r>
          </w:p>
        </w:tc>
        <w:tc>
          <w:tcPr>
            <w:tcW w:w="1549" w:type="dxa"/>
            <w:vAlign w:val="center"/>
          </w:tcPr>
          <w:p>
            <w:pPr>
              <w:pStyle w:val="136"/>
            </w:pPr>
            <w:r>
              <w:t>2号弃料场覆坑</w:t>
            </w:r>
          </w:p>
        </w:tc>
        <w:tc>
          <w:tcPr>
            <w:tcW w:w="850" w:type="dxa"/>
            <w:vAlign w:val="center"/>
          </w:tcPr>
          <w:p>
            <w:pPr>
              <w:pStyle w:val="136"/>
            </w:pPr>
          </w:p>
        </w:tc>
        <w:tc>
          <w:tcPr>
            <w:tcW w:w="816" w:type="dxa"/>
            <w:vAlign w:val="center"/>
          </w:tcPr>
          <w:p>
            <w:pPr>
              <w:pStyle w:val="136"/>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0" w:type="dxa"/>
            <w:vAlign w:val="center"/>
          </w:tcPr>
          <w:p>
            <w:pPr>
              <w:pStyle w:val="136"/>
            </w:pPr>
            <w:r>
              <w:t>2</w:t>
            </w:r>
          </w:p>
        </w:tc>
        <w:tc>
          <w:tcPr>
            <w:tcW w:w="1134" w:type="dxa"/>
            <w:noWrap/>
            <w:vAlign w:val="center"/>
          </w:tcPr>
          <w:p>
            <w:pPr>
              <w:pStyle w:val="136"/>
            </w:pPr>
            <w:r>
              <w:t>溢洪道</w:t>
            </w:r>
          </w:p>
        </w:tc>
        <w:tc>
          <w:tcPr>
            <w:tcW w:w="708" w:type="dxa"/>
            <w:vAlign w:val="center"/>
          </w:tcPr>
          <w:p>
            <w:pPr>
              <w:pStyle w:val="136"/>
            </w:pPr>
          </w:p>
        </w:tc>
        <w:tc>
          <w:tcPr>
            <w:tcW w:w="845" w:type="dxa"/>
            <w:noWrap/>
            <w:vAlign w:val="center"/>
          </w:tcPr>
          <w:p>
            <w:pPr>
              <w:pStyle w:val="136"/>
            </w:pPr>
          </w:p>
        </w:tc>
        <w:tc>
          <w:tcPr>
            <w:tcW w:w="993" w:type="dxa"/>
            <w:noWrap/>
            <w:vAlign w:val="center"/>
          </w:tcPr>
          <w:p>
            <w:pPr>
              <w:pStyle w:val="136"/>
            </w:pPr>
          </w:p>
        </w:tc>
        <w:tc>
          <w:tcPr>
            <w:tcW w:w="1842" w:type="dxa"/>
            <w:noWrap/>
            <w:vAlign w:val="center"/>
          </w:tcPr>
          <w:p>
            <w:pPr>
              <w:pStyle w:val="136"/>
            </w:pPr>
            <w:r>
              <w:t>0</w:t>
            </w:r>
          </w:p>
        </w:tc>
        <w:tc>
          <w:tcPr>
            <w:tcW w:w="1276" w:type="dxa"/>
            <w:noWrap/>
            <w:vAlign w:val="center"/>
          </w:tcPr>
          <w:p>
            <w:pPr>
              <w:pStyle w:val="136"/>
            </w:pPr>
            <w:r>
              <w:t>0</w:t>
            </w:r>
          </w:p>
        </w:tc>
        <w:tc>
          <w:tcPr>
            <w:tcW w:w="992" w:type="dxa"/>
            <w:noWrap/>
            <w:vAlign w:val="center"/>
          </w:tcPr>
          <w:p>
            <w:pPr>
              <w:pStyle w:val="136"/>
            </w:pPr>
          </w:p>
        </w:tc>
        <w:tc>
          <w:tcPr>
            <w:tcW w:w="1276" w:type="dxa"/>
            <w:vAlign w:val="center"/>
          </w:tcPr>
          <w:p>
            <w:pPr>
              <w:pStyle w:val="136"/>
            </w:pPr>
          </w:p>
        </w:tc>
        <w:tc>
          <w:tcPr>
            <w:tcW w:w="1003" w:type="dxa"/>
            <w:vAlign w:val="center"/>
          </w:tcPr>
          <w:p>
            <w:pPr>
              <w:pStyle w:val="136"/>
            </w:pPr>
            <w:r>
              <w:t>0</w:t>
            </w:r>
          </w:p>
        </w:tc>
        <w:tc>
          <w:tcPr>
            <w:tcW w:w="1549" w:type="dxa"/>
            <w:vAlign w:val="center"/>
          </w:tcPr>
          <w:p>
            <w:pPr>
              <w:pStyle w:val="136"/>
            </w:pPr>
          </w:p>
        </w:tc>
        <w:tc>
          <w:tcPr>
            <w:tcW w:w="850" w:type="dxa"/>
            <w:vAlign w:val="center"/>
          </w:tcPr>
          <w:p>
            <w:pPr>
              <w:pStyle w:val="136"/>
            </w:pPr>
            <w:r>
              <w:t>0</w:t>
            </w:r>
          </w:p>
        </w:tc>
        <w:tc>
          <w:tcPr>
            <w:tcW w:w="816" w:type="dxa"/>
            <w:vAlign w:val="center"/>
          </w:tcPr>
          <w:p>
            <w:pPr>
              <w:pStyle w:val="136"/>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0" w:type="dxa"/>
            <w:vAlign w:val="center"/>
          </w:tcPr>
          <w:p>
            <w:pPr>
              <w:pStyle w:val="136"/>
            </w:pPr>
            <w:r>
              <w:t>3</w:t>
            </w:r>
          </w:p>
        </w:tc>
        <w:tc>
          <w:tcPr>
            <w:tcW w:w="1134" w:type="dxa"/>
            <w:noWrap/>
            <w:vAlign w:val="center"/>
          </w:tcPr>
          <w:p>
            <w:pPr>
              <w:pStyle w:val="136"/>
            </w:pPr>
            <w:r>
              <w:t>导流洞</w:t>
            </w:r>
          </w:p>
        </w:tc>
        <w:tc>
          <w:tcPr>
            <w:tcW w:w="708" w:type="dxa"/>
            <w:vAlign w:val="center"/>
          </w:tcPr>
          <w:p>
            <w:pPr>
              <w:pStyle w:val="136"/>
            </w:pPr>
          </w:p>
        </w:tc>
        <w:tc>
          <w:tcPr>
            <w:tcW w:w="845" w:type="dxa"/>
            <w:noWrap/>
            <w:vAlign w:val="center"/>
          </w:tcPr>
          <w:p>
            <w:pPr>
              <w:pStyle w:val="136"/>
            </w:pPr>
            <w:r>
              <w:t>4534.5</w:t>
            </w:r>
          </w:p>
        </w:tc>
        <w:tc>
          <w:tcPr>
            <w:tcW w:w="993" w:type="dxa"/>
            <w:noWrap/>
            <w:vAlign w:val="center"/>
          </w:tcPr>
          <w:p>
            <w:pPr>
              <w:pStyle w:val="136"/>
            </w:pPr>
            <w:r>
              <w:t>19680.1</w:t>
            </w:r>
          </w:p>
        </w:tc>
        <w:tc>
          <w:tcPr>
            <w:tcW w:w="1842" w:type="dxa"/>
            <w:noWrap/>
            <w:vAlign w:val="center"/>
          </w:tcPr>
          <w:p>
            <w:pPr>
              <w:pStyle w:val="136"/>
            </w:pPr>
            <w:r>
              <w:t>2313</w:t>
            </w:r>
          </w:p>
        </w:tc>
        <w:tc>
          <w:tcPr>
            <w:tcW w:w="1276" w:type="dxa"/>
            <w:noWrap/>
            <w:vAlign w:val="center"/>
          </w:tcPr>
          <w:p>
            <w:pPr>
              <w:pStyle w:val="136"/>
            </w:pPr>
            <w:r>
              <w:t>15469</w:t>
            </w:r>
          </w:p>
        </w:tc>
        <w:tc>
          <w:tcPr>
            <w:tcW w:w="992" w:type="dxa"/>
            <w:noWrap/>
            <w:vAlign w:val="center"/>
          </w:tcPr>
          <w:p>
            <w:pPr>
              <w:pStyle w:val="136"/>
            </w:pPr>
          </w:p>
        </w:tc>
        <w:tc>
          <w:tcPr>
            <w:tcW w:w="1276" w:type="dxa"/>
            <w:vAlign w:val="center"/>
          </w:tcPr>
          <w:p>
            <w:pPr>
              <w:pStyle w:val="136"/>
            </w:pPr>
          </w:p>
        </w:tc>
        <w:tc>
          <w:tcPr>
            <w:tcW w:w="1003" w:type="dxa"/>
            <w:vAlign w:val="center"/>
          </w:tcPr>
          <w:p>
            <w:pPr>
              <w:pStyle w:val="136"/>
            </w:pPr>
            <w:r>
              <w:t>36141</w:t>
            </w:r>
          </w:p>
        </w:tc>
        <w:tc>
          <w:tcPr>
            <w:tcW w:w="1549" w:type="dxa"/>
            <w:vAlign w:val="center"/>
          </w:tcPr>
          <w:p>
            <w:pPr>
              <w:pStyle w:val="136"/>
            </w:pPr>
            <w:r>
              <w:t>2号弃渣场覆坑</w:t>
            </w:r>
          </w:p>
        </w:tc>
        <w:tc>
          <w:tcPr>
            <w:tcW w:w="850" w:type="dxa"/>
            <w:vAlign w:val="center"/>
          </w:tcPr>
          <w:p>
            <w:pPr>
              <w:pStyle w:val="136"/>
            </w:pPr>
            <w:r>
              <w:t>0</w:t>
            </w:r>
          </w:p>
        </w:tc>
        <w:tc>
          <w:tcPr>
            <w:tcW w:w="816" w:type="dxa"/>
            <w:vAlign w:val="center"/>
          </w:tcPr>
          <w:p>
            <w:pPr>
              <w:pStyle w:val="136"/>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0" w:type="dxa"/>
            <w:vAlign w:val="center"/>
          </w:tcPr>
          <w:p>
            <w:pPr>
              <w:pStyle w:val="136"/>
            </w:pPr>
            <w:r>
              <w:t>4</w:t>
            </w:r>
          </w:p>
        </w:tc>
        <w:tc>
          <w:tcPr>
            <w:tcW w:w="1134" w:type="dxa"/>
            <w:noWrap/>
            <w:vAlign w:val="center"/>
          </w:tcPr>
          <w:p>
            <w:pPr>
              <w:pStyle w:val="136"/>
            </w:pPr>
            <w:r>
              <w:t>交通</w:t>
            </w:r>
          </w:p>
        </w:tc>
        <w:tc>
          <w:tcPr>
            <w:tcW w:w="708" w:type="dxa"/>
            <w:vAlign w:val="center"/>
          </w:tcPr>
          <w:p>
            <w:pPr>
              <w:pStyle w:val="136"/>
            </w:pPr>
          </w:p>
        </w:tc>
        <w:tc>
          <w:tcPr>
            <w:tcW w:w="845" w:type="dxa"/>
            <w:noWrap/>
            <w:vAlign w:val="center"/>
          </w:tcPr>
          <w:p>
            <w:pPr>
              <w:pStyle w:val="136"/>
            </w:pPr>
          </w:p>
        </w:tc>
        <w:tc>
          <w:tcPr>
            <w:tcW w:w="993" w:type="dxa"/>
            <w:noWrap/>
            <w:vAlign w:val="center"/>
          </w:tcPr>
          <w:p>
            <w:pPr>
              <w:pStyle w:val="136"/>
            </w:pPr>
            <w:r>
              <w:t>70117.8</w:t>
            </w:r>
          </w:p>
        </w:tc>
        <w:tc>
          <w:tcPr>
            <w:tcW w:w="1842" w:type="dxa"/>
            <w:noWrap/>
            <w:vAlign w:val="center"/>
          </w:tcPr>
          <w:p>
            <w:pPr>
              <w:pStyle w:val="136"/>
            </w:pPr>
          </w:p>
        </w:tc>
        <w:tc>
          <w:tcPr>
            <w:tcW w:w="1276" w:type="dxa"/>
            <w:noWrap/>
            <w:vAlign w:val="center"/>
          </w:tcPr>
          <w:p>
            <w:pPr>
              <w:pStyle w:val="136"/>
            </w:pPr>
            <w:r>
              <w:t>45927</w:t>
            </w:r>
          </w:p>
        </w:tc>
        <w:tc>
          <w:tcPr>
            <w:tcW w:w="992" w:type="dxa"/>
            <w:noWrap/>
            <w:vAlign w:val="center"/>
          </w:tcPr>
          <w:p>
            <w:pPr>
              <w:pStyle w:val="136"/>
            </w:pPr>
            <w:r>
              <w:t>280</w:t>
            </w:r>
          </w:p>
        </w:tc>
        <w:tc>
          <w:tcPr>
            <w:tcW w:w="1276" w:type="dxa"/>
            <w:vAlign w:val="center"/>
          </w:tcPr>
          <w:p>
            <w:pPr>
              <w:pStyle w:val="136"/>
            </w:pPr>
            <w:r>
              <w:t>坝体土方利用料</w:t>
            </w:r>
          </w:p>
        </w:tc>
        <w:tc>
          <w:tcPr>
            <w:tcW w:w="1003" w:type="dxa"/>
            <w:vAlign w:val="center"/>
          </w:tcPr>
          <w:p>
            <w:pPr>
              <w:pStyle w:val="136"/>
            </w:pPr>
            <w:r>
              <w:t>90861</w:t>
            </w:r>
          </w:p>
        </w:tc>
        <w:tc>
          <w:tcPr>
            <w:tcW w:w="1549" w:type="dxa"/>
            <w:vAlign w:val="center"/>
          </w:tcPr>
          <w:p>
            <w:pPr>
              <w:pStyle w:val="136"/>
            </w:pPr>
            <w:r>
              <w:t>1号弃料场</w:t>
            </w:r>
          </w:p>
        </w:tc>
        <w:tc>
          <w:tcPr>
            <w:tcW w:w="850" w:type="dxa"/>
            <w:vAlign w:val="center"/>
          </w:tcPr>
          <w:p>
            <w:pPr>
              <w:pStyle w:val="136"/>
            </w:pPr>
          </w:p>
        </w:tc>
        <w:tc>
          <w:tcPr>
            <w:tcW w:w="816" w:type="dxa"/>
            <w:vAlign w:val="center"/>
          </w:tcPr>
          <w:p>
            <w:pPr>
              <w:pStyle w:val="13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0" w:type="dxa"/>
            <w:vAlign w:val="center"/>
          </w:tcPr>
          <w:p>
            <w:pPr>
              <w:pStyle w:val="136"/>
            </w:pPr>
            <w:r>
              <w:t>5</w:t>
            </w:r>
          </w:p>
        </w:tc>
        <w:tc>
          <w:tcPr>
            <w:tcW w:w="1134" w:type="dxa"/>
            <w:noWrap/>
            <w:vAlign w:val="center"/>
          </w:tcPr>
          <w:p>
            <w:pPr>
              <w:pStyle w:val="136"/>
            </w:pPr>
            <w:r>
              <w:t>施工导流</w:t>
            </w:r>
          </w:p>
        </w:tc>
        <w:tc>
          <w:tcPr>
            <w:tcW w:w="708" w:type="dxa"/>
            <w:vAlign w:val="center"/>
          </w:tcPr>
          <w:p>
            <w:pPr>
              <w:pStyle w:val="136"/>
            </w:pPr>
            <w:r>
              <w:t>1145</w:t>
            </w:r>
          </w:p>
        </w:tc>
        <w:tc>
          <w:tcPr>
            <w:tcW w:w="845" w:type="dxa"/>
            <w:noWrap/>
            <w:vAlign w:val="center"/>
          </w:tcPr>
          <w:p>
            <w:pPr>
              <w:pStyle w:val="136"/>
            </w:pPr>
            <w:r>
              <w:t>726</w:t>
            </w:r>
          </w:p>
        </w:tc>
        <w:tc>
          <w:tcPr>
            <w:tcW w:w="993" w:type="dxa"/>
            <w:noWrap/>
            <w:vAlign w:val="center"/>
          </w:tcPr>
          <w:p>
            <w:pPr>
              <w:pStyle w:val="136"/>
            </w:pPr>
          </w:p>
        </w:tc>
        <w:tc>
          <w:tcPr>
            <w:tcW w:w="1842" w:type="dxa"/>
            <w:noWrap/>
            <w:vAlign w:val="center"/>
          </w:tcPr>
          <w:p>
            <w:pPr>
              <w:pStyle w:val="136"/>
            </w:pPr>
            <w:r>
              <w:t>309</w:t>
            </w:r>
          </w:p>
        </w:tc>
        <w:tc>
          <w:tcPr>
            <w:tcW w:w="1276" w:type="dxa"/>
            <w:noWrap/>
            <w:vAlign w:val="center"/>
          </w:tcPr>
          <w:p>
            <w:pPr>
              <w:pStyle w:val="136"/>
            </w:pPr>
            <w:r>
              <w:t>0</w:t>
            </w:r>
          </w:p>
        </w:tc>
        <w:tc>
          <w:tcPr>
            <w:tcW w:w="992" w:type="dxa"/>
            <w:noWrap/>
            <w:vAlign w:val="center"/>
          </w:tcPr>
          <w:p>
            <w:pPr>
              <w:pStyle w:val="136"/>
            </w:pPr>
            <w:r>
              <w:t>10552</w:t>
            </w:r>
          </w:p>
        </w:tc>
        <w:tc>
          <w:tcPr>
            <w:tcW w:w="1276" w:type="dxa"/>
            <w:vAlign w:val="center"/>
          </w:tcPr>
          <w:p>
            <w:pPr>
              <w:pStyle w:val="136"/>
            </w:pPr>
            <w:r>
              <w:t>C2料场</w:t>
            </w:r>
          </w:p>
        </w:tc>
        <w:tc>
          <w:tcPr>
            <w:tcW w:w="1003" w:type="dxa"/>
            <w:vAlign w:val="center"/>
          </w:tcPr>
          <w:p>
            <w:pPr>
              <w:pStyle w:val="136"/>
            </w:pPr>
            <w:r>
              <w:t>13937</w:t>
            </w:r>
          </w:p>
        </w:tc>
        <w:tc>
          <w:tcPr>
            <w:tcW w:w="1549" w:type="dxa"/>
            <w:vAlign w:val="center"/>
          </w:tcPr>
          <w:p>
            <w:pPr>
              <w:pStyle w:val="136"/>
            </w:pPr>
            <w:r>
              <w:t>2号弃渣场覆坑</w:t>
            </w:r>
          </w:p>
        </w:tc>
        <w:tc>
          <w:tcPr>
            <w:tcW w:w="850" w:type="dxa"/>
            <w:vAlign w:val="center"/>
          </w:tcPr>
          <w:p>
            <w:pPr>
              <w:pStyle w:val="136"/>
            </w:pPr>
            <w:r>
              <w:t>10552</w:t>
            </w:r>
          </w:p>
        </w:tc>
        <w:tc>
          <w:tcPr>
            <w:tcW w:w="816" w:type="dxa"/>
            <w:vAlign w:val="center"/>
          </w:tcPr>
          <w:p>
            <w:pPr>
              <w:pStyle w:val="136"/>
            </w:pPr>
            <w:r>
              <w:t>12412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0" w:type="dxa"/>
            <w:vAlign w:val="center"/>
          </w:tcPr>
          <w:p>
            <w:pPr>
              <w:pStyle w:val="136"/>
            </w:pPr>
            <w:r>
              <w:t>合计</w:t>
            </w:r>
          </w:p>
        </w:tc>
        <w:tc>
          <w:tcPr>
            <w:tcW w:w="1134" w:type="dxa"/>
            <w:noWrap/>
            <w:vAlign w:val="center"/>
          </w:tcPr>
          <w:p>
            <w:pPr>
              <w:pStyle w:val="136"/>
            </w:pPr>
          </w:p>
        </w:tc>
        <w:tc>
          <w:tcPr>
            <w:tcW w:w="708" w:type="dxa"/>
            <w:vAlign w:val="center"/>
          </w:tcPr>
          <w:p>
            <w:pPr>
              <w:pStyle w:val="136"/>
            </w:pPr>
            <w:r>
              <w:t>1145</w:t>
            </w:r>
          </w:p>
        </w:tc>
        <w:tc>
          <w:tcPr>
            <w:tcW w:w="845" w:type="dxa"/>
            <w:noWrap/>
            <w:vAlign w:val="center"/>
          </w:tcPr>
          <w:p>
            <w:pPr>
              <w:pStyle w:val="136"/>
            </w:pPr>
            <w:r>
              <w:t>114431</w:t>
            </w:r>
          </w:p>
        </w:tc>
        <w:tc>
          <w:tcPr>
            <w:tcW w:w="993" w:type="dxa"/>
            <w:noWrap/>
            <w:vAlign w:val="center"/>
          </w:tcPr>
          <w:p>
            <w:pPr>
              <w:pStyle w:val="136"/>
            </w:pPr>
            <w:r>
              <w:t>190123</w:t>
            </w:r>
          </w:p>
        </w:tc>
        <w:tc>
          <w:tcPr>
            <w:tcW w:w="1842" w:type="dxa"/>
            <w:noWrap/>
            <w:vAlign w:val="center"/>
          </w:tcPr>
          <w:p>
            <w:pPr>
              <w:pStyle w:val="136"/>
            </w:pPr>
            <w:r>
              <w:t>79040</w:t>
            </w:r>
          </w:p>
        </w:tc>
        <w:tc>
          <w:tcPr>
            <w:tcW w:w="1276" w:type="dxa"/>
            <w:noWrap/>
            <w:vAlign w:val="center"/>
          </w:tcPr>
          <w:p>
            <w:pPr>
              <w:pStyle w:val="136"/>
            </w:pPr>
            <w:r>
              <w:t>146823</w:t>
            </w:r>
          </w:p>
        </w:tc>
        <w:tc>
          <w:tcPr>
            <w:tcW w:w="992" w:type="dxa"/>
            <w:noWrap/>
            <w:vAlign w:val="center"/>
          </w:tcPr>
          <w:p>
            <w:pPr>
              <w:pStyle w:val="136"/>
            </w:pPr>
            <w:r>
              <w:t>69432</w:t>
            </w:r>
          </w:p>
        </w:tc>
        <w:tc>
          <w:tcPr>
            <w:tcW w:w="1276" w:type="dxa"/>
            <w:vAlign w:val="center"/>
          </w:tcPr>
          <w:p>
            <w:pPr>
              <w:pStyle w:val="136"/>
            </w:pPr>
          </w:p>
        </w:tc>
        <w:tc>
          <w:tcPr>
            <w:tcW w:w="1003" w:type="dxa"/>
            <w:vAlign w:val="center"/>
          </w:tcPr>
          <w:p>
            <w:pPr>
              <w:pStyle w:val="136"/>
            </w:pPr>
            <w:r>
              <w:t>269555</w:t>
            </w:r>
          </w:p>
        </w:tc>
        <w:tc>
          <w:tcPr>
            <w:tcW w:w="1549" w:type="dxa"/>
            <w:vAlign w:val="center"/>
          </w:tcPr>
          <w:p>
            <w:pPr>
              <w:pStyle w:val="136"/>
            </w:pPr>
          </w:p>
        </w:tc>
        <w:tc>
          <w:tcPr>
            <w:tcW w:w="850" w:type="dxa"/>
            <w:vAlign w:val="center"/>
          </w:tcPr>
          <w:p>
            <w:pPr>
              <w:pStyle w:val="136"/>
            </w:pPr>
            <w:r>
              <w:t>10552</w:t>
            </w:r>
          </w:p>
        </w:tc>
        <w:tc>
          <w:tcPr>
            <w:tcW w:w="816" w:type="dxa"/>
            <w:vAlign w:val="center"/>
          </w:tcPr>
          <w:p>
            <w:pPr>
              <w:pStyle w:val="136"/>
            </w:pPr>
            <w:r>
              <w:t>12414</w:t>
            </w:r>
          </w:p>
        </w:tc>
      </w:tr>
    </w:tbl>
    <w:p>
      <w:pPr>
        <w:pStyle w:val="113"/>
        <w:ind w:left="360" w:firstLine="180"/>
      </w:pPr>
      <w:r>
        <w:t>备注：1、土方：折算系数1（自然方）：1.33（松方）：0.85（实方）；</w:t>
      </w:r>
    </w:p>
    <w:p>
      <w:pPr>
        <w:pStyle w:val="113"/>
        <w:ind w:left="360" w:firstLine="180"/>
      </w:pPr>
      <w:r>
        <w:t>2、石方：折算系数1（自然方）：1.53（松方）：1.31（实方）；</w:t>
      </w:r>
    </w:p>
    <w:p>
      <w:pPr>
        <w:pStyle w:val="113"/>
        <w:ind w:left="360" w:firstLine="180"/>
      </w:pPr>
      <w:r>
        <w:t>3、本工程未考虑开挖、运输、堆存损耗。可利用料按利用率：土方重力坝碾压砼骨料利用率按70%考虑，石方建筑利用率按65%考虑。</w:t>
      </w:r>
    </w:p>
    <w:p>
      <w:pPr>
        <w:ind w:firstLine="480"/>
        <w:rPr>
          <w:rFonts w:cs="Times New Roman"/>
        </w:rPr>
      </w:pPr>
    </w:p>
    <w:p>
      <w:pPr>
        <w:ind w:firstLine="480"/>
        <w:rPr>
          <w:rFonts w:cs="Times New Roman"/>
        </w:rPr>
        <w:sectPr>
          <w:pgSz w:w="16838" w:h="11906" w:orient="landscape"/>
          <w:pgMar w:top="1418" w:right="1559" w:bottom="1418" w:left="1559" w:header="851" w:footer="992" w:gutter="0"/>
          <w:cols w:space="425" w:num="1"/>
          <w:docGrid w:linePitch="312" w:charSpace="0"/>
        </w:sectPr>
      </w:pPr>
    </w:p>
    <w:p>
      <w:pPr>
        <w:pStyle w:val="3"/>
        <w:rPr>
          <w:rFonts w:cs="Times New Roman"/>
        </w:rPr>
      </w:pPr>
      <w:bookmarkStart w:id="63" w:name="_Toc136263288"/>
      <w:bookmarkStart w:id="64" w:name="_Toc181381599"/>
      <w:r>
        <w:rPr>
          <w:rFonts w:cs="Times New Roman"/>
        </w:rPr>
        <w:t>2.6 水库淹没和工程占地</w:t>
      </w:r>
      <w:bookmarkEnd w:id="63"/>
      <w:bookmarkEnd w:id="64"/>
    </w:p>
    <w:p>
      <w:pPr>
        <w:ind w:firstLine="480"/>
        <w:rPr>
          <w:rFonts w:cs="Times New Roman"/>
        </w:rPr>
      </w:pPr>
      <w:bookmarkStart w:id="65" w:name="_Toc136263289"/>
      <w:r>
        <w:rPr>
          <w:rFonts w:cs="Times New Roman"/>
        </w:rPr>
        <w:t>（1）水库淹没区</w:t>
      </w:r>
    </w:p>
    <w:p>
      <w:pPr>
        <w:ind w:firstLine="480"/>
        <w:rPr>
          <w:rFonts w:cs="Times New Roman"/>
        </w:rPr>
      </w:pPr>
      <w:r>
        <w:rPr>
          <w:rFonts w:cs="Times New Roman"/>
        </w:rPr>
        <w:t>代尔昆代水库正常蓄水位1981.85m，淹没范围占地面积为19.36hm</w:t>
      </w:r>
      <w:r>
        <w:rPr>
          <w:rFonts w:cs="Times New Roman"/>
          <w:vertAlign w:val="superscript"/>
        </w:rPr>
        <w:t>2</w:t>
      </w:r>
      <w:r>
        <w:rPr>
          <w:rFonts w:cs="Times New Roman"/>
        </w:rPr>
        <w:t>，占地类型包括天然草地和水域，以天然草地为主。</w:t>
      </w:r>
    </w:p>
    <w:p>
      <w:pPr>
        <w:ind w:firstLine="480"/>
        <w:rPr>
          <w:rFonts w:cs="Times New Roman"/>
        </w:rPr>
      </w:pPr>
      <w:r>
        <w:rPr>
          <w:rFonts w:cs="Times New Roman"/>
        </w:rPr>
        <w:t>（2）工程占地</w:t>
      </w:r>
    </w:p>
    <w:p>
      <w:pPr>
        <w:ind w:firstLine="480"/>
        <w:rPr>
          <w:rFonts w:cs="Times New Roman"/>
        </w:rPr>
      </w:pPr>
      <w:r>
        <w:rPr>
          <w:rFonts w:cs="Times New Roman"/>
        </w:rPr>
        <w:t>本工程总占地面积46.13hm</w:t>
      </w:r>
      <w:r>
        <w:rPr>
          <w:rFonts w:cs="Times New Roman"/>
          <w:vertAlign w:val="superscript"/>
        </w:rPr>
        <w:t>2</w:t>
      </w:r>
      <w:r>
        <w:rPr>
          <w:rFonts w:cs="Times New Roman"/>
        </w:rPr>
        <w:t>，其中永久占地30.58hm</w:t>
      </w:r>
      <w:r>
        <w:rPr>
          <w:rFonts w:cs="Times New Roman"/>
          <w:vertAlign w:val="superscript"/>
        </w:rPr>
        <w:t>2</w:t>
      </w:r>
      <w:r>
        <w:rPr>
          <w:rFonts w:cs="Times New Roman"/>
        </w:rPr>
        <w:t>，包括水库淹没区19.36hm</w:t>
      </w:r>
      <w:r>
        <w:rPr>
          <w:rFonts w:cs="Times New Roman"/>
          <w:vertAlign w:val="superscript"/>
        </w:rPr>
        <w:t>2</w:t>
      </w:r>
      <w:r>
        <w:rPr>
          <w:rFonts w:cs="Times New Roman"/>
        </w:rPr>
        <w:t>及进库道路、弃渣场及管理站房11.23hm</w:t>
      </w:r>
      <w:r>
        <w:rPr>
          <w:rFonts w:cs="Times New Roman"/>
          <w:vertAlign w:val="superscript"/>
        </w:rPr>
        <w:t>2</w:t>
      </w:r>
      <w:r>
        <w:rPr>
          <w:rFonts w:cs="Times New Roman"/>
        </w:rPr>
        <w:t>，全部为天然草场；临时占地15.56hm</w:t>
      </w:r>
      <w:r>
        <w:rPr>
          <w:rFonts w:cs="Times New Roman"/>
          <w:vertAlign w:val="superscript"/>
        </w:rPr>
        <w:t>2</w:t>
      </w:r>
      <w:r>
        <w:rPr>
          <w:rFonts w:cs="Times New Roman"/>
        </w:rPr>
        <w:t>，全部为天然草场。各分项工程占地情况详见表2.6-1。</w:t>
      </w:r>
    </w:p>
    <w:p>
      <w:pPr>
        <w:pStyle w:val="137"/>
        <w:spacing w:before="62"/>
      </w:pPr>
      <w:r>
        <w:t>表2.6-1                    工程占地情况统计表                    单位：hm</w:t>
      </w:r>
      <w:r>
        <w:rPr>
          <w:vertAlign w:val="superscript"/>
        </w:rPr>
        <w:t>2</w:t>
      </w:r>
    </w:p>
    <w:tbl>
      <w:tblPr>
        <w:tblStyle w:val="4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835"/>
        <w:gridCol w:w="992"/>
        <w:gridCol w:w="992"/>
        <w:gridCol w:w="947"/>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8" w:type="dxa"/>
            <w:gridSpan w:val="2"/>
            <w:vMerge w:val="restart"/>
            <w:vAlign w:val="center"/>
          </w:tcPr>
          <w:p>
            <w:pPr>
              <w:pStyle w:val="136"/>
            </w:pPr>
            <w:r>
              <w:t>工程内容</w:t>
            </w:r>
          </w:p>
        </w:tc>
        <w:tc>
          <w:tcPr>
            <w:tcW w:w="2931" w:type="dxa"/>
            <w:gridSpan w:val="3"/>
            <w:vAlign w:val="center"/>
          </w:tcPr>
          <w:p>
            <w:pPr>
              <w:pStyle w:val="136"/>
            </w:pPr>
            <w:r>
              <w:t>占地面积</w:t>
            </w:r>
          </w:p>
        </w:tc>
        <w:tc>
          <w:tcPr>
            <w:tcW w:w="1888" w:type="dxa"/>
            <w:vMerge w:val="restart"/>
            <w:vAlign w:val="center"/>
          </w:tcPr>
          <w:p>
            <w:pPr>
              <w:pStyle w:val="136"/>
            </w:pPr>
            <w:r>
              <w:t>占地类型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8" w:type="dxa"/>
            <w:gridSpan w:val="2"/>
            <w:vMerge w:val="continue"/>
            <w:vAlign w:val="center"/>
          </w:tcPr>
          <w:p>
            <w:pPr>
              <w:pStyle w:val="136"/>
            </w:pPr>
          </w:p>
        </w:tc>
        <w:tc>
          <w:tcPr>
            <w:tcW w:w="992" w:type="dxa"/>
            <w:vAlign w:val="center"/>
          </w:tcPr>
          <w:p>
            <w:pPr>
              <w:pStyle w:val="136"/>
            </w:pPr>
            <w:r>
              <w:t>永久占地</w:t>
            </w:r>
          </w:p>
        </w:tc>
        <w:tc>
          <w:tcPr>
            <w:tcW w:w="992" w:type="dxa"/>
            <w:vAlign w:val="center"/>
          </w:tcPr>
          <w:p>
            <w:pPr>
              <w:pStyle w:val="136"/>
            </w:pPr>
            <w:r>
              <w:t>临时占地</w:t>
            </w:r>
          </w:p>
        </w:tc>
        <w:tc>
          <w:tcPr>
            <w:tcW w:w="947" w:type="dxa"/>
            <w:vAlign w:val="center"/>
          </w:tcPr>
          <w:p>
            <w:pPr>
              <w:pStyle w:val="136"/>
            </w:pPr>
            <w:r>
              <w:t>合计</w:t>
            </w:r>
          </w:p>
        </w:tc>
        <w:tc>
          <w:tcPr>
            <w:tcW w:w="1888"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pStyle w:val="136"/>
            </w:pPr>
            <w:r>
              <w:t>主体工程占地</w:t>
            </w:r>
          </w:p>
        </w:tc>
        <w:tc>
          <w:tcPr>
            <w:tcW w:w="2835" w:type="dxa"/>
            <w:vAlign w:val="center"/>
          </w:tcPr>
          <w:p>
            <w:pPr>
              <w:pStyle w:val="136"/>
            </w:pPr>
            <w:r>
              <w:t>坝体、溢洪道、放水洞用地</w:t>
            </w:r>
          </w:p>
        </w:tc>
        <w:tc>
          <w:tcPr>
            <w:tcW w:w="992" w:type="dxa"/>
            <w:vAlign w:val="center"/>
          </w:tcPr>
          <w:p>
            <w:pPr>
              <w:pStyle w:val="136"/>
            </w:pPr>
            <w:r>
              <w:t>1.61</w:t>
            </w:r>
          </w:p>
        </w:tc>
        <w:tc>
          <w:tcPr>
            <w:tcW w:w="992" w:type="dxa"/>
            <w:vAlign w:val="center"/>
          </w:tcPr>
          <w:p>
            <w:pPr>
              <w:pStyle w:val="136"/>
            </w:pPr>
          </w:p>
        </w:tc>
        <w:tc>
          <w:tcPr>
            <w:tcW w:w="947" w:type="dxa"/>
            <w:vAlign w:val="center"/>
          </w:tcPr>
          <w:p>
            <w:pPr>
              <w:pStyle w:val="136"/>
            </w:pPr>
            <w:r>
              <w:t>1.61</w:t>
            </w:r>
          </w:p>
        </w:tc>
        <w:tc>
          <w:tcPr>
            <w:tcW w:w="1888" w:type="dxa"/>
            <w:vAlign w:val="center"/>
          </w:tcPr>
          <w:p>
            <w:pPr>
              <w:pStyle w:val="136"/>
            </w:pPr>
            <w:r>
              <w:t>荒漠草场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vAlign w:val="center"/>
          </w:tcPr>
          <w:p>
            <w:pPr>
              <w:pStyle w:val="136"/>
            </w:pPr>
            <w:r>
              <w:t>道路占地</w:t>
            </w:r>
          </w:p>
        </w:tc>
        <w:tc>
          <w:tcPr>
            <w:tcW w:w="2835" w:type="dxa"/>
            <w:vAlign w:val="center"/>
          </w:tcPr>
          <w:p>
            <w:pPr>
              <w:pStyle w:val="136"/>
            </w:pPr>
            <w:r>
              <w:t>进库永久道路</w:t>
            </w:r>
          </w:p>
        </w:tc>
        <w:tc>
          <w:tcPr>
            <w:tcW w:w="992" w:type="dxa"/>
            <w:vAlign w:val="center"/>
          </w:tcPr>
          <w:p>
            <w:pPr>
              <w:pStyle w:val="136"/>
            </w:pPr>
            <w:r>
              <w:t>6.02</w:t>
            </w:r>
          </w:p>
        </w:tc>
        <w:tc>
          <w:tcPr>
            <w:tcW w:w="992" w:type="dxa"/>
            <w:vAlign w:val="center"/>
          </w:tcPr>
          <w:p>
            <w:pPr>
              <w:pStyle w:val="136"/>
            </w:pPr>
          </w:p>
        </w:tc>
        <w:tc>
          <w:tcPr>
            <w:tcW w:w="947" w:type="dxa"/>
            <w:vAlign w:val="center"/>
          </w:tcPr>
          <w:p>
            <w:pPr>
              <w:pStyle w:val="136"/>
            </w:pPr>
            <w:r>
              <w:t>6.02</w:t>
            </w:r>
          </w:p>
        </w:tc>
        <w:tc>
          <w:tcPr>
            <w:tcW w:w="1888" w:type="dxa"/>
            <w:vAlign w:val="center"/>
          </w:tcPr>
          <w:p>
            <w:pPr>
              <w:pStyle w:val="136"/>
            </w:pPr>
            <w:r>
              <w:t>荒漠草场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vAlign w:val="center"/>
          </w:tcPr>
          <w:p>
            <w:pPr>
              <w:pStyle w:val="136"/>
            </w:pPr>
          </w:p>
        </w:tc>
        <w:tc>
          <w:tcPr>
            <w:tcW w:w="2835" w:type="dxa"/>
            <w:vAlign w:val="center"/>
          </w:tcPr>
          <w:p>
            <w:pPr>
              <w:pStyle w:val="136"/>
            </w:pPr>
            <w:r>
              <w:t>临时施工道路</w:t>
            </w:r>
          </w:p>
        </w:tc>
        <w:tc>
          <w:tcPr>
            <w:tcW w:w="992" w:type="dxa"/>
            <w:vAlign w:val="center"/>
          </w:tcPr>
          <w:p>
            <w:pPr>
              <w:pStyle w:val="136"/>
            </w:pPr>
          </w:p>
        </w:tc>
        <w:tc>
          <w:tcPr>
            <w:tcW w:w="992" w:type="dxa"/>
            <w:vAlign w:val="center"/>
          </w:tcPr>
          <w:p>
            <w:pPr>
              <w:pStyle w:val="136"/>
            </w:pPr>
            <w:r>
              <w:t>2.46</w:t>
            </w:r>
          </w:p>
        </w:tc>
        <w:tc>
          <w:tcPr>
            <w:tcW w:w="947" w:type="dxa"/>
            <w:vAlign w:val="center"/>
          </w:tcPr>
          <w:p>
            <w:pPr>
              <w:pStyle w:val="136"/>
            </w:pPr>
            <w:r>
              <w:t>2.46</w:t>
            </w:r>
          </w:p>
        </w:tc>
        <w:tc>
          <w:tcPr>
            <w:tcW w:w="1888" w:type="dxa"/>
            <w:vAlign w:val="center"/>
          </w:tcPr>
          <w:p>
            <w:pPr>
              <w:pStyle w:val="136"/>
            </w:pPr>
            <w:r>
              <w:t>荒漠草场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pStyle w:val="136"/>
            </w:pPr>
            <w:r>
              <w:t>临时工程占地</w:t>
            </w:r>
          </w:p>
        </w:tc>
        <w:tc>
          <w:tcPr>
            <w:tcW w:w="2835" w:type="dxa"/>
            <w:vAlign w:val="center"/>
          </w:tcPr>
          <w:p>
            <w:pPr>
              <w:pStyle w:val="136"/>
            </w:pPr>
            <w:r>
              <w:t>临时生产生活用地</w:t>
            </w:r>
          </w:p>
        </w:tc>
        <w:tc>
          <w:tcPr>
            <w:tcW w:w="992" w:type="dxa"/>
            <w:vAlign w:val="center"/>
          </w:tcPr>
          <w:p>
            <w:pPr>
              <w:pStyle w:val="136"/>
            </w:pPr>
          </w:p>
        </w:tc>
        <w:tc>
          <w:tcPr>
            <w:tcW w:w="992" w:type="dxa"/>
            <w:vAlign w:val="center"/>
          </w:tcPr>
          <w:p>
            <w:pPr>
              <w:pStyle w:val="136"/>
            </w:pPr>
            <w:r>
              <w:t>3.90</w:t>
            </w:r>
          </w:p>
        </w:tc>
        <w:tc>
          <w:tcPr>
            <w:tcW w:w="947" w:type="dxa"/>
            <w:vAlign w:val="center"/>
          </w:tcPr>
          <w:p>
            <w:pPr>
              <w:pStyle w:val="136"/>
            </w:pPr>
            <w:r>
              <w:t>3.90</w:t>
            </w:r>
          </w:p>
        </w:tc>
        <w:tc>
          <w:tcPr>
            <w:tcW w:w="1888" w:type="dxa"/>
            <w:vAlign w:val="center"/>
          </w:tcPr>
          <w:p>
            <w:pPr>
              <w:pStyle w:val="136"/>
            </w:pPr>
            <w:r>
              <w:t>荒漠草场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pStyle w:val="136"/>
            </w:pPr>
            <w:r>
              <w:t>取料场</w:t>
            </w:r>
          </w:p>
        </w:tc>
        <w:tc>
          <w:tcPr>
            <w:tcW w:w="2835" w:type="dxa"/>
            <w:vAlign w:val="center"/>
          </w:tcPr>
          <w:p>
            <w:pPr>
              <w:pStyle w:val="136"/>
            </w:pPr>
            <w:r>
              <w:t>C2取料场（内含2号弃渣场）</w:t>
            </w:r>
          </w:p>
        </w:tc>
        <w:tc>
          <w:tcPr>
            <w:tcW w:w="992" w:type="dxa"/>
            <w:vAlign w:val="center"/>
          </w:tcPr>
          <w:p>
            <w:pPr>
              <w:pStyle w:val="136"/>
            </w:pPr>
          </w:p>
        </w:tc>
        <w:tc>
          <w:tcPr>
            <w:tcW w:w="992" w:type="dxa"/>
            <w:vAlign w:val="center"/>
          </w:tcPr>
          <w:p>
            <w:pPr>
              <w:pStyle w:val="136"/>
            </w:pPr>
            <w:r>
              <w:t>6.00</w:t>
            </w:r>
          </w:p>
        </w:tc>
        <w:tc>
          <w:tcPr>
            <w:tcW w:w="947" w:type="dxa"/>
            <w:vAlign w:val="center"/>
          </w:tcPr>
          <w:p>
            <w:pPr>
              <w:pStyle w:val="136"/>
            </w:pPr>
            <w:r>
              <w:t>6.00</w:t>
            </w:r>
          </w:p>
        </w:tc>
        <w:tc>
          <w:tcPr>
            <w:tcW w:w="1888" w:type="dxa"/>
            <w:vAlign w:val="center"/>
          </w:tcPr>
          <w:p>
            <w:pPr>
              <w:pStyle w:val="136"/>
            </w:pPr>
            <w:r>
              <w:t>荒漠草场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pStyle w:val="136"/>
            </w:pPr>
            <w:r>
              <w:t>弃渣场</w:t>
            </w:r>
          </w:p>
        </w:tc>
        <w:tc>
          <w:tcPr>
            <w:tcW w:w="2835" w:type="dxa"/>
            <w:vAlign w:val="center"/>
          </w:tcPr>
          <w:p>
            <w:pPr>
              <w:pStyle w:val="136"/>
            </w:pPr>
            <w:r>
              <w:t>1号弃渣场</w:t>
            </w:r>
          </w:p>
        </w:tc>
        <w:tc>
          <w:tcPr>
            <w:tcW w:w="992" w:type="dxa"/>
            <w:vAlign w:val="center"/>
          </w:tcPr>
          <w:p>
            <w:pPr>
              <w:pStyle w:val="136"/>
            </w:pPr>
            <w:r>
              <w:t>3.10</w:t>
            </w:r>
          </w:p>
        </w:tc>
        <w:tc>
          <w:tcPr>
            <w:tcW w:w="992" w:type="dxa"/>
            <w:vAlign w:val="center"/>
          </w:tcPr>
          <w:p>
            <w:pPr>
              <w:pStyle w:val="136"/>
            </w:pPr>
          </w:p>
        </w:tc>
        <w:tc>
          <w:tcPr>
            <w:tcW w:w="947" w:type="dxa"/>
            <w:vAlign w:val="center"/>
          </w:tcPr>
          <w:p>
            <w:pPr>
              <w:pStyle w:val="136"/>
            </w:pPr>
            <w:r>
              <w:t>3.10</w:t>
            </w:r>
          </w:p>
        </w:tc>
        <w:tc>
          <w:tcPr>
            <w:tcW w:w="1888" w:type="dxa"/>
            <w:vAlign w:val="center"/>
          </w:tcPr>
          <w:p>
            <w:pPr>
              <w:pStyle w:val="136"/>
            </w:pPr>
            <w:r>
              <w:t>荒漠草场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pStyle w:val="136"/>
            </w:pPr>
            <w:r>
              <w:t>输电线路</w:t>
            </w:r>
          </w:p>
        </w:tc>
        <w:tc>
          <w:tcPr>
            <w:tcW w:w="2835" w:type="dxa"/>
            <w:vAlign w:val="center"/>
          </w:tcPr>
          <w:p>
            <w:pPr>
              <w:pStyle w:val="136"/>
            </w:pPr>
            <w:r>
              <w:t>长16km</w:t>
            </w:r>
          </w:p>
        </w:tc>
        <w:tc>
          <w:tcPr>
            <w:tcW w:w="992" w:type="dxa"/>
            <w:vAlign w:val="center"/>
          </w:tcPr>
          <w:p>
            <w:pPr>
              <w:pStyle w:val="136"/>
            </w:pPr>
          </w:p>
        </w:tc>
        <w:tc>
          <w:tcPr>
            <w:tcW w:w="992" w:type="dxa"/>
            <w:vAlign w:val="center"/>
          </w:tcPr>
          <w:p>
            <w:pPr>
              <w:pStyle w:val="136"/>
            </w:pPr>
            <w:r>
              <w:t>3.20</w:t>
            </w:r>
          </w:p>
        </w:tc>
        <w:tc>
          <w:tcPr>
            <w:tcW w:w="947" w:type="dxa"/>
            <w:vAlign w:val="center"/>
          </w:tcPr>
          <w:p>
            <w:pPr>
              <w:pStyle w:val="136"/>
            </w:pPr>
            <w:r>
              <w:t>3.20</w:t>
            </w:r>
          </w:p>
        </w:tc>
        <w:tc>
          <w:tcPr>
            <w:tcW w:w="1888" w:type="dxa"/>
            <w:vAlign w:val="center"/>
          </w:tcPr>
          <w:p>
            <w:pPr>
              <w:pStyle w:val="136"/>
            </w:pPr>
            <w:r>
              <w:t>荒漠草场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pStyle w:val="136"/>
            </w:pPr>
            <w:r>
              <w:t>管理站房</w:t>
            </w:r>
          </w:p>
        </w:tc>
        <w:tc>
          <w:tcPr>
            <w:tcW w:w="2835" w:type="dxa"/>
            <w:vAlign w:val="center"/>
          </w:tcPr>
          <w:p>
            <w:pPr>
              <w:pStyle w:val="136"/>
            </w:pPr>
            <w:r>
              <w:t>管理站房</w:t>
            </w:r>
          </w:p>
        </w:tc>
        <w:tc>
          <w:tcPr>
            <w:tcW w:w="992" w:type="dxa"/>
            <w:vAlign w:val="center"/>
          </w:tcPr>
          <w:p>
            <w:pPr>
              <w:pStyle w:val="136"/>
            </w:pPr>
            <w:r>
              <w:t>0.50</w:t>
            </w:r>
          </w:p>
        </w:tc>
        <w:tc>
          <w:tcPr>
            <w:tcW w:w="992" w:type="dxa"/>
            <w:vAlign w:val="center"/>
          </w:tcPr>
          <w:p>
            <w:pPr>
              <w:pStyle w:val="136"/>
            </w:pPr>
          </w:p>
        </w:tc>
        <w:tc>
          <w:tcPr>
            <w:tcW w:w="947" w:type="dxa"/>
            <w:vAlign w:val="center"/>
          </w:tcPr>
          <w:p>
            <w:pPr>
              <w:pStyle w:val="136"/>
            </w:pPr>
            <w:r>
              <w:t>0.50</w:t>
            </w:r>
          </w:p>
        </w:tc>
        <w:tc>
          <w:tcPr>
            <w:tcW w:w="1888" w:type="dxa"/>
            <w:vAlign w:val="center"/>
          </w:tcPr>
          <w:p>
            <w:pPr>
              <w:pStyle w:val="136"/>
            </w:pPr>
            <w:r>
              <w:t>荒漠草场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pStyle w:val="136"/>
            </w:pPr>
            <w:r>
              <w:t>水库淹没区</w:t>
            </w:r>
          </w:p>
        </w:tc>
        <w:tc>
          <w:tcPr>
            <w:tcW w:w="2835" w:type="dxa"/>
            <w:vAlign w:val="center"/>
          </w:tcPr>
          <w:p>
            <w:pPr>
              <w:pStyle w:val="136"/>
            </w:pPr>
            <w:r>
              <w:t>水库淹没区</w:t>
            </w:r>
          </w:p>
        </w:tc>
        <w:tc>
          <w:tcPr>
            <w:tcW w:w="992" w:type="dxa"/>
            <w:vAlign w:val="center"/>
          </w:tcPr>
          <w:p>
            <w:pPr>
              <w:pStyle w:val="136"/>
            </w:pPr>
            <w:r>
              <w:t>19.36</w:t>
            </w:r>
          </w:p>
        </w:tc>
        <w:tc>
          <w:tcPr>
            <w:tcW w:w="992" w:type="dxa"/>
            <w:vAlign w:val="center"/>
          </w:tcPr>
          <w:p>
            <w:pPr>
              <w:pStyle w:val="136"/>
            </w:pPr>
          </w:p>
        </w:tc>
        <w:tc>
          <w:tcPr>
            <w:tcW w:w="947" w:type="dxa"/>
            <w:vAlign w:val="center"/>
          </w:tcPr>
          <w:p>
            <w:pPr>
              <w:pStyle w:val="136"/>
            </w:pPr>
            <w:r>
              <w:t>19.36</w:t>
            </w:r>
          </w:p>
        </w:tc>
        <w:tc>
          <w:tcPr>
            <w:tcW w:w="1888" w:type="dxa"/>
            <w:vAlign w:val="center"/>
          </w:tcPr>
          <w:p>
            <w:pPr>
              <w:pStyle w:val="136"/>
            </w:pPr>
            <w:r>
              <w:t>荒漠草场、水域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pStyle w:val="136"/>
            </w:pPr>
            <w:r>
              <w:t>合计</w:t>
            </w:r>
          </w:p>
        </w:tc>
        <w:tc>
          <w:tcPr>
            <w:tcW w:w="2835" w:type="dxa"/>
            <w:vAlign w:val="center"/>
          </w:tcPr>
          <w:p>
            <w:pPr>
              <w:pStyle w:val="136"/>
            </w:pPr>
          </w:p>
        </w:tc>
        <w:tc>
          <w:tcPr>
            <w:tcW w:w="992" w:type="dxa"/>
            <w:vAlign w:val="center"/>
          </w:tcPr>
          <w:p>
            <w:pPr>
              <w:pStyle w:val="136"/>
            </w:pPr>
            <w:r>
              <w:t>30.59</w:t>
            </w:r>
          </w:p>
        </w:tc>
        <w:tc>
          <w:tcPr>
            <w:tcW w:w="992" w:type="dxa"/>
            <w:vAlign w:val="center"/>
          </w:tcPr>
          <w:p>
            <w:pPr>
              <w:pStyle w:val="136"/>
            </w:pPr>
            <w:r>
              <w:t>15.56</w:t>
            </w:r>
          </w:p>
        </w:tc>
        <w:tc>
          <w:tcPr>
            <w:tcW w:w="947" w:type="dxa"/>
            <w:vAlign w:val="center"/>
          </w:tcPr>
          <w:p>
            <w:pPr>
              <w:pStyle w:val="136"/>
            </w:pPr>
            <w:r>
              <w:t>46.15</w:t>
            </w:r>
          </w:p>
        </w:tc>
        <w:tc>
          <w:tcPr>
            <w:tcW w:w="1888" w:type="dxa"/>
            <w:vAlign w:val="center"/>
          </w:tcPr>
          <w:p>
            <w:pPr>
              <w:pStyle w:val="136"/>
            </w:pPr>
          </w:p>
        </w:tc>
      </w:tr>
    </w:tbl>
    <w:p>
      <w:pPr>
        <w:ind w:firstLine="480"/>
        <w:rPr>
          <w:rFonts w:cs="Times New Roman"/>
        </w:rPr>
      </w:pPr>
    </w:p>
    <w:p>
      <w:pPr>
        <w:pStyle w:val="3"/>
        <w:rPr>
          <w:rFonts w:cs="Times New Roman"/>
        </w:rPr>
      </w:pPr>
      <w:bookmarkStart w:id="66" w:name="_Toc181381600"/>
      <w:r>
        <w:rPr>
          <w:rFonts w:cs="Times New Roman"/>
        </w:rPr>
        <w:t>2.7 移民安置规划</w:t>
      </w:r>
      <w:bookmarkEnd w:id="65"/>
      <w:bookmarkEnd w:id="66"/>
    </w:p>
    <w:p>
      <w:pPr>
        <w:ind w:firstLine="480"/>
        <w:rPr>
          <w:rFonts w:cs="Times New Roman"/>
        </w:rPr>
      </w:pPr>
      <w:r>
        <w:rPr>
          <w:rFonts w:cs="Times New Roman"/>
        </w:rPr>
        <w:t>（1）规划设计基准年和设计水平年</w:t>
      </w:r>
    </w:p>
    <w:p>
      <w:pPr>
        <w:ind w:firstLine="480"/>
        <w:rPr>
          <w:rFonts w:cs="Times New Roman"/>
        </w:rPr>
      </w:pPr>
      <w:r>
        <w:rPr>
          <w:rFonts w:cs="Times New Roman"/>
        </w:rPr>
        <w:t>根据《水利水电工程建设征地移民安置规划设计规范》(SL290-2009)的有关规定，本工程移民安置规划基准年为2022年，规划水平年为2025年。</w:t>
      </w:r>
    </w:p>
    <w:p>
      <w:pPr>
        <w:ind w:firstLine="480"/>
        <w:rPr>
          <w:rFonts w:cs="Times New Roman"/>
        </w:rPr>
      </w:pPr>
      <w:r>
        <w:rPr>
          <w:rFonts w:cs="Times New Roman"/>
        </w:rPr>
        <w:t>（2）安置人口及安置方案</w:t>
      </w:r>
    </w:p>
    <w:p>
      <w:pPr>
        <w:ind w:firstLine="480"/>
        <w:rPr>
          <w:rFonts w:cs="Times New Roman"/>
        </w:rPr>
      </w:pPr>
      <w:r>
        <w:rPr>
          <w:rFonts w:cs="Times New Roman"/>
        </w:rPr>
        <w:t>本工程建设征地区不涉及人口、耕（园）地，因此，不存在搬迁安置；占用草地采用一次性货币补偿，也无生产安置。</w:t>
      </w:r>
    </w:p>
    <w:p>
      <w:pPr>
        <w:ind w:firstLine="480"/>
        <w:rPr>
          <w:rFonts w:cs="Times New Roman"/>
        </w:rPr>
      </w:pPr>
      <w:r>
        <w:rPr>
          <w:rFonts w:cs="Times New Roman"/>
        </w:rPr>
        <w:t>工程区坝址下游存在废弃羊圈1处，占地面积300m</w:t>
      </w:r>
      <w:r>
        <w:rPr>
          <w:rFonts w:cs="Times New Roman"/>
          <w:vertAlign w:val="superscript"/>
        </w:rPr>
        <w:t>2</w:t>
      </w:r>
      <w:r>
        <w:rPr>
          <w:rFonts w:cs="Times New Roman"/>
        </w:rPr>
        <w:t>，水库淹没区高台有两处古代石围墓（年代不详），所占土地类型均为天然草场，采用一次性货币补偿的方式进行安置。</w:t>
      </w:r>
    </w:p>
    <w:p>
      <w:pPr>
        <w:ind w:firstLine="480"/>
        <w:rPr>
          <w:rFonts w:cs="Times New Roman"/>
        </w:rPr>
      </w:pPr>
      <w:r>
        <w:rPr>
          <w:rFonts w:cs="Times New Roman"/>
        </w:rPr>
        <w:t>（3）专业项目改复建</w:t>
      </w:r>
    </w:p>
    <w:p>
      <w:pPr>
        <w:ind w:firstLine="480"/>
        <w:rPr>
          <w:rFonts w:cs="Times New Roman"/>
        </w:rPr>
      </w:pPr>
      <w:r>
        <w:rPr>
          <w:rFonts w:cs="Times New Roman"/>
        </w:rPr>
        <w:t>本工程征占地范围内无交通、水利、矿产、通信等专项设施，不涉及专项设施改复建问题。</w:t>
      </w:r>
    </w:p>
    <w:p>
      <w:pPr>
        <w:pStyle w:val="4"/>
        <w:rPr>
          <w:rFonts w:cs="Times New Roman"/>
        </w:rPr>
      </w:pPr>
      <w:bookmarkStart w:id="67" w:name="_Toc136263290"/>
      <w:r>
        <w:rPr>
          <w:rFonts w:cs="Times New Roman"/>
        </w:rPr>
        <w:t>2.8 工程调度运行方式</w:t>
      </w:r>
      <w:bookmarkEnd w:id="67"/>
    </w:p>
    <w:p>
      <w:pPr>
        <w:ind w:firstLine="480"/>
        <w:rPr>
          <w:rFonts w:cs="Times New Roman"/>
        </w:rPr>
      </w:pPr>
      <w:r>
        <w:rPr>
          <w:rFonts w:cs="Times New Roman"/>
        </w:rPr>
        <w:t>代尔昆代水库作为代尔昆代郭勒沟上的控制性工程，在满足下游生态基流的前提下，为淖毛湖区域人、畜饮水及公益林灌溉补水。工程调度运行主要包括水利兴利调度和洪水期调度。</w:t>
      </w:r>
    </w:p>
    <w:p>
      <w:pPr>
        <w:ind w:firstLine="480"/>
        <w:rPr>
          <w:rFonts w:cs="Times New Roman"/>
        </w:rPr>
      </w:pPr>
      <w:r>
        <w:rPr>
          <w:rFonts w:cs="Times New Roman"/>
        </w:rPr>
        <w:t>（1）水库兴利调度</w:t>
      </w:r>
    </w:p>
    <w:p>
      <w:pPr>
        <w:ind w:firstLine="480"/>
        <w:rPr>
          <w:rFonts w:cs="Times New Roman"/>
        </w:rPr>
      </w:pPr>
      <w:r>
        <w:rPr>
          <w:rFonts w:cs="Times New Roman"/>
        </w:rPr>
        <w:t>代尔昆代水库调度运行主要是在灌溉季节向淖毛湖区域供水，解决淖毛湖区域人畜饮水及公益林灌溉补水。经调节计算，4～10月代尔昆代水库</w:t>
      </w:r>
      <w:r>
        <w:rPr>
          <w:rFonts w:hint="eastAsia" w:cs="Times New Roman"/>
          <w:lang w:eastAsia="zh-CN"/>
        </w:rPr>
        <w:t>将</w:t>
      </w:r>
      <w:r>
        <w:rPr>
          <w:rFonts w:cs="Times New Roman"/>
        </w:rPr>
        <w:t>向淖毛湖区域补水359.57万m</w:t>
      </w:r>
      <w:r>
        <w:rPr>
          <w:rFonts w:cs="Times New Roman"/>
          <w:vertAlign w:val="superscript"/>
        </w:rPr>
        <w:t>3</w:t>
      </w:r>
      <w:r>
        <w:rPr>
          <w:rFonts w:cs="Times New Roman"/>
        </w:rPr>
        <w:t>，其中满足5～9月人畜饮水供水量为218万m</w:t>
      </w:r>
      <w:r>
        <w:rPr>
          <w:rFonts w:cs="Times New Roman"/>
          <w:vertAlign w:val="superscript"/>
        </w:rPr>
        <w:t>3</w:t>
      </w:r>
      <w:r>
        <w:rPr>
          <w:rFonts w:cs="Times New Roman"/>
        </w:rPr>
        <w:t>，4～10月向0.47万亩公益林灌溉供水141.57万m</w:t>
      </w:r>
      <w:r>
        <w:rPr>
          <w:rFonts w:cs="Times New Roman"/>
          <w:vertAlign w:val="superscript"/>
        </w:rPr>
        <w:t>3</w:t>
      </w:r>
      <w:r>
        <w:rPr>
          <w:rFonts w:cs="Times New Roman"/>
        </w:rPr>
        <w:t>。</w:t>
      </w:r>
    </w:p>
    <w:p>
      <w:pPr>
        <w:ind w:firstLine="480"/>
        <w:rPr>
          <w:rFonts w:cs="Times New Roman"/>
        </w:rPr>
      </w:pPr>
      <w:r>
        <w:rPr>
          <w:rFonts w:cs="Times New Roman"/>
        </w:rPr>
        <w:t>代尔昆代水库具有季调节性能，水库建设任务主要供水，因此，水库调度运行方式以满足供水对象供水要求设定，即水库4～10月根据供水要求下泄水量，库水位逐步降低至死水位1960m，10月初开始蓄水，次年4月底蓄至正常蓄水位1981.85m。</w:t>
      </w:r>
    </w:p>
    <w:p>
      <w:pPr>
        <w:ind w:firstLine="480"/>
        <w:rPr>
          <w:rFonts w:cs="Times New Roman"/>
        </w:rPr>
      </w:pPr>
      <w:r>
        <w:rPr>
          <w:rFonts w:cs="Times New Roman"/>
        </w:rPr>
        <w:t>根据水库兴利的要求和来水来沙的特点，水库供水时段5～9月，根据蓄洪运用的泥沙调度方式，根据来水情况，利用丰水期或洪水期不定期冲淤排沙。</w:t>
      </w:r>
    </w:p>
    <w:p>
      <w:pPr>
        <w:ind w:firstLine="480"/>
        <w:rPr>
          <w:rFonts w:cs="Times New Roman"/>
        </w:rPr>
      </w:pPr>
      <w:r>
        <w:rPr>
          <w:rFonts w:cs="Times New Roman"/>
        </w:rPr>
        <w:t>代尔昆代水库供水过程线见表2.8-1。</w:t>
      </w:r>
    </w:p>
    <w:p>
      <w:pPr>
        <w:pStyle w:val="137"/>
        <w:spacing w:before="62"/>
      </w:pPr>
      <w:r>
        <w:t>表2.8-1                   代尔昆代水库供水过程线              单位：万m</w:t>
      </w:r>
      <w:r>
        <w:rPr>
          <w:vertAlign w:val="superscript"/>
        </w:rPr>
        <w:t>3</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70"/>
        <w:gridCol w:w="753"/>
        <w:gridCol w:w="888"/>
        <w:gridCol w:w="888"/>
        <w:gridCol w:w="888"/>
        <w:gridCol w:w="889"/>
        <w:gridCol w:w="889"/>
        <w:gridCol w:w="824"/>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jc w:val="center"/>
        </w:trPr>
        <w:tc>
          <w:tcPr>
            <w:tcW w:w="1770" w:type="dxa"/>
            <w:vAlign w:val="center"/>
          </w:tcPr>
          <w:p>
            <w:pPr>
              <w:pStyle w:val="136"/>
            </w:pPr>
            <w:r>
              <w:t>名称</w:t>
            </w:r>
          </w:p>
        </w:tc>
        <w:tc>
          <w:tcPr>
            <w:tcW w:w="753" w:type="dxa"/>
            <w:vAlign w:val="center"/>
          </w:tcPr>
          <w:p>
            <w:pPr>
              <w:pStyle w:val="136"/>
            </w:pPr>
            <w:r>
              <w:t>4月</w:t>
            </w:r>
          </w:p>
        </w:tc>
        <w:tc>
          <w:tcPr>
            <w:tcW w:w="888" w:type="dxa"/>
            <w:vAlign w:val="center"/>
          </w:tcPr>
          <w:p>
            <w:pPr>
              <w:pStyle w:val="136"/>
            </w:pPr>
            <w:r>
              <w:t>5月</w:t>
            </w:r>
          </w:p>
        </w:tc>
        <w:tc>
          <w:tcPr>
            <w:tcW w:w="888" w:type="dxa"/>
            <w:vAlign w:val="center"/>
          </w:tcPr>
          <w:p>
            <w:pPr>
              <w:pStyle w:val="136"/>
            </w:pPr>
            <w:r>
              <w:t>6月</w:t>
            </w:r>
          </w:p>
        </w:tc>
        <w:tc>
          <w:tcPr>
            <w:tcW w:w="888" w:type="dxa"/>
            <w:vAlign w:val="center"/>
          </w:tcPr>
          <w:p>
            <w:pPr>
              <w:pStyle w:val="136"/>
            </w:pPr>
            <w:r>
              <w:t>7月</w:t>
            </w:r>
          </w:p>
        </w:tc>
        <w:tc>
          <w:tcPr>
            <w:tcW w:w="889" w:type="dxa"/>
            <w:vAlign w:val="center"/>
          </w:tcPr>
          <w:p>
            <w:pPr>
              <w:pStyle w:val="136"/>
            </w:pPr>
            <w:r>
              <w:t>8月</w:t>
            </w:r>
          </w:p>
        </w:tc>
        <w:tc>
          <w:tcPr>
            <w:tcW w:w="889" w:type="dxa"/>
            <w:vAlign w:val="center"/>
          </w:tcPr>
          <w:p>
            <w:pPr>
              <w:pStyle w:val="136"/>
            </w:pPr>
            <w:r>
              <w:t>9月</w:t>
            </w:r>
          </w:p>
        </w:tc>
        <w:tc>
          <w:tcPr>
            <w:tcW w:w="824" w:type="dxa"/>
            <w:vAlign w:val="center"/>
          </w:tcPr>
          <w:p>
            <w:pPr>
              <w:pStyle w:val="136"/>
            </w:pPr>
            <w:r>
              <w:t>10月</w:t>
            </w:r>
          </w:p>
        </w:tc>
        <w:tc>
          <w:tcPr>
            <w:tcW w:w="1023" w:type="dxa"/>
            <w:vAlign w:val="center"/>
          </w:tcPr>
          <w:p>
            <w:pPr>
              <w:pStyle w:val="136"/>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exact"/>
          <w:jc w:val="center"/>
        </w:trPr>
        <w:tc>
          <w:tcPr>
            <w:tcW w:w="1770" w:type="dxa"/>
            <w:vAlign w:val="center"/>
          </w:tcPr>
          <w:p>
            <w:pPr>
              <w:pStyle w:val="136"/>
            </w:pPr>
            <w:r>
              <w:t>公益林需水量</w:t>
            </w:r>
          </w:p>
        </w:tc>
        <w:tc>
          <w:tcPr>
            <w:tcW w:w="753" w:type="dxa"/>
            <w:vAlign w:val="center"/>
          </w:tcPr>
          <w:p>
            <w:pPr>
              <w:pStyle w:val="136"/>
            </w:pPr>
            <w:r>
              <w:t>8.85</w:t>
            </w:r>
          </w:p>
        </w:tc>
        <w:tc>
          <w:tcPr>
            <w:tcW w:w="888" w:type="dxa"/>
            <w:vAlign w:val="center"/>
          </w:tcPr>
          <w:p>
            <w:pPr>
              <w:pStyle w:val="136"/>
            </w:pPr>
            <w:r>
              <w:t>17.70</w:t>
            </w:r>
          </w:p>
        </w:tc>
        <w:tc>
          <w:tcPr>
            <w:tcW w:w="888" w:type="dxa"/>
            <w:vAlign w:val="center"/>
          </w:tcPr>
          <w:p>
            <w:pPr>
              <w:pStyle w:val="136"/>
            </w:pPr>
            <w:r>
              <w:t>26.54</w:t>
            </w:r>
          </w:p>
        </w:tc>
        <w:tc>
          <w:tcPr>
            <w:tcW w:w="888" w:type="dxa"/>
            <w:vAlign w:val="center"/>
          </w:tcPr>
          <w:p>
            <w:pPr>
              <w:pStyle w:val="136"/>
            </w:pPr>
            <w:r>
              <w:t>35.39</w:t>
            </w:r>
          </w:p>
        </w:tc>
        <w:tc>
          <w:tcPr>
            <w:tcW w:w="889" w:type="dxa"/>
            <w:vAlign w:val="center"/>
          </w:tcPr>
          <w:p>
            <w:pPr>
              <w:pStyle w:val="136"/>
            </w:pPr>
            <w:r>
              <w:t>26.54</w:t>
            </w:r>
          </w:p>
        </w:tc>
        <w:tc>
          <w:tcPr>
            <w:tcW w:w="889" w:type="dxa"/>
            <w:vAlign w:val="center"/>
          </w:tcPr>
          <w:p>
            <w:pPr>
              <w:pStyle w:val="136"/>
            </w:pPr>
            <w:r>
              <w:t>17.70</w:t>
            </w:r>
          </w:p>
        </w:tc>
        <w:tc>
          <w:tcPr>
            <w:tcW w:w="824" w:type="dxa"/>
            <w:vAlign w:val="center"/>
          </w:tcPr>
          <w:p>
            <w:pPr>
              <w:pStyle w:val="136"/>
            </w:pPr>
            <w:r>
              <w:t>8.85</w:t>
            </w:r>
          </w:p>
        </w:tc>
        <w:tc>
          <w:tcPr>
            <w:tcW w:w="1023" w:type="dxa"/>
            <w:vAlign w:val="center"/>
          </w:tcPr>
          <w:p>
            <w:pPr>
              <w:pStyle w:val="136"/>
            </w:pPr>
            <w:r>
              <w:t>141.570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1770" w:type="dxa"/>
            <w:vAlign w:val="center"/>
          </w:tcPr>
          <w:p>
            <w:pPr>
              <w:pStyle w:val="136"/>
            </w:pPr>
            <w:r>
              <w:t>人畜需水量</w:t>
            </w:r>
          </w:p>
        </w:tc>
        <w:tc>
          <w:tcPr>
            <w:tcW w:w="753" w:type="dxa"/>
            <w:vAlign w:val="center"/>
          </w:tcPr>
          <w:p>
            <w:pPr>
              <w:pStyle w:val="136"/>
            </w:pPr>
          </w:p>
        </w:tc>
        <w:tc>
          <w:tcPr>
            <w:tcW w:w="888" w:type="dxa"/>
            <w:vAlign w:val="center"/>
          </w:tcPr>
          <w:p>
            <w:pPr>
              <w:pStyle w:val="136"/>
            </w:pPr>
            <w:r>
              <w:t>43.60</w:t>
            </w:r>
          </w:p>
        </w:tc>
        <w:tc>
          <w:tcPr>
            <w:tcW w:w="888" w:type="dxa"/>
            <w:vAlign w:val="center"/>
          </w:tcPr>
          <w:p>
            <w:pPr>
              <w:pStyle w:val="136"/>
            </w:pPr>
            <w:r>
              <w:t>43.60</w:t>
            </w:r>
          </w:p>
        </w:tc>
        <w:tc>
          <w:tcPr>
            <w:tcW w:w="888" w:type="dxa"/>
            <w:vAlign w:val="center"/>
          </w:tcPr>
          <w:p>
            <w:pPr>
              <w:pStyle w:val="136"/>
            </w:pPr>
            <w:r>
              <w:t>43.60</w:t>
            </w:r>
          </w:p>
        </w:tc>
        <w:tc>
          <w:tcPr>
            <w:tcW w:w="889" w:type="dxa"/>
            <w:vAlign w:val="center"/>
          </w:tcPr>
          <w:p>
            <w:pPr>
              <w:pStyle w:val="136"/>
            </w:pPr>
            <w:r>
              <w:t>43.60</w:t>
            </w:r>
          </w:p>
        </w:tc>
        <w:tc>
          <w:tcPr>
            <w:tcW w:w="889" w:type="dxa"/>
            <w:vAlign w:val="center"/>
          </w:tcPr>
          <w:p>
            <w:pPr>
              <w:pStyle w:val="136"/>
            </w:pPr>
            <w:r>
              <w:t>43.60</w:t>
            </w:r>
          </w:p>
        </w:tc>
        <w:tc>
          <w:tcPr>
            <w:tcW w:w="824" w:type="dxa"/>
            <w:vAlign w:val="center"/>
          </w:tcPr>
          <w:p>
            <w:pPr>
              <w:pStyle w:val="136"/>
            </w:pPr>
          </w:p>
        </w:tc>
        <w:tc>
          <w:tcPr>
            <w:tcW w:w="1023" w:type="dxa"/>
            <w:vAlign w:val="center"/>
          </w:tcPr>
          <w:p>
            <w:pPr>
              <w:pStyle w:val="136"/>
            </w:pPr>
            <w:r>
              <w:t>218.00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exact"/>
          <w:jc w:val="center"/>
        </w:trPr>
        <w:tc>
          <w:tcPr>
            <w:tcW w:w="1770" w:type="dxa"/>
            <w:vAlign w:val="center"/>
          </w:tcPr>
          <w:p>
            <w:pPr>
              <w:pStyle w:val="136"/>
            </w:pPr>
            <w:r>
              <w:t>合计</w:t>
            </w:r>
          </w:p>
        </w:tc>
        <w:tc>
          <w:tcPr>
            <w:tcW w:w="753" w:type="dxa"/>
            <w:vAlign w:val="center"/>
          </w:tcPr>
          <w:p>
            <w:pPr>
              <w:pStyle w:val="136"/>
            </w:pPr>
            <w:r>
              <w:t>8.85</w:t>
            </w:r>
          </w:p>
        </w:tc>
        <w:tc>
          <w:tcPr>
            <w:tcW w:w="888" w:type="dxa"/>
            <w:vAlign w:val="center"/>
          </w:tcPr>
          <w:p>
            <w:pPr>
              <w:pStyle w:val="136"/>
            </w:pPr>
            <w:r>
              <w:t>61.30</w:t>
            </w:r>
          </w:p>
        </w:tc>
        <w:tc>
          <w:tcPr>
            <w:tcW w:w="888" w:type="dxa"/>
            <w:vAlign w:val="center"/>
          </w:tcPr>
          <w:p>
            <w:pPr>
              <w:pStyle w:val="136"/>
            </w:pPr>
            <w:r>
              <w:t>70.14</w:t>
            </w:r>
          </w:p>
        </w:tc>
        <w:tc>
          <w:tcPr>
            <w:tcW w:w="888" w:type="dxa"/>
            <w:vAlign w:val="center"/>
          </w:tcPr>
          <w:p>
            <w:pPr>
              <w:pStyle w:val="136"/>
            </w:pPr>
            <w:r>
              <w:t>78.99</w:t>
            </w:r>
          </w:p>
        </w:tc>
        <w:tc>
          <w:tcPr>
            <w:tcW w:w="889" w:type="dxa"/>
            <w:vAlign w:val="center"/>
          </w:tcPr>
          <w:p>
            <w:pPr>
              <w:pStyle w:val="136"/>
            </w:pPr>
            <w:r>
              <w:t>70.14</w:t>
            </w:r>
          </w:p>
        </w:tc>
        <w:tc>
          <w:tcPr>
            <w:tcW w:w="889" w:type="dxa"/>
            <w:vAlign w:val="center"/>
          </w:tcPr>
          <w:p>
            <w:pPr>
              <w:pStyle w:val="136"/>
            </w:pPr>
            <w:r>
              <w:t>61.30</w:t>
            </w:r>
          </w:p>
        </w:tc>
        <w:tc>
          <w:tcPr>
            <w:tcW w:w="824" w:type="dxa"/>
            <w:vAlign w:val="center"/>
          </w:tcPr>
          <w:p>
            <w:pPr>
              <w:pStyle w:val="136"/>
            </w:pPr>
            <w:r>
              <w:t>8.85</w:t>
            </w:r>
          </w:p>
        </w:tc>
        <w:tc>
          <w:tcPr>
            <w:tcW w:w="1023" w:type="dxa"/>
            <w:vAlign w:val="center"/>
          </w:tcPr>
          <w:p>
            <w:pPr>
              <w:pStyle w:val="136"/>
            </w:pPr>
            <w:r>
              <w:t>359.57</w:t>
            </w:r>
          </w:p>
        </w:tc>
      </w:tr>
    </w:tbl>
    <w:p>
      <w:pPr>
        <w:ind w:firstLine="480"/>
        <w:rPr>
          <w:rFonts w:cs="Times New Roman"/>
        </w:rPr>
      </w:pPr>
    </w:p>
    <w:p>
      <w:pPr>
        <w:ind w:firstLine="480"/>
        <w:rPr>
          <w:rFonts w:cs="Times New Roman"/>
        </w:rPr>
      </w:pPr>
      <w:r>
        <w:rPr>
          <w:rFonts w:cs="Times New Roman"/>
        </w:rPr>
        <w:t>根据代尔昆代水库工程特征水位（正常蓄水位1981.85m，死水位1960.0m）及供水要求，确定水库调度线见表2.8-2，水库调度图见图2.8-1。</w:t>
      </w:r>
    </w:p>
    <w:p>
      <w:pPr>
        <w:pStyle w:val="137"/>
        <w:spacing w:before="62"/>
      </w:pPr>
      <w:r>
        <w:t>表2.8-2                    代尔昆代水库调度线                   单位：m</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8"/>
        <w:gridCol w:w="652"/>
        <w:gridCol w:w="652"/>
        <w:gridCol w:w="653"/>
        <w:gridCol w:w="652"/>
        <w:gridCol w:w="652"/>
        <w:gridCol w:w="653"/>
        <w:gridCol w:w="652"/>
        <w:gridCol w:w="652"/>
        <w:gridCol w:w="653"/>
        <w:gridCol w:w="652"/>
        <w:gridCol w:w="652"/>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98" w:type="dxa"/>
            <w:vAlign w:val="center"/>
          </w:tcPr>
          <w:p>
            <w:pPr>
              <w:pStyle w:val="136"/>
            </w:pPr>
            <w:r>
              <w:t>月份</w:t>
            </w:r>
          </w:p>
        </w:tc>
        <w:tc>
          <w:tcPr>
            <w:tcW w:w="652" w:type="dxa"/>
            <w:vAlign w:val="center"/>
          </w:tcPr>
          <w:p>
            <w:pPr>
              <w:pStyle w:val="136"/>
            </w:pPr>
            <w:r>
              <w:t>10月</w:t>
            </w:r>
          </w:p>
        </w:tc>
        <w:tc>
          <w:tcPr>
            <w:tcW w:w="652" w:type="dxa"/>
            <w:vAlign w:val="center"/>
          </w:tcPr>
          <w:p>
            <w:pPr>
              <w:pStyle w:val="136"/>
            </w:pPr>
            <w:r>
              <w:t>11月</w:t>
            </w:r>
          </w:p>
        </w:tc>
        <w:tc>
          <w:tcPr>
            <w:tcW w:w="653" w:type="dxa"/>
            <w:vAlign w:val="center"/>
          </w:tcPr>
          <w:p>
            <w:pPr>
              <w:pStyle w:val="136"/>
            </w:pPr>
            <w:r>
              <w:t>12月</w:t>
            </w:r>
          </w:p>
        </w:tc>
        <w:tc>
          <w:tcPr>
            <w:tcW w:w="652" w:type="dxa"/>
            <w:vAlign w:val="center"/>
          </w:tcPr>
          <w:p>
            <w:pPr>
              <w:pStyle w:val="136"/>
            </w:pPr>
            <w:r>
              <w:t>1月</w:t>
            </w:r>
          </w:p>
        </w:tc>
        <w:tc>
          <w:tcPr>
            <w:tcW w:w="652" w:type="dxa"/>
            <w:vAlign w:val="center"/>
          </w:tcPr>
          <w:p>
            <w:pPr>
              <w:pStyle w:val="136"/>
            </w:pPr>
            <w:r>
              <w:t>2月</w:t>
            </w:r>
          </w:p>
        </w:tc>
        <w:tc>
          <w:tcPr>
            <w:tcW w:w="653" w:type="dxa"/>
            <w:vAlign w:val="center"/>
          </w:tcPr>
          <w:p>
            <w:pPr>
              <w:pStyle w:val="136"/>
            </w:pPr>
            <w:r>
              <w:t>3月</w:t>
            </w:r>
          </w:p>
        </w:tc>
        <w:tc>
          <w:tcPr>
            <w:tcW w:w="652" w:type="dxa"/>
            <w:vAlign w:val="center"/>
          </w:tcPr>
          <w:p>
            <w:pPr>
              <w:pStyle w:val="136"/>
            </w:pPr>
            <w:r>
              <w:t>4月</w:t>
            </w:r>
          </w:p>
        </w:tc>
        <w:tc>
          <w:tcPr>
            <w:tcW w:w="652" w:type="dxa"/>
            <w:vAlign w:val="center"/>
          </w:tcPr>
          <w:p>
            <w:pPr>
              <w:pStyle w:val="136"/>
            </w:pPr>
            <w:r>
              <w:t>5月</w:t>
            </w:r>
          </w:p>
        </w:tc>
        <w:tc>
          <w:tcPr>
            <w:tcW w:w="653" w:type="dxa"/>
            <w:vAlign w:val="center"/>
          </w:tcPr>
          <w:p>
            <w:pPr>
              <w:pStyle w:val="136"/>
            </w:pPr>
            <w:r>
              <w:t>6月</w:t>
            </w:r>
          </w:p>
        </w:tc>
        <w:tc>
          <w:tcPr>
            <w:tcW w:w="652" w:type="dxa"/>
            <w:vAlign w:val="center"/>
          </w:tcPr>
          <w:p>
            <w:pPr>
              <w:pStyle w:val="136"/>
            </w:pPr>
            <w:r>
              <w:t>7月</w:t>
            </w:r>
          </w:p>
        </w:tc>
        <w:tc>
          <w:tcPr>
            <w:tcW w:w="652" w:type="dxa"/>
            <w:vAlign w:val="center"/>
          </w:tcPr>
          <w:p>
            <w:pPr>
              <w:pStyle w:val="136"/>
            </w:pPr>
            <w:r>
              <w:t>8月</w:t>
            </w:r>
          </w:p>
        </w:tc>
        <w:tc>
          <w:tcPr>
            <w:tcW w:w="653" w:type="dxa"/>
            <w:vAlign w:val="center"/>
          </w:tcPr>
          <w:p>
            <w:pPr>
              <w:pStyle w:val="136"/>
            </w:pPr>
            <w:r>
              <w:t>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exact"/>
          <w:jc w:val="center"/>
        </w:trPr>
        <w:tc>
          <w:tcPr>
            <w:tcW w:w="998" w:type="dxa"/>
            <w:vAlign w:val="center"/>
          </w:tcPr>
          <w:p>
            <w:pPr>
              <w:pStyle w:val="136"/>
            </w:pPr>
            <w:r>
              <w:t>上调度线</w:t>
            </w:r>
          </w:p>
        </w:tc>
        <w:tc>
          <w:tcPr>
            <w:tcW w:w="652" w:type="dxa"/>
            <w:vAlign w:val="center"/>
          </w:tcPr>
          <w:p>
            <w:pPr>
              <w:pStyle w:val="136"/>
            </w:pPr>
            <w:r>
              <w:t>1981.85</w:t>
            </w:r>
          </w:p>
        </w:tc>
        <w:tc>
          <w:tcPr>
            <w:tcW w:w="652" w:type="dxa"/>
            <w:vAlign w:val="center"/>
          </w:tcPr>
          <w:p>
            <w:pPr>
              <w:pStyle w:val="136"/>
            </w:pPr>
            <w:r>
              <w:t>1981.85</w:t>
            </w:r>
          </w:p>
        </w:tc>
        <w:tc>
          <w:tcPr>
            <w:tcW w:w="653" w:type="dxa"/>
            <w:vAlign w:val="center"/>
          </w:tcPr>
          <w:p>
            <w:pPr>
              <w:pStyle w:val="136"/>
            </w:pPr>
            <w:r>
              <w:t>1981.85</w:t>
            </w:r>
          </w:p>
        </w:tc>
        <w:tc>
          <w:tcPr>
            <w:tcW w:w="652" w:type="dxa"/>
            <w:vAlign w:val="center"/>
          </w:tcPr>
          <w:p>
            <w:pPr>
              <w:pStyle w:val="136"/>
            </w:pPr>
            <w:r>
              <w:t>1981.85</w:t>
            </w:r>
          </w:p>
        </w:tc>
        <w:tc>
          <w:tcPr>
            <w:tcW w:w="652" w:type="dxa"/>
            <w:vAlign w:val="center"/>
          </w:tcPr>
          <w:p>
            <w:pPr>
              <w:pStyle w:val="136"/>
            </w:pPr>
            <w:r>
              <w:t>1981.85</w:t>
            </w:r>
          </w:p>
        </w:tc>
        <w:tc>
          <w:tcPr>
            <w:tcW w:w="653" w:type="dxa"/>
            <w:vAlign w:val="center"/>
          </w:tcPr>
          <w:p>
            <w:pPr>
              <w:pStyle w:val="136"/>
            </w:pPr>
            <w:r>
              <w:t>1981.85</w:t>
            </w:r>
          </w:p>
        </w:tc>
        <w:tc>
          <w:tcPr>
            <w:tcW w:w="652" w:type="dxa"/>
            <w:vAlign w:val="center"/>
          </w:tcPr>
          <w:p>
            <w:pPr>
              <w:pStyle w:val="136"/>
            </w:pPr>
            <w:r>
              <w:t>981.85</w:t>
            </w:r>
          </w:p>
        </w:tc>
        <w:tc>
          <w:tcPr>
            <w:tcW w:w="652" w:type="dxa"/>
            <w:vAlign w:val="center"/>
          </w:tcPr>
          <w:p>
            <w:pPr>
              <w:pStyle w:val="136"/>
            </w:pPr>
            <w:r>
              <w:t>1981.85</w:t>
            </w:r>
          </w:p>
        </w:tc>
        <w:tc>
          <w:tcPr>
            <w:tcW w:w="653" w:type="dxa"/>
            <w:vAlign w:val="center"/>
          </w:tcPr>
          <w:p>
            <w:pPr>
              <w:pStyle w:val="136"/>
            </w:pPr>
            <w:r>
              <w:t>1981.85</w:t>
            </w:r>
          </w:p>
        </w:tc>
        <w:tc>
          <w:tcPr>
            <w:tcW w:w="652" w:type="dxa"/>
            <w:vAlign w:val="center"/>
          </w:tcPr>
          <w:p>
            <w:pPr>
              <w:pStyle w:val="136"/>
            </w:pPr>
            <w:r>
              <w:t>1981.85</w:t>
            </w:r>
          </w:p>
        </w:tc>
        <w:tc>
          <w:tcPr>
            <w:tcW w:w="652" w:type="dxa"/>
            <w:vAlign w:val="center"/>
          </w:tcPr>
          <w:p>
            <w:pPr>
              <w:pStyle w:val="136"/>
            </w:pPr>
            <w:r>
              <w:t>1981.85</w:t>
            </w:r>
          </w:p>
        </w:tc>
        <w:tc>
          <w:tcPr>
            <w:tcW w:w="653" w:type="dxa"/>
            <w:vAlign w:val="center"/>
          </w:tcPr>
          <w:p>
            <w:pPr>
              <w:pStyle w:val="136"/>
            </w:pPr>
            <w:r>
              <w:t>1981.85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exact"/>
          <w:jc w:val="center"/>
        </w:trPr>
        <w:tc>
          <w:tcPr>
            <w:tcW w:w="998" w:type="dxa"/>
            <w:vAlign w:val="center"/>
          </w:tcPr>
          <w:p>
            <w:pPr>
              <w:pStyle w:val="136"/>
            </w:pPr>
            <w:r>
              <w:t>度汛水位</w:t>
            </w:r>
          </w:p>
        </w:tc>
        <w:tc>
          <w:tcPr>
            <w:tcW w:w="652" w:type="dxa"/>
            <w:vAlign w:val="center"/>
          </w:tcPr>
          <w:p>
            <w:pPr>
              <w:pStyle w:val="136"/>
            </w:pPr>
            <w:r>
              <w:t>/</w:t>
            </w:r>
          </w:p>
        </w:tc>
        <w:tc>
          <w:tcPr>
            <w:tcW w:w="652" w:type="dxa"/>
            <w:vAlign w:val="center"/>
          </w:tcPr>
          <w:p>
            <w:pPr>
              <w:pStyle w:val="136"/>
            </w:pPr>
            <w:r>
              <w:t>/</w:t>
            </w:r>
          </w:p>
        </w:tc>
        <w:tc>
          <w:tcPr>
            <w:tcW w:w="653" w:type="dxa"/>
            <w:vAlign w:val="center"/>
          </w:tcPr>
          <w:p>
            <w:pPr>
              <w:pStyle w:val="136"/>
            </w:pPr>
            <w:r>
              <w:t>/</w:t>
            </w:r>
          </w:p>
        </w:tc>
        <w:tc>
          <w:tcPr>
            <w:tcW w:w="652" w:type="dxa"/>
            <w:vAlign w:val="center"/>
          </w:tcPr>
          <w:p>
            <w:pPr>
              <w:pStyle w:val="136"/>
            </w:pPr>
            <w:r>
              <w:t>/</w:t>
            </w:r>
          </w:p>
        </w:tc>
        <w:tc>
          <w:tcPr>
            <w:tcW w:w="652" w:type="dxa"/>
            <w:vAlign w:val="center"/>
          </w:tcPr>
          <w:p>
            <w:pPr>
              <w:pStyle w:val="136"/>
            </w:pPr>
            <w:r>
              <w:t>/</w:t>
            </w:r>
          </w:p>
        </w:tc>
        <w:tc>
          <w:tcPr>
            <w:tcW w:w="653" w:type="dxa"/>
            <w:vAlign w:val="center"/>
          </w:tcPr>
          <w:p>
            <w:pPr>
              <w:pStyle w:val="136"/>
            </w:pPr>
            <w:r>
              <w:t>/</w:t>
            </w:r>
          </w:p>
        </w:tc>
        <w:tc>
          <w:tcPr>
            <w:tcW w:w="652" w:type="dxa"/>
            <w:vAlign w:val="center"/>
          </w:tcPr>
          <w:p>
            <w:pPr>
              <w:pStyle w:val="136"/>
            </w:pPr>
            <w:r>
              <w:t>1981.85</w:t>
            </w:r>
          </w:p>
        </w:tc>
        <w:tc>
          <w:tcPr>
            <w:tcW w:w="652" w:type="dxa"/>
            <w:vAlign w:val="center"/>
          </w:tcPr>
          <w:p>
            <w:pPr>
              <w:pStyle w:val="136"/>
            </w:pPr>
            <w:r>
              <w:t>1981.85</w:t>
            </w:r>
          </w:p>
        </w:tc>
        <w:tc>
          <w:tcPr>
            <w:tcW w:w="653" w:type="dxa"/>
            <w:vAlign w:val="center"/>
          </w:tcPr>
          <w:p>
            <w:pPr>
              <w:pStyle w:val="136"/>
            </w:pPr>
            <w:r>
              <w:t>1981.85</w:t>
            </w:r>
          </w:p>
        </w:tc>
        <w:tc>
          <w:tcPr>
            <w:tcW w:w="652" w:type="dxa"/>
            <w:vAlign w:val="center"/>
          </w:tcPr>
          <w:p>
            <w:pPr>
              <w:pStyle w:val="136"/>
            </w:pPr>
            <w:r>
              <w:t>1981.85</w:t>
            </w:r>
          </w:p>
        </w:tc>
        <w:tc>
          <w:tcPr>
            <w:tcW w:w="652" w:type="dxa"/>
            <w:vAlign w:val="center"/>
          </w:tcPr>
          <w:p>
            <w:pPr>
              <w:pStyle w:val="136"/>
            </w:pPr>
            <w:r>
              <w:t>1981.85</w:t>
            </w:r>
          </w:p>
        </w:tc>
        <w:tc>
          <w:tcPr>
            <w:tcW w:w="653" w:type="dxa"/>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exact"/>
          <w:jc w:val="center"/>
        </w:trPr>
        <w:tc>
          <w:tcPr>
            <w:tcW w:w="998" w:type="dxa"/>
            <w:vAlign w:val="center"/>
          </w:tcPr>
          <w:p>
            <w:pPr>
              <w:pStyle w:val="136"/>
            </w:pPr>
            <w:r>
              <w:t>供水线</w:t>
            </w:r>
          </w:p>
        </w:tc>
        <w:tc>
          <w:tcPr>
            <w:tcW w:w="652" w:type="dxa"/>
            <w:vAlign w:val="center"/>
          </w:tcPr>
          <w:p>
            <w:pPr>
              <w:pStyle w:val="136"/>
            </w:pPr>
            <w:r>
              <w:t>966.66</w:t>
            </w:r>
          </w:p>
        </w:tc>
        <w:tc>
          <w:tcPr>
            <w:tcW w:w="652" w:type="dxa"/>
            <w:vAlign w:val="center"/>
          </w:tcPr>
          <w:p>
            <w:pPr>
              <w:pStyle w:val="136"/>
            </w:pPr>
            <w:r>
              <w:t>1971.48</w:t>
            </w:r>
          </w:p>
        </w:tc>
        <w:tc>
          <w:tcPr>
            <w:tcW w:w="653" w:type="dxa"/>
            <w:vAlign w:val="center"/>
          </w:tcPr>
          <w:p>
            <w:pPr>
              <w:pStyle w:val="136"/>
            </w:pPr>
            <w:r>
              <w:t>1974.99</w:t>
            </w:r>
          </w:p>
        </w:tc>
        <w:tc>
          <w:tcPr>
            <w:tcW w:w="652" w:type="dxa"/>
            <w:vAlign w:val="center"/>
          </w:tcPr>
          <w:p>
            <w:pPr>
              <w:pStyle w:val="136"/>
            </w:pPr>
            <w:r>
              <w:t>1977.44</w:t>
            </w:r>
          </w:p>
        </w:tc>
        <w:tc>
          <w:tcPr>
            <w:tcW w:w="652" w:type="dxa"/>
            <w:vAlign w:val="center"/>
          </w:tcPr>
          <w:p>
            <w:pPr>
              <w:pStyle w:val="136"/>
            </w:pPr>
            <w:r>
              <w:t>1979.43</w:t>
            </w:r>
          </w:p>
        </w:tc>
        <w:tc>
          <w:tcPr>
            <w:tcW w:w="653" w:type="dxa"/>
            <w:vAlign w:val="center"/>
          </w:tcPr>
          <w:p>
            <w:pPr>
              <w:pStyle w:val="136"/>
            </w:pPr>
            <w:r>
              <w:t>1981.13</w:t>
            </w:r>
          </w:p>
        </w:tc>
        <w:tc>
          <w:tcPr>
            <w:tcW w:w="652" w:type="dxa"/>
            <w:vAlign w:val="center"/>
          </w:tcPr>
          <w:p>
            <w:pPr>
              <w:pStyle w:val="136"/>
            </w:pPr>
            <w:r>
              <w:t>1981.85</w:t>
            </w:r>
          </w:p>
        </w:tc>
        <w:tc>
          <w:tcPr>
            <w:tcW w:w="652" w:type="dxa"/>
            <w:vAlign w:val="center"/>
          </w:tcPr>
          <w:p>
            <w:pPr>
              <w:pStyle w:val="136"/>
            </w:pPr>
            <w:r>
              <w:t>1978.94</w:t>
            </w:r>
          </w:p>
        </w:tc>
        <w:tc>
          <w:tcPr>
            <w:tcW w:w="653" w:type="dxa"/>
            <w:vAlign w:val="center"/>
          </w:tcPr>
          <w:p>
            <w:pPr>
              <w:pStyle w:val="136"/>
            </w:pPr>
            <w:r>
              <w:t>1974.92</w:t>
            </w:r>
          </w:p>
        </w:tc>
        <w:tc>
          <w:tcPr>
            <w:tcW w:w="652" w:type="dxa"/>
            <w:vAlign w:val="center"/>
          </w:tcPr>
          <w:p>
            <w:pPr>
              <w:pStyle w:val="136"/>
            </w:pPr>
            <w:r>
              <w:t>1971.07</w:t>
            </w:r>
          </w:p>
        </w:tc>
        <w:tc>
          <w:tcPr>
            <w:tcW w:w="652" w:type="dxa"/>
            <w:vAlign w:val="center"/>
          </w:tcPr>
          <w:p>
            <w:pPr>
              <w:pStyle w:val="136"/>
            </w:pPr>
            <w:r>
              <w:t>1967.69</w:t>
            </w:r>
          </w:p>
        </w:tc>
        <w:tc>
          <w:tcPr>
            <w:tcW w:w="653" w:type="dxa"/>
            <w:vAlign w:val="center"/>
          </w:tcPr>
          <w:p>
            <w:pPr>
              <w:pStyle w:val="136"/>
            </w:pPr>
            <w: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exact"/>
          <w:jc w:val="center"/>
        </w:trPr>
        <w:tc>
          <w:tcPr>
            <w:tcW w:w="998" w:type="dxa"/>
            <w:vAlign w:val="center"/>
          </w:tcPr>
          <w:p>
            <w:pPr>
              <w:pStyle w:val="136"/>
            </w:pPr>
            <w:r>
              <w:t>下调度线</w:t>
            </w:r>
          </w:p>
        </w:tc>
        <w:tc>
          <w:tcPr>
            <w:tcW w:w="652" w:type="dxa"/>
            <w:vAlign w:val="center"/>
          </w:tcPr>
          <w:p>
            <w:pPr>
              <w:pStyle w:val="136"/>
            </w:pPr>
            <w:r>
              <w:t>1960</w:t>
            </w:r>
          </w:p>
        </w:tc>
        <w:tc>
          <w:tcPr>
            <w:tcW w:w="652" w:type="dxa"/>
            <w:vAlign w:val="center"/>
          </w:tcPr>
          <w:p>
            <w:pPr>
              <w:pStyle w:val="136"/>
            </w:pPr>
            <w:r>
              <w:t>1960</w:t>
            </w:r>
          </w:p>
        </w:tc>
        <w:tc>
          <w:tcPr>
            <w:tcW w:w="653" w:type="dxa"/>
            <w:vAlign w:val="center"/>
          </w:tcPr>
          <w:p>
            <w:pPr>
              <w:pStyle w:val="136"/>
            </w:pPr>
            <w:r>
              <w:t>1960</w:t>
            </w:r>
          </w:p>
        </w:tc>
        <w:tc>
          <w:tcPr>
            <w:tcW w:w="652" w:type="dxa"/>
            <w:vAlign w:val="center"/>
          </w:tcPr>
          <w:p>
            <w:pPr>
              <w:pStyle w:val="136"/>
            </w:pPr>
            <w:r>
              <w:t>1960</w:t>
            </w:r>
          </w:p>
        </w:tc>
        <w:tc>
          <w:tcPr>
            <w:tcW w:w="652" w:type="dxa"/>
            <w:vAlign w:val="center"/>
          </w:tcPr>
          <w:p>
            <w:pPr>
              <w:pStyle w:val="136"/>
            </w:pPr>
            <w:r>
              <w:t>1960</w:t>
            </w:r>
          </w:p>
        </w:tc>
        <w:tc>
          <w:tcPr>
            <w:tcW w:w="653" w:type="dxa"/>
            <w:vAlign w:val="center"/>
          </w:tcPr>
          <w:p>
            <w:pPr>
              <w:pStyle w:val="136"/>
            </w:pPr>
            <w:r>
              <w:t>1960</w:t>
            </w:r>
          </w:p>
        </w:tc>
        <w:tc>
          <w:tcPr>
            <w:tcW w:w="652" w:type="dxa"/>
            <w:vAlign w:val="center"/>
          </w:tcPr>
          <w:p>
            <w:pPr>
              <w:pStyle w:val="136"/>
            </w:pPr>
            <w:r>
              <w:t>1960</w:t>
            </w:r>
          </w:p>
        </w:tc>
        <w:tc>
          <w:tcPr>
            <w:tcW w:w="652" w:type="dxa"/>
            <w:vAlign w:val="center"/>
          </w:tcPr>
          <w:p>
            <w:pPr>
              <w:pStyle w:val="136"/>
            </w:pPr>
            <w:r>
              <w:t>1960</w:t>
            </w:r>
          </w:p>
        </w:tc>
        <w:tc>
          <w:tcPr>
            <w:tcW w:w="653" w:type="dxa"/>
            <w:vAlign w:val="center"/>
          </w:tcPr>
          <w:p>
            <w:pPr>
              <w:pStyle w:val="136"/>
            </w:pPr>
            <w:r>
              <w:t>1960</w:t>
            </w:r>
          </w:p>
        </w:tc>
        <w:tc>
          <w:tcPr>
            <w:tcW w:w="652" w:type="dxa"/>
            <w:vAlign w:val="center"/>
          </w:tcPr>
          <w:p>
            <w:pPr>
              <w:pStyle w:val="136"/>
            </w:pPr>
            <w:r>
              <w:t>960</w:t>
            </w:r>
          </w:p>
        </w:tc>
        <w:tc>
          <w:tcPr>
            <w:tcW w:w="652" w:type="dxa"/>
            <w:vAlign w:val="center"/>
          </w:tcPr>
          <w:p>
            <w:pPr>
              <w:pStyle w:val="136"/>
            </w:pPr>
            <w:r>
              <w:t>1960</w:t>
            </w:r>
          </w:p>
        </w:tc>
        <w:tc>
          <w:tcPr>
            <w:tcW w:w="653" w:type="dxa"/>
            <w:vAlign w:val="center"/>
          </w:tcPr>
          <w:p>
            <w:pPr>
              <w:pStyle w:val="136"/>
            </w:pPr>
            <w:r>
              <w:t>1960</w:t>
            </w:r>
          </w:p>
        </w:tc>
      </w:tr>
    </w:tbl>
    <w:p>
      <w:pPr>
        <w:ind w:firstLine="480"/>
        <w:jc w:val="center"/>
        <w:rPr>
          <w:rFonts w:cs="Times New Roman"/>
        </w:rPr>
      </w:pPr>
      <w:r>
        <w:rPr>
          <w:rFonts w:cs="Times New Roman"/>
        </w:rPr>
        <w:drawing>
          <wp:inline distT="0" distB="0" distL="0" distR="0">
            <wp:extent cx="4312920" cy="2879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313178" cy="2880000"/>
                    </a:xfrm>
                    <a:prstGeom prst="rect">
                      <a:avLst/>
                    </a:prstGeom>
                    <a:noFill/>
                    <a:ln>
                      <a:noFill/>
                    </a:ln>
                  </pic:spPr>
                </pic:pic>
              </a:graphicData>
            </a:graphic>
          </wp:inline>
        </w:drawing>
      </w:r>
    </w:p>
    <w:p>
      <w:pPr>
        <w:pStyle w:val="137"/>
        <w:spacing w:before="62"/>
        <w:jc w:val="center"/>
      </w:pPr>
      <w:r>
        <w:t>图2.8-1  代尔昆代水库调度图</w:t>
      </w:r>
    </w:p>
    <w:p>
      <w:pPr>
        <w:ind w:firstLine="480"/>
        <w:rPr>
          <w:rFonts w:cs="Times New Roman"/>
        </w:rPr>
      </w:pPr>
    </w:p>
    <w:p>
      <w:pPr>
        <w:ind w:firstLine="480"/>
        <w:rPr>
          <w:rFonts w:cs="Times New Roman"/>
        </w:rPr>
      </w:pPr>
      <w:r>
        <w:rPr>
          <w:rFonts w:cs="Times New Roman"/>
        </w:rPr>
        <w:t>调度区的原则及意义如下：</w:t>
      </w:r>
    </w:p>
    <w:p>
      <w:pPr>
        <w:ind w:firstLine="480"/>
        <w:rPr>
          <w:rFonts w:cs="Times New Roman"/>
        </w:rPr>
      </w:pPr>
      <w:r>
        <w:rPr>
          <w:rFonts w:hint="eastAsia" w:ascii="宋体" w:hAnsi="宋体" w:cs="宋体"/>
        </w:rPr>
        <w:t>①</w:t>
      </w:r>
      <w:r>
        <w:rPr>
          <w:rFonts w:cs="Times New Roman"/>
        </w:rPr>
        <w:t>供水期</w:t>
      </w:r>
    </w:p>
    <w:p>
      <w:pPr>
        <w:ind w:firstLine="480"/>
        <w:rPr>
          <w:rFonts w:cs="Times New Roman"/>
        </w:rPr>
      </w:pPr>
      <w:r>
        <w:rPr>
          <w:rFonts w:cs="Times New Roman"/>
        </w:rPr>
        <w:t>供水Ⅰ区：每年4～10月库水位维持供水调度线以上，在保障生态流量下泄要求的前提下，以保证供水。</w:t>
      </w:r>
    </w:p>
    <w:p>
      <w:pPr>
        <w:ind w:firstLine="480"/>
        <w:rPr>
          <w:rFonts w:cs="Times New Roman"/>
        </w:rPr>
      </w:pPr>
      <w:r>
        <w:rPr>
          <w:rFonts w:cs="Times New Roman"/>
        </w:rPr>
        <w:t>灌溉供水Ⅱ区：位于供水调度线以下至死水位之间，水库运行水位在该区间内，逐步减少下游供水量，但仍需保障生态流量下泄。</w:t>
      </w:r>
    </w:p>
    <w:p>
      <w:pPr>
        <w:ind w:firstLine="480"/>
        <w:rPr>
          <w:rFonts w:cs="Times New Roman"/>
        </w:rPr>
      </w:pPr>
      <w:r>
        <w:rPr>
          <w:rFonts w:hint="eastAsia" w:ascii="宋体" w:hAnsi="宋体" w:cs="宋体"/>
        </w:rPr>
        <w:t>②</w:t>
      </w:r>
      <w:r>
        <w:rPr>
          <w:rFonts w:cs="Times New Roman"/>
        </w:rPr>
        <w:t>非供水期</w:t>
      </w:r>
    </w:p>
    <w:p>
      <w:pPr>
        <w:ind w:firstLine="480"/>
        <w:rPr>
          <w:rFonts w:cs="Times New Roman"/>
        </w:rPr>
      </w:pPr>
      <w:r>
        <w:rPr>
          <w:rFonts w:cs="Times New Roman"/>
        </w:rPr>
        <w:t>每年10月初～次年3月底为非供水期，该时段水库需保证生态流量下泄，在</w:t>
      </w:r>
      <w:r>
        <w:rPr>
          <w:rFonts w:hint="eastAsia" w:cs="Times New Roman"/>
          <w:lang w:val="en-US" w:eastAsia="zh-CN"/>
        </w:rPr>
        <w:t>此</w:t>
      </w:r>
      <w:r>
        <w:rPr>
          <w:rFonts w:cs="Times New Roman"/>
        </w:rPr>
        <w:t>前提下水库蓄水并逐步蓄至正常蓄水位1981.85m。</w:t>
      </w:r>
    </w:p>
    <w:p>
      <w:pPr>
        <w:ind w:firstLine="480"/>
        <w:rPr>
          <w:rFonts w:cs="Times New Roman"/>
        </w:rPr>
      </w:pPr>
      <w:r>
        <w:rPr>
          <w:rFonts w:cs="Times New Roman"/>
        </w:rPr>
        <w:t>（2）洪水调度运行方式</w:t>
      </w:r>
    </w:p>
    <w:p>
      <w:pPr>
        <w:ind w:firstLine="480"/>
        <w:rPr>
          <w:rFonts w:cs="Times New Roman"/>
        </w:rPr>
      </w:pPr>
      <w:r>
        <w:rPr>
          <w:rFonts w:cs="Times New Roman"/>
        </w:rPr>
        <w:t>代尔昆代水库起调水位为正常蓄水位1981.85m，洪水调度运用方式为：一、水库发生大坝设计标准洪水（50年一遇）时，判断条件为水库水位不高于设计洪水位1483.18m，水库溢流表孔采取敞泄方式泄流，最大下泄流量为60.87m³/s。二、水库发生超过大坝设计洪水且不高于大坝校核标准洪水（500年一遇）时，判断条件为水库水位不高于校核洪水位1984.12m，水库溢流表孔采取敞泄方式泄流，最大下泄流量为148.59m³/s。三、水库发生超过大坝校核标准洪水时，判断条件为水库水位高于1984.12m，水库溢流表孔采取敞泄方式泄流，同时可打开导流洞辅助泄洪。</w:t>
      </w:r>
    </w:p>
    <w:p>
      <w:pPr>
        <w:ind w:firstLine="480"/>
        <w:rPr>
          <w:rFonts w:cs="Times New Roman"/>
        </w:rPr>
      </w:pPr>
      <w:r>
        <w:rPr>
          <w:rFonts w:cs="Times New Roman"/>
        </w:rPr>
        <w:t>当洪水进入退水阶段时，入库水量逐渐减小，仍采用溢流表孔敞泄方式泄流，直至库水位降至正常蓄水位。</w:t>
      </w:r>
    </w:p>
    <w:p>
      <w:pPr>
        <w:ind w:firstLine="480"/>
        <w:rPr>
          <w:rFonts w:cs="Times New Roman"/>
        </w:rPr>
      </w:pPr>
      <w:r>
        <w:rPr>
          <w:rFonts w:cs="Times New Roman"/>
        </w:rPr>
        <w:t>代尔昆代水库无防洪任务，洪水调度以满足水库自身安全为前提，洪水起调水位为正常蓄水位1981.85m，洪水调度运用方式为：</w:t>
      </w:r>
    </w:p>
    <w:p>
      <w:pPr>
        <w:ind w:firstLine="480"/>
        <w:rPr>
          <w:rFonts w:cs="Times New Roman"/>
        </w:rPr>
      </w:pPr>
      <w:r>
        <w:rPr>
          <w:rFonts w:hint="eastAsia" w:ascii="宋体" w:hAnsi="宋体" w:cs="宋体"/>
        </w:rPr>
        <w:t>①</w:t>
      </w:r>
      <w:r>
        <w:rPr>
          <w:rFonts w:cs="Times New Roman"/>
        </w:rPr>
        <w:t>当发生大坝设计标准洪水（50年一遇）时，当水库水位不高于设计洪水位1483.18m时，水库溢流表孔采取敞泄方式泄流，最大下泄流量为60.87m³/s。</w:t>
      </w:r>
    </w:p>
    <w:p>
      <w:pPr>
        <w:ind w:firstLine="480"/>
        <w:rPr>
          <w:rFonts w:cs="Times New Roman"/>
        </w:rPr>
      </w:pPr>
      <w:r>
        <w:rPr>
          <w:rFonts w:hint="eastAsia" w:ascii="宋体" w:hAnsi="宋体" w:cs="宋体"/>
        </w:rPr>
        <w:t>②</w:t>
      </w:r>
      <w:r>
        <w:rPr>
          <w:rFonts w:cs="Times New Roman"/>
        </w:rPr>
        <w:t>当发生超过大坝设计洪水且不高于大坝校核标准洪水（500年一遇）时，当水库水位不高于校核洪水位1984.12m，水库溢流表孔采取敞泄方式泄流，最大下泄流量为148.59m³/s。</w:t>
      </w:r>
    </w:p>
    <w:p>
      <w:pPr>
        <w:ind w:firstLine="480"/>
        <w:rPr>
          <w:rFonts w:cs="Times New Roman"/>
        </w:rPr>
      </w:pPr>
      <w:r>
        <w:rPr>
          <w:rFonts w:hint="eastAsia" w:ascii="宋体" w:hAnsi="宋体" w:cs="宋体"/>
        </w:rPr>
        <w:t>③</w:t>
      </w:r>
      <w:r>
        <w:rPr>
          <w:rFonts w:cs="Times New Roman"/>
        </w:rPr>
        <w:t>当发生超过大坝校核标准洪水时，当水库水位高于校核洪水位1984.12m，水库溢流表孔采取敞泄方式泄流，同时利用导流洞辅助泄洪。</w:t>
      </w:r>
    </w:p>
    <w:p>
      <w:pPr>
        <w:ind w:firstLine="480"/>
        <w:rPr>
          <w:rFonts w:cs="Times New Roman"/>
        </w:rPr>
      </w:pPr>
    </w:p>
    <w:p>
      <w:pPr>
        <w:pStyle w:val="3"/>
        <w:rPr>
          <w:rFonts w:cs="Times New Roman"/>
        </w:rPr>
      </w:pPr>
      <w:bookmarkStart w:id="68" w:name="_Toc136263291"/>
      <w:bookmarkStart w:id="69" w:name="_Toc181381601"/>
      <w:r>
        <w:rPr>
          <w:rFonts w:cs="Times New Roman"/>
        </w:rPr>
        <w:t>2.9 工程投资</w:t>
      </w:r>
      <w:bookmarkEnd w:id="68"/>
      <w:bookmarkEnd w:id="69"/>
    </w:p>
    <w:p>
      <w:pPr>
        <w:ind w:firstLine="480"/>
        <w:rPr>
          <w:rFonts w:cs="Times New Roman"/>
          <w:color w:val="C00000"/>
        </w:rPr>
      </w:pPr>
      <w:r>
        <w:rPr>
          <w:rFonts w:cs="Times New Roman"/>
          <w:color w:val="C00000"/>
        </w:rPr>
        <w:t>代尔昆代水库工程总投资21634.09万元，其中环境保护投资为586.67万元，水土保持投资376.46万元，合计963.13万元，占工程总投资的4.45%。</w:t>
      </w:r>
    </w:p>
    <w:p>
      <w:pPr>
        <w:ind w:firstLine="480"/>
        <w:rPr>
          <w:rFonts w:cs="Times New Roman"/>
        </w:rPr>
      </w:pPr>
      <w:r>
        <w:rPr>
          <w:rFonts w:cs="Times New Roman"/>
        </w:rPr>
        <w:t>工程特性详见表2.9-1。</w:t>
      </w:r>
    </w:p>
    <w:p>
      <w:pPr>
        <w:pStyle w:val="137"/>
        <w:spacing w:before="62"/>
      </w:pPr>
      <w:r>
        <w:t>表2.9-1                代尔昆代水库工程特性表</w:t>
      </w:r>
    </w:p>
    <w:tbl>
      <w:tblPr>
        <w:tblStyle w:val="40"/>
        <w:tblW w:w="5084"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816"/>
        <w:gridCol w:w="1108"/>
        <w:gridCol w:w="1163"/>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blHeader/>
        </w:trPr>
        <w:tc>
          <w:tcPr>
            <w:tcW w:w="451" w:type="pct"/>
            <w:tcBorders>
              <w:top w:val="single" w:color="auto" w:sz="4" w:space="0"/>
            </w:tcBorders>
            <w:vAlign w:val="center"/>
          </w:tcPr>
          <w:p>
            <w:pPr>
              <w:pStyle w:val="136"/>
            </w:pPr>
            <w:r>
              <w:t>序号</w:t>
            </w:r>
          </w:p>
        </w:tc>
        <w:tc>
          <w:tcPr>
            <w:tcW w:w="2107" w:type="pct"/>
            <w:tcBorders>
              <w:top w:val="single" w:color="auto" w:sz="4" w:space="0"/>
            </w:tcBorders>
            <w:vAlign w:val="center"/>
          </w:tcPr>
          <w:p>
            <w:pPr>
              <w:pStyle w:val="136"/>
            </w:pPr>
            <w:r>
              <w:t>名称</w:t>
            </w:r>
          </w:p>
        </w:tc>
        <w:tc>
          <w:tcPr>
            <w:tcW w:w="612" w:type="pct"/>
            <w:tcBorders>
              <w:top w:val="single" w:color="auto" w:sz="4" w:space="0"/>
            </w:tcBorders>
            <w:vAlign w:val="center"/>
          </w:tcPr>
          <w:p>
            <w:pPr>
              <w:pStyle w:val="136"/>
            </w:pPr>
            <w:r>
              <w:t>单位</w:t>
            </w:r>
          </w:p>
        </w:tc>
        <w:tc>
          <w:tcPr>
            <w:tcW w:w="642" w:type="pct"/>
            <w:tcBorders>
              <w:top w:val="single" w:color="auto" w:sz="4" w:space="0"/>
            </w:tcBorders>
            <w:vAlign w:val="center"/>
          </w:tcPr>
          <w:p>
            <w:pPr>
              <w:pStyle w:val="136"/>
            </w:pPr>
            <w:r>
              <w:t>数量</w:t>
            </w:r>
          </w:p>
        </w:tc>
        <w:tc>
          <w:tcPr>
            <w:tcW w:w="1188" w:type="pct"/>
            <w:tcBorders>
              <w:top w:val="single" w:color="auto" w:sz="4" w:space="0"/>
            </w:tcBorders>
            <w:vAlign w:val="center"/>
          </w:tcPr>
          <w:p>
            <w:pPr>
              <w:pStyle w:val="136"/>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一</w:t>
            </w:r>
          </w:p>
        </w:tc>
        <w:tc>
          <w:tcPr>
            <w:tcW w:w="4549" w:type="pct"/>
            <w:gridSpan w:val="4"/>
            <w:vAlign w:val="center"/>
          </w:tcPr>
          <w:p>
            <w:pPr>
              <w:pStyle w:val="136"/>
            </w:pPr>
            <w:r>
              <w:t>水文泥沙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trPr>
        <w:tc>
          <w:tcPr>
            <w:tcW w:w="451" w:type="pct"/>
            <w:vAlign w:val="center"/>
          </w:tcPr>
          <w:p>
            <w:pPr>
              <w:pStyle w:val="136"/>
            </w:pPr>
            <w:r>
              <w:t>1</w:t>
            </w:r>
          </w:p>
        </w:tc>
        <w:tc>
          <w:tcPr>
            <w:tcW w:w="2107" w:type="pct"/>
            <w:vAlign w:val="center"/>
          </w:tcPr>
          <w:p>
            <w:pPr>
              <w:pStyle w:val="136"/>
            </w:pPr>
            <w:r>
              <w:t>流域面积</w:t>
            </w:r>
          </w:p>
        </w:tc>
        <w:tc>
          <w:tcPr>
            <w:tcW w:w="612" w:type="pct"/>
            <w:vAlign w:val="center"/>
          </w:tcPr>
          <w:p>
            <w:pPr>
              <w:pStyle w:val="136"/>
            </w:pPr>
            <w:r>
              <w:t>km</w:t>
            </w:r>
            <w:r>
              <w:rPr>
                <w:vertAlign w:val="superscript"/>
              </w:rPr>
              <w:t>2</w:t>
            </w:r>
          </w:p>
        </w:tc>
        <w:tc>
          <w:tcPr>
            <w:tcW w:w="642" w:type="pct"/>
            <w:vAlign w:val="center"/>
          </w:tcPr>
          <w:p>
            <w:pPr>
              <w:pStyle w:val="136"/>
            </w:pPr>
            <w:r>
              <w:t>86.9</w:t>
            </w:r>
          </w:p>
        </w:tc>
        <w:tc>
          <w:tcPr>
            <w:tcW w:w="1188" w:type="pct"/>
            <w:vAlign w:val="center"/>
          </w:tcPr>
          <w:p>
            <w:pPr>
              <w:pStyle w:val="136"/>
            </w:pPr>
            <w:r>
              <w:t>坝址以上流域面积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2</w:t>
            </w:r>
          </w:p>
        </w:tc>
        <w:tc>
          <w:tcPr>
            <w:tcW w:w="2107" w:type="pct"/>
            <w:vAlign w:val="center"/>
          </w:tcPr>
          <w:p>
            <w:pPr>
              <w:pStyle w:val="136"/>
            </w:pPr>
            <w:r>
              <w:t>多年平均年径流量</w:t>
            </w:r>
          </w:p>
        </w:tc>
        <w:tc>
          <w:tcPr>
            <w:tcW w:w="612" w:type="pct"/>
            <w:vAlign w:val="center"/>
          </w:tcPr>
          <w:p>
            <w:pPr>
              <w:pStyle w:val="136"/>
            </w:pPr>
            <w:r>
              <w:t>万m</w:t>
            </w:r>
            <w:r>
              <w:rPr>
                <w:vertAlign w:val="superscript"/>
              </w:rPr>
              <w:t>3</w:t>
            </w:r>
          </w:p>
        </w:tc>
        <w:tc>
          <w:tcPr>
            <w:tcW w:w="642" w:type="pct"/>
            <w:vAlign w:val="center"/>
          </w:tcPr>
          <w:p>
            <w:pPr>
              <w:pStyle w:val="136"/>
            </w:pPr>
            <w:r>
              <w:t>834</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50%来水频率径流量</w:t>
            </w:r>
          </w:p>
        </w:tc>
        <w:tc>
          <w:tcPr>
            <w:tcW w:w="612" w:type="pct"/>
            <w:vAlign w:val="center"/>
          </w:tcPr>
          <w:p>
            <w:pPr>
              <w:pStyle w:val="136"/>
            </w:pPr>
            <w:r>
              <w:t>万m</w:t>
            </w:r>
            <w:r>
              <w:rPr>
                <w:vertAlign w:val="superscript"/>
              </w:rPr>
              <w:t>3</w:t>
            </w:r>
          </w:p>
        </w:tc>
        <w:tc>
          <w:tcPr>
            <w:tcW w:w="642" w:type="pct"/>
            <w:vAlign w:val="center"/>
          </w:tcPr>
          <w:p>
            <w:pPr>
              <w:pStyle w:val="136"/>
            </w:pPr>
            <w:r>
              <w:t>779.7</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85%来水频率径流量</w:t>
            </w:r>
          </w:p>
        </w:tc>
        <w:tc>
          <w:tcPr>
            <w:tcW w:w="612" w:type="pct"/>
            <w:vAlign w:val="center"/>
          </w:tcPr>
          <w:p>
            <w:pPr>
              <w:pStyle w:val="136"/>
            </w:pPr>
            <w:r>
              <w:t>万m</w:t>
            </w:r>
            <w:r>
              <w:rPr>
                <w:vertAlign w:val="superscript"/>
              </w:rPr>
              <w:t>3</w:t>
            </w:r>
          </w:p>
        </w:tc>
        <w:tc>
          <w:tcPr>
            <w:tcW w:w="642" w:type="pct"/>
            <w:vAlign w:val="center"/>
          </w:tcPr>
          <w:p>
            <w:pPr>
              <w:pStyle w:val="136"/>
            </w:pPr>
            <w:r>
              <w:t>507</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95%来水频率径流量</w:t>
            </w:r>
          </w:p>
        </w:tc>
        <w:tc>
          <w:tcPr>
            <w:tcW w:w="612" w:type="pct"/>
            <w:vAlign w:val="center"/>
          </w:tcPr>
          <w:p>
            <w:pPr>
              <w:pStyle w:val="136"/>
            </w:pPr>
            <w:r>
              <w:t>万m</w:t>
            </w:r>
            <w:r>
              <w:rPr>
                <w:vertAlign w:val="superscript"/>
              </w:rPr>
              <w:t>3</w:t>
            </w:r>
          </w:p>
        </w:tc>
        <w:tc>
          <w:tcPr>
            <w:tcW w:w="642" w:type="pct"/>
            <w:vAlign w:val="center"/>
          </w:tcPr>
          <w:p>
            <w:pPr>
              <w:pStyle w:val="136"/>
            </w:pPr>
            <w:r>
              <w:t>394</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3</w:t>
            </w:r>
          </w:p>
        </w:tc>
        <w:tc>
          <w:tcPr>
            <w:tcW w:w="2107" w:type="pct"/>
            <w:vAlign w:val="center"/>
          </w:tcPr>
          <w:p>
            <w:pPr>
              <w:pStyle w:val="136"/>
            </w:pPr>
            <w:r>
              <w:t>设计洪水标准及流量（P=2%）</w:t>
            </w:r>
          </w:p>
        </w:tc>
        <w:tc>
          <w:tcPr>
            <w:tcW w:w="612" w:type="pct"/>
            <w:vAlign w:val="center"/>
          </w:tcPr>
          <w:p>
            <w:pPr>
              <w:pStyle w:val="136"/>
            </w:pPr>
            <w:r>
              <w:t>m</w:t>
            </w:r>
            <w:r>
              <w:rPr>
                <w:vertAlign w:val="superscript"/>
              </w:rPr>
              <w:t>3</w:t>
            </w:r>
            <w:r>
              <w:t>/s</w:t>
            </w:r>
          </w:p>
        </w:tc>
        <w:tc>
          <w:tcPr>
            <w:tcW w:w="642" w:type="pct"/>
            <w:vAlign w:val="center"/>
          </w:tcPr>
          <w:p>
            <w:pPr>
              <w:pStyle w:val="136"/>
            </w:pPr>
            <w:r>
              <w:t>95.1</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校核洪水标准及流量（P=0.2%）</w:t>
            </w:r>
          </w:p>
        </w:tc>
        <w:tc>
          <w:tcPr>
            <w:tcW w:w="612" w:type="pct"/>
            <w:vAlign w:val="center"/>
          </w:tcPr>
          <w:p>
            <w:pPr>
              <w:pStyle w:val="136"/>
            </w:pPr>
            <w:r>
              <w:t>m</w:t>
            </w:r>
            <w:r>
              <w:rPr>
                <w:vertAlign w:val="superscript"/>
              </w:rPr>
              <w:t>3</w:t>
            </w:r>
            <w:r>
              <w:t>/s</w:t>
            </w:r>
          </w:p>
        </w:tc>
        <w:tc>
          <w:tcPr>
            <w:tcW w:w="642" w:type="pct"/>
            <w:vAlign w:val="center"/>
          </w:tcPr>
          <w:p>
            <w:pPr>
              <w:pStyle w:val="136"/>
            </w:pPr>
            <w:r>
              <w:t>282</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施工导流标准及流量（P=10%）</w:t>
            </w:r>
          </w:p>
        </w:tc>
        <w:tc>
          <w:tcPr>
            <w:tcW w:w="612" w:type="pct"/>
            <w:vAlign w:val="center"/>
          </w:tcPr>
          <w:p>
            <w:pPr>
              <w:pStyle w:val="136"/>
            </w:pPr>
            <w:r>
              <w:t>m</w:t>
            </w:r>
            <w:r>
              <w:rPr>
                <w:vertAlign w:val="superscript"/>
              </w:rPr>
              <w:t>3</w:t>
            </w:r>
            <w:r>
              <w:t>/s</w:t>
            </w:r>
          </w:p>
        </w:tc>
        <w:tc>
          <w:tcPr>
            <w:tcW w:w="642" w:type="pct"/>
            <w:vAlign w:val="center"/>
          </w:tcPr>
          <w:p>
            <w:pPr>
              <w:pStyle w:val="136"/>
            </w:pPr>
            <w:r>
              <w:t>21.3</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4</w:t>
            </w:r>
          </w:p>
        </w:tc>
        <w:tc>
          <w:tcPr>
            <w:tcW w:w="2107" w:type="pct"/>
            <w:vAlign w:val="center"/>
          </w:tcPr>
          <w:p>
            <w:pPr>
              <w:pStyle w:val="136"/>
            </w:pPr>
            <w:r>
              <w:t>洪量</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设计1日洪量（P=2%）</w:t>
            </w:r>
          </w:p>
        </w:tc>
        <w:tc>
          <w:tcPr>
            <w:tcW w:w="612" w:type="pct"/>
            <w:vAlign w:val="center"/>
          </w:tcPr>
          <w:p>
            <w:pPr>
              <w:pStyle w:val="136"/>
            </w:pPr>
            <w:r>
              <w:t>万m</w:t>
            </w:r>
            <w:r>
              <w:rPr>
                <w:vertAlign w:val="superscript"/>
              </w:rPr>
              <w:t>3</w:t>
            </w:r>
          </w:p>
        </w:tc>
        <w:tc>
          <w:tcPr>
            <w:tcW w:w="642" w:type="pct"/>
            <w:vAlign w:val="center"/>
          </w:tcPr>
          <w:p>
            <w:pPr>
              <w:pStyle w:val="136"/>
            </w:pPr>
            <w:r>
              <w:t>156.3</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校核1日洪量（P=0.2%）</w:t>
            </w:r>
          </w:p>
        </w:tc>
        <w:tc>
          <w:tcPr>
            <w:tcW w:w="612" w:type="pct"/>
            <w:vAlign w:val="center"/>
          </w:tcPr>
          <w:p>
            <w:pPr>
              <w:pStyle w:val="136"/>
            </w:pPr>
            <w:r>
              <w:t>万m</w:t>
            </w:r>
            <w:r>
              <w:rPr>
                <w:vertAlign w:val="superscript"/>
              </w:rPr>
              <w:t>3</w:t>
            </w:r>
          </w:p>
        </w:tc>
        <w:tc>
          <w:tcPr>
            <w:tcW w:w="642" w:type="pct"/>
            <w:vAlign w:val="center"/>
          </w:tcPr>
          <w:p>
            <w:pPr>
              <w:pStyle w:val="136"/>
            </w:pPr>
            <w:r>
              <w:t>319.9</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5</w:t>
            </w:r>
          </w:p>
        </w:tc>
        <w:tc>
          <w:tcPr>
            <w:tcW w:w="2107" w:type="pct"/>
            <w:vAlign w:val="center"/>
          </w:tcPr>
          <w:p>
            <w:pPr>
              <w:pStyle w:val="136"/>
            </w:pPr>
            <w:r>
              <w:t>泥沙</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多年平均输沙量</w:t>
            </w:r>
          </w:p>
        </w:tc>
        <w:tc>
          <w:tcPr>
            <w:tcW w:w="612" w:type="pct"/>
            <w:vAlign w:val="center"/>
          </w:tcPr>
          <w:p>
            <w:pPr>
              <w:pStyle w:val="136"/>
            </w:pPr>
            <w:r>
              <w:t>万t</w:t>
            </w:r>
          </w:p>
        </w:tc>
        <w:tc>
          <w:tcPr>
            <w:tcW w:w="642" w:type="pct"/>
            <w:vAlign w:val="center"/>
          </w:tcPr>
          <w:p>
            <w:pPr>
              <w:pStyle w:val="136"/>
            </w:pPr>
            <w:r>
              <w:t>3.71</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多年平均悬移质年输沙量</w:t>
            </w:r>
          </w:p>
        </w:tc>
        <w:tc>
          <w:tcPr>
            <w:tcW w:w="612" w:type="pct"/>
            <w:vAlign w:val="center"/>
          </w:tcPr>
          <w:p>
            <w:pPr>
              <w:pStyle w:val="136"/>
            </w:pPr>
            <w:r>
              <w:t>万t</w:t>
            </w:r>
          </w:p>
        </w:tc>
        <w:tc>
          <w:tcPr>
            <w:tcW w:w="642" w:type="pct"/>
            <w:vAlign w:val="center"/>
          </w:tcPr>
          <w:p>
            <w:pPr>
              <w:pStyle w:val="136"/>
            </w:pPr>
            <w:r>
              <w:t>2.854</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多年平均推移质年输沙量</w:t>
            </w:r>
          </w:p>
        </w:tc>
        <w:tc>
          <w:tcPr>
            <w:tcW w:w="612" w:type="pct"/>
            <w:vAlign w:val="center"/>
          </w:tcPr>
          <w:p>
            <w:pPr>
              <w:pStyle w:val="136"/>
            </w:pPr>
            <w:r>
              <w:t>万t</w:t>
            </w:r>
          </w:p>
        </w:tc>
        <w:tc>
          <w:tcPr>
            <w:tcW w:w="642" w:type="pct"/>
            <w:vAlign w:val="center"/>
          </w:tcPr>
          <w:p>
            <w:pPr>
              <w:pStyle w:val="136"/>
            </w:pPr>
            <w:r>
              <w:t>0.856</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二</w:t>
            </w:r>
          </w:p>
        </w:tc>
        <w:tc>
          <w:tcPr>
            <w:tcW w:w="4549" w:type="pct"/>
            <w:gridSpan w:val="4"/>
            <w:vAlign w:val="center"/>
          </w:tcPr>
          <w:p>
            <w:pPr>
              <w:pStyle w:val="136"/>
            </w:pPr>
            <w:r>
              <w:t>工程规模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1</w:t>
            </w:r>
          </w:p>
        </w:tc>
        <w:tc>
          <w:tcPr>
            <w:tcW w:w="2107" w:type="pct"/>
            <w:vAlign w:val="center"/>
          </w:tcPr>
          <w:p>
            <w:pPr>
              <w:pStyle w:val="136"/>
            </w:pPr>
            <w:r>
              <w:t>水库</w:t>
            </w:r>
          </w:p>
        </w:tc>
        <w:tc>
          <w:tcPr>
            <w:tcW w:w="612" w:type="pct"/>
            <w:vAlign w:val="center"/>
          </w:tcPr>
          <w:p>
            <w:pPr>
              <w:pStyle w:val="136"/>
            </w:pPr>
            <w:r>
              <w:t>m</w:t>
            </w: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exact"/>
        </w:trPr>
        <w:tc>
          <w:tcPr>
            <w:tcW w:w="451" w:type="pct"/>
            <w:vAlign w:val="center"/>
          </w:tcPr>
          <w:p>
            <w:pPr>
              <w:pStyle w:val="136"/>
            </w:pPr>
          </w:p>
        </w:tc>
        <w:tc>
          <w:tcPr>
            <w:tcW w:w="2107" w:type="pct"/>
            <w:vAlign w:val="center"/>
          </w:tcPr>
          <w:p>
            <w:pPr>
              <w:pStyle w:val="136"/>
            </w:pPr>
            <w:r>
              <w:t>校核洪水位</w:t>
            </w:r>
          </w:p>
        </w:tc>
        <w:tc>
          <w:tcPr>
            <w:tcW w:w="612" w:type="pct"/>
            <w:vAlign w:val="center"/>
          </w:tcPr>
          <w:p>
            <w:pPr>
              <w:pStyle w:val="136"/>
            </w:pPr>
            <w:r>
              <w:t>m</w:t>
            </w:r>
          </w:p>
        </w:tc>
        <w:tc>
          <w:tcPr>
            <w:tcW w:w="642" w:type="pct"/>
            <w:vAlign w:val="center"/>
          </w:tcPr>
          <w:p>
            <w:pPr>
              <w:pStyle w:val="136"/>
            </w:pPr>
            <w:r>
              <w:t>1984.12</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设计洪水位</w:t>
            </w:r>
          </w:p>
        </w:tc>
        <w:tc>
          <w:tcPr>
            <w:tcW w:w="612" w:type="pct"/>
            <w:vAlign w:val="center"/>
          </w:tcPr>
          <w:p>
            <w:pPr>
              <w:pStyle w:val="136"/>
            </w:pPr>
            <w:r>
              <w:t>m</w:t>
            </w:r>
          </w:p>
        </w:tc>
        <w:tc>
          <w:tcPr>
            <w:tcW w:w="642" w:type="pct"/>
            <w:vAlign w:val="center"/>
          </w:tcPr>
          <w:p>
            <w:pPr>
              <w:pStyle w:val="136"/>
            </w:pPr>
            <w:r>
              <w:t>1983.18</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正常蓄水位</w:t>
            </w:r>
          </w:p>
        </w:tc>
        <w:tc>
          <w:tcPr>
            <w:tcW w:w="612" w:type="pct"/>
            <w:vAlign w:val="center"/>
          </w:tcPr>
          <w:p>
            <w:pPr>
              <w:pStyle w:val="136"/>
            </w:pPr>
            <w:r>
              <w:t>m</w:t>
            </w:r>
          </w:p>
        </w:tc>
        <w:tc>
          <w:tcPr>
            <w:tcW w:w="642" w:type="pct"/>
            <w:vAlign w:val="center"/>
          </w:tcPr>
          <w:p>
            <w:pPr>
              <w:pStyle w:val="136"/>
            </w:pPr>
            <w:r>
              <w:t>1981.85</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死水位</w:t>
            </w:r>
          </w:p>
        </w:tc>
        <w:tc>
          <w:tcPr>
            <w:tcW w:w="612" w:type="pct"/>
            <w:vAlign w:val="center"/>
          </w:tcPr>
          <w:p>
            <w:pPr>
              <w:pStyle w:val="136"/>
            </w:pPr>
            <w:r>
              <w:t>m</w:t>
            </w:r>
          </w:p>
        </w:tc>
        <w:tc>
          <w:tcPr>
            <w:tcW w:w="642" w:type="pct"/>
            <w:vAlign w:val="center"/>
          </w:tcPr>
          <w:p>
            <w:pPr>
              <w:pStyle w:val="136"/>
            </w:pPr>
            <w:r>
              <w:t>1960.0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451" w:type="pct"/>
            <w:vAlign w:val="center"/>
          </w:tcPr>
          <w:p>
            <w:pPr>
              <w:pStyle w:val="136"/>
            </w:pPr>
          </w:p>
        </w:tc>
        <w:tc>
          <w:tcPr>
            <w:tcW w:w="2107" w:type="pct"/>
            <w:vAlign w:val="center"/>
          </w:tcPr>
          <w:p>
            <w:pPr>
              <w:pStyle w:val="136"/>
            </w:pPr>
            <w:r>
              <w:t>总库容</w:t>
            </w:r>
          </w:p>
        </w:tc>
        <w:tc>
          <w:tcPr>
            <w:tcW w:w="612" w:type="pct"/>
            <w:vAlign w:val="center"/>
          </w:tcPr>
          <w:p>
            <w:pPr>
              <w:pStyle w:val="136"/>
            </w:pPr>
            <w:r>
              <w:t>万m</w:t>
            </w:r>
            <w:r>
              <w:rPr>
                <w:vertAlign w:val="superscript"/>
              </w:rPr>
              <w:t>3</w:t>
            </w:r>
          </w:p>
        </w:tc>
        <w:tc>
          <w:tcPr>
            <w:tcW w:w="642" w:type="pct"/>
            <w:vAlign w:val="center"/>
          </w:tcPr>
          <w:p>
            <w:pPr>
              <w:pStyle w:val="136"/>
            </w:pPr>
            <w:r>
              <w:t>296.68</w:t>
            </w:r>
          </w:p>
        </w:tc>
        <w:tc>
          <w:tcPr>
            <w:tcW w:w="1188" w:type="pct"/>
            <w:vAlign w:val="center"/>
          </w:tcPr>
          <w:p>
            <w:pPr>
              <w:pStyle w:val="136"/>
            </w:pPr>
            <w:r>
              <w:t>淤积30年后剩余总库容236.43万m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exact"/>
        </w:trPr>
        <w:tc>
          <w:tcPr>
            <w:tcW w:w="451" w:type="pct"/>
            <w:vAlign w:val="center"/>
          </w:tcPr>
          <w:p>
            <w:pPr>
              <w:pStyle w:val="136"/>
            </w:pPr>
          </w:p>
        </w:tc>
        <w:tc>
          <w:tcPr>
            <w:tcW w:w="2107" w:type="pct"/>
            <w:vAlign w:val="center"/>
          </w:tcPr>
          <w:p>
            <w:pPr>
              <w:pStyle w:val="136"/>
            </w:pPr>
            <w:r>
              <w:t>正常蓄水位对应库容</w:t>
            </w:r>
          </w:p>
        </w:tc>
        <w:tc>
          <w:tcPr>
            <w:tcW w:w="612" w:type="pct"/>
            <w:vAlign w:val="center"/>
          </w:tcPr>
          <w:p>
            <w:pPr>
              <w:pStyle w:val="136"/>
            </w:pPr>
            <w:r>
              <w:t>万m</w:t>
            </w:r>
            <w:r>
              <w:rPr>
                <w:vertAlign w:val="superscript"/>
              </w:rPr>
              <w:t>3</w:t>
            </w:r>
          </w:p>
        </w:tc>
        <w:tc>
          <w:tcPr>
            <w:tcW w:w="642" w:type="pct"/>
            <w:vAlign w:val="center"/>
          </w:tcPr>
          <w:p>
            <w:pPr>
              <w:pStyle w:val="136"/>
            </w:pPr>
            <w:r>
              <w:t>252.4</w:t>
            </w:r>
          </w:p>
        </w:tc>
        <w:tc>
          <w:tcPr>
            <w:tcW w:w="1188" w:type="pct"/>
            <w:vAlign w:val="center"/>
          </w:tcPr>
          <w:p>
            <w:pPr>
              <w:pStyle w:val="136"/>
            </w:pPr>
            <w:r>
              <w:t>淤积30年后剩余总库容192.24万m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exact"/>
        </w:trPr>
        <w:tc>
          <w:tcPr>
            <w:tcW w:w="451" w:type="pct"/>
            <w:vAlign w:val="center"/>
          </w:tcPr>
          <w:p>
            <w:pPr>
              <w:pStyle w:val="136"/>
            </w:pPr>
          </w:p>
        </w:tc>
        <w:tc>
          <w:tcPr>
            <w:tcW w:w="2107" w:type="pct"/>
            <w:vAlign w:val="center"/>
          </w:tcPr>
          <w:p>
            <w:pPr>
              <w:pStyle w:val="136"/>
            </w:pPr>
            <w:r>
              <w:t>兴利库容（正常蓄水位至死水位）</w:t>
            </w:r>
          </w:p>
        </w:tc>
        <w:tc>
          <w:tcPr>
            <w:tcW w:w="612" w:type="pct"/>
            <w:vAlign w:val="center"/>
          </w:tcPr>
          <w:p>
            <w:pPr>
              <w:pStyle w:val="136"/>
            </w:pPr>
            <w:r>
              <w:t>万m</w:t>
            </w:r>
            <w:r>
              <w:rPr>
                <w:vertAlign w:val="superscript"/>
              </w:rPr>
              <w:t>3</w:t>
            </w:r>
          </w:p>
        </w:tc>
        <w:tc>
          <w:tcPr>
            <w:tcW w:w="642" w:type="pct"/>
            <w:vAlign w:val="center"/>
          </w:tcPr>
          <w:p>
            <w:pPr>
              <w:pStyle w:val="136"/>
            </w:pPr>
            <w:r>
              <w:t>226.97</w:t>
            </w:r>
          </w:p>
        </w:tc>
        <w:tc>
          <w:tcPr>
            <w:tcW w:w="1188" w:type="pct"/>
            <w:vAlign w:val="center"/>
          </w:tcPr>
          <w:p>
            <w:pPr>
              <w:pStyle w:val="136"/>
            </w:pPr>
            <w:r>
              <w:t>淤积30年后剩余库容188万m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防洪库容</w:t>
            </w:r>
          </w:p>
        </w:tc>
        <w:tc>
          <w:tcPr>
            <w:tcW w:w="612" w:type="pct"/>
            <w:vAlign w:val="center"/>
          </w:tcPr>
          <w:p>
            <w:pPr>
              <w:pStyle w:val="136"/>
            </w:pPr>
            <w:r>
              <w:t>万m</w:t>
            </w:r>
            <w:r>
              <w:rPr>
                <w:vertAlign w:val="superscript"/>
              </w:rPr>
              <w:t>3</w:t>
            </w:r>
          </w:p>
        </w:tc>
        <w:tc>
          <w:tcPr>
            <w:tcW w:w="642" w:type="pct"/>
            <w:vAlign w:val="center"/>
          </w:tcPr>
          <w:p>
            <w:pPr>
              <w:pStyle w:val="136"/>
            </w:pPr>
            <w:r>
              <w:t>44.28</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451" w:type="pct"/>
            <w:vAlign w:val="center"/>
          </w:tcPr>
          <w:p>
            <w:pPr>
              <w:pStyle w:val="136"/>
            </w:pPr>
          </w:p>
        </w:tc>
        <w:tc>
          <w:tcPr>
            <w:tcW w:w="2107" w:type="pct"/>
            <w:vAlign w:val="center"/>
          </w:tcPr>
          <w:p>
            <w:pPr>
              <w:pStyle w:val="136"/>
            </w:pPr>
            <w:r>
              <w:t>死库容</w:t>
            </w:r>
          </w:p>
        </w:tc>
        <w:tc>
          <w:tcPr>
            <w:tcW w:w="612" w:type="pct"/>
            <w:vAlign w:val="center"/>
          </w:tcPr>
          <w:p>
            <w:pPr>
              <w:pStyle w:val="136"/>
            </w:pPr>
            <w:r>
              <w:t>万m</w:t>
            </w:r>
            <w:r>
              <w:rPr>
                <w:vertAlign w:val="superscript"/>
              </w:rPr>
              <w:t>3</w:t>
            </w:r>
          </w:p>
        </w:tc>
        <w:tc>
          <w:tcPr>
            <w:tcW w:w="642" w:type="pct"/>
            <w:vAlign w:val="center"/>
          </w:tcPr>
          <w:p>
            <w:pPr>
              <w:pStyle w:val="136"/>
            </w:pPr>
            <w:r>
              <w:t>25.43</w:t>
            </w:r>
          </w:p>
        </w:tc>
        <w:tc>
          <w:tcPr>
            <w:tcW w:w="1188" w:type="pct"/>
            <w:vAlign w:val="center"/>
          </w:tcPr>
          <w:p>
            <w:pPr>
              <w:pStyle w:val="136"/>
            </w:pPr>
            <w:r>
              <w:t>淤积30年后剩余库容4.24万m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正常蓄水位时水库面积</w:t>
            </w:r>
          </w:p>
        </w:tc>
        <w:tc>
          <w:tcPr>
            <w:tcW w:w="612" w:type="pct"/>
            <w:vAlign w:val="center"/>
          </w:tcPr>
          <w:p>
            <w:pPr>
              <w:pStyle w:val="136"/>
            </w:pPr>
            <w:r>
              <w:t>万m</w:t>
            </w:r>
            <w:r>
              <w:rPr>
                <w:vertAlign w:val="superscript"/>
              </w:rPr>
              <w:t>2</w:t>
            </w:r>
          </w:p>
        </w:tc>
        <w:tc>
          <w:tcPr>
            <w:tcW w:w="642" w:type="pct"/>
            <w:vAlign w:val="center"/>
          </w:tcPr>
          <w:p>
            <w:pPr>
              <w:pStyle w:val="136"/>
            </w:pPr>
            <w:r>
              <w:t>18.37</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回水长度</w:t>
            </w:r>
          </w:p>
        </w:tc>
        <w:tc>
          <w:tcPr>
            <w:tcW w:w="612" w:type="pct"/>
            <w:vAlign w:val="center"/>
          </w:tcPr>
          <w:p>
            <w:pPr>
              <w:pStyle w:val="136"/>
            </w:pPr>
            <w:r>
              <w:t>km</w:t>
            </w:r>
          </w:p>
        </w:tc>
        <w:tc>
          <w:tcPr>
            <w:tcW w:w="642" w:type="pct"/>
            <w:vAlign w:val="center"/>
          </w:tcPr>
          <w:p>
            <w:pPr>
              <w:pStyle w:val="136"/>
            </w:pPr>
            <w:r>
              <w:t>1.46</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2</w:t>
            </w:r>
          </w:p>
        </w:tc>
        <w:tc>
          <w:tcPr>
            <w:tcW w:w="2107" w:type="pct"/>
            <w:vAlign w:val="center"/>
          </w:tcPr>
          <w:p>
            <w:pPr>
              <w:pStyle w:val="136"/>
            </w:pPr>
            <w:r>
              <w:t>供水</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人畜饮水</w:t>
            </w:r>
          </w:p>
        </w:tc>
        <w:tc>
          <w:tcPr>
            <w:tcW w:w="612" w:type="pct"/>
            <w:vAlign w:val="center"/>
          </w:tcPr>
          <w:p>
            <w:pPr>
              <w:pStyle w:val="136"/>
            </w:pPr>
            <w:r>
              <w:t>万m</w:t>
            </w:r>
            <w:r>
              <w:rPr>
                <w:vertAlign w:val="superscript"/>
              </w:rPr>
              <w:t>3</w:t>
            </w:r>
          </w:p>
        </w:tc>
        <w:tc>
          <w:tcPr>
            <w:tcW w:w="642" w:type="pct"/>
            <w:vAlign w:val="center"/>
          </w:tcPr>
          <w:p>
            <w:pPr>
              <w:pStyle w:val="136"/>
            </w:pPr>
            <w:r>
              <w:t>218</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人畜饮水保证率</w:t>
            </w:r>
          </w:p>
        </w:tc>
        <w:tc>
          <w:tcPr>
            <w:tcW w:w="612" w:type="pct"/>
            <w:vAlign w:val="center"/>
          </w:tcPr>
          <w:p>
            <w:pPr>
              <w:pStyle w:val="136"/>
            </w:pPr>
          </w:p>
        </w:tc>
        <w:tc>
          <w:tcPr>
            <w:tcW w:w="642" w:type="pct"/>
            <w:vAlign w:val="center"/>
          </w:tcPr>
          <w:p>
            <w:pPr>
              <w:pStyle w:val="136"/>
            </w:pPr>
            <w:r>
              <w:t>95%</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设计灌溉面积（公益林）</w:t>
            </w:r>
          </w:p>
        </w:tc>
        <w:tc>
          <w:tcPr>
            <w:tcW w:w="612" w:type="pct"/>
            <w:vAlign w:val="center"/>
          </w:tcPr>
          <w:p>
            <w:pPr>
              <w:pStyle w:val="136"/>
            </w:pPr>
            <w:r>
              <w:t>万亩</w:t>
            </w:r>
          </w:p>
        </w:tc>
        <w:tc>
          <w:tcPr>
            <w:tcW w:w="642" w:type="pct"/>
            <w:vAlign w:val="center"/>
          </w:tcPr>
          <w:p>
            <w:pPr>
              <w:pStyle w:val="136"/>
            </w:pPr>
            <w:r>
              <w:t>0.47</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灌溉保证率</w:t>
            </w:r>
          </w:p>
        </w:tc>
        <w:tc>
          <w:tcPr>
            <w:tcW w:w="612" w:type="pct"/>
            <w:vAlign w:val="center"/>
          </w:tcPr>
          <w:p>
            <w:pPr>
              <w:pStyle w:val="136"/>
            </w:pPr>
          </w:p>
        </w:tc>
        <w:tc>
          <w:tcPr>
            <w:tcW w:w="642" w:type="pct"/>
            <w:vAlign w:val="center"/>
          </w:tcPr>
          <w:p>
            <w:pPr>
              <w:pStyle w:val="136"/>
            </w:pPr>
            <w:r>
              <w:t>85%</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年供水总量(P=95%)</w:t>
            </w:r>
          </w:p>
        </w:tc>
        <w:tc>
          <w:tcPr>
            <w:tcW w:w="612" w:type="pct"/>
            <w:vAlign w:val="center"/>
          </w:tcPr>
          <w:p>
            <w:pPr>
              <w:pStyle w:val="136"/>
            </w:pPr>
            <w:r>
              <w:t>万m</w:t>
            </w:r>
            <w:r>
              <w:rPr>
                <w:vertAlign w:val="superscript"/>
              </w:rPr>
              <w:t>3</w:t>
            </w:r>
          </w:p>
        </w:tc>
        <w:tc>
          <w:tcPr>
            <w:tcW w:w="642" w:type="pct"/>
            <w:vAlign w:val="center"/>
          </w:tcPr>
          <w:p>
            <w:pPr>
              <w:pStyle w:val="136"/>
            </w:pPr>
            <w:r>
              <w:t>359.57</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三</w:t>
            </w:r>
          </w:p>
        </w:tc>
        <w:tc>
          <w:tcPr>
            <w:tcW w:w="4549" w:type="pct"/>
            <w:gridSpan w:val="4"/>
            <w:vAlign w:val="center"/>
          </w:tcPr>
          <w:p>
            <w:pPr>
              <w:pStyle w:val="136"/>
            </w:pPr>
            <w:r>
              <w:t>建设征地与移民安置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1</w:t>
            </w:r>
          </w:p>
        </w:tc>
        <w:tc>
          <w:tcPr>
            <w:tcW w:w="2107" w:type="pct"/>
            <w:vAlign w:val="center"/>
          </w:tcPr>
          <w:p>
            <w:pPr>
              <w:pStyle w:val="136"/>
            </w:pPr>
            <w:r>
              <w:t>永久征收土地面积</w:t>
            </w:r>
          </w:p>
        </w:tc>
        <w:tc>
          <w:tcPr>
            <w:tcW w:w="612" w:type="pct"/>
            <w:vAlign w:val="center"/>
          </w:tcPr>
          <w:p>
            <w:pPr>
              <w:pStyle w:val="136"/>
            </w:pPr>
            <w:r>
              <w:t>亩</w:t>
            </w:r>
          </w:p>
        </w:tc>
        <w:tc>
          <w:tcPr>
            <w:tcW w:w="642" w:type="pct"/>
            <w:vAlign w:val="center"/>
          </w:tcPr>
          <w:p>
            <w:pPr>
              <w:pStyle w:val="136"/>
            </w:pPr>
            <w:r>
              <w:t>458.68</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exact"/>
        </w:trPr>
        <w:tc>
          <w:tcPr>
            <w:tcW w:w="451" w:type="pct"/>
            <w:vAlign w:val="center"/>
          </w:tcPr>
          <w:p>
            <w:pPr>
              <w:pStyle w:val="136"/>
            </w:pPr>
          </w:p>
        </w:tc>
        <w:tc>
          <w:tcPr>
            <w:tcW w:w="2107" w:type="pct"/>
            <w:vAlign w:val="center"/>
          </w:tcPr>
          <w:p>
            <w:pPr>
              <w:pStyle w:val="136"/>
            </w:pPr>
            <w:r>
              <w:t>其中：耕地/基本农田</w:t>
            </w:r>
          </w:p>
        </w:tc>
        <w:tc>
          <w:tcPr>
            <w:tcW w:w="612" w:type="pct"/>
            <w:vAlign w:val="center"/>
          </w:tcPr>
          <w:p>
            <w:pPr>
              <w:pStyle w:val="136"/>
            </w:pPr>
            <w:r>
              <w:t>亩</w:t>
            </w:r>
          </w:p>
        </w:tc>
        <w:tc>
          <w:tcPr>
            <w:tcW w:w="642" w:type="pct"/>
            <w:vAlign w:val="center"/>
          </w:tcPr>
          <w:p>
            <w:pPr>
              <w:pStyle w:val="136"/>
            </w:pPr>
            <w:r>
              <w:t>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林草地</w:t>
            </w:r>
          </w:p>
        </w:tc>
        <w:tc>
          <w:tcPr>
            <w:tcW w:w="612" w:type="pct"/>
            <w:vAlign w:val="center"/>
          </w:tcPr>
          <w:p>
            <w:pPr>
              <w:pStyle w:val="136"/>
            </w:pPr>
            <w:r>
              <w:t>亩</w:t>
            </w:r>
          </w:p>
        </w:tc>
        <w:tc>
          <w:tcPr>
            <w:tcW w:w="642" w:type="pct"/>
            <w:vAlign w:val="center"/>
          </w:tcPr>
          <w:p>
            <w:pPr>
              <w:pStyle w:val="136"/>
            </w:pPr>
            <w:r>
              <w:t>458.68</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2</w:t>
            </w:r>
          </w:p>
        </w:tc>
        <w:tc>
          <w:tcPr>
            <w:tcW w:w="2107" w:type="pct"/>
            <w:vAlign w:val="center"/>
          </w:tcPr>
          <w:p>
            <w:pPr>
              <w:pStyle w:val="136"/>
            </w:pPr>
            <w:r>
              <w:t>搬迁人口</w:t>
            </w:r>
          </w:p>
        </w:tc>
        <w:tc>
          <w:tcPr>
            <w:tcW w:w="612" w:type="pct"/>
            <w:vAlign w:val="center"/>
          </w:tcPr>
          <w:p>
            <w:pPr>
              <w:pStyle w:val="136"/>
            </w:pPr>
            <w:r>
              <w:t>人</w:t>
            </w:r>
          </w:p>
        </w:tc>
        <w:tc>
          <w:tcPr>
            <w:tcW w:w="642" w:type="pct"/>
            <w:vAlign w:val="center"/>
          </w:tcPr>
          <w:p>
            <w:pPr>
              <w:pStyle w:val="136"/>
            </w:pPr>
            <w:r>
              <w:t>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3</w:t>
            </w:r>
          </w:p>
        </w:tc>
        <w:tc>
          <w:tcPr>
            <w:tcW w:w="2107" w:type="pct"/>
            <w:vAlign w:val="center"/>
          </w:tcPr>
          <w:p>
            <w:pPr>
              <w:pStyle w:val="136"/>
            </w:pPr>
            <w:r>
              <w:t>拆迁各类房屋面积</w:t>
            </w:r>
          </w:p>
        </w:tc>
        <w:tc>
          <w:tcPr>
            <w:tcW w:w="612" w:type="pct"/>
            <w:vAlign w:val="center"/>
          </w:tcPr>
          <w:p>
            <w:pPr>
              <w:pStyle w:val="136"/>
            </w:pPr>
            <w:r>
              <w:t>㎡</w:t>
            </w:r>
          </w:p>
        </w:tc>
        <w:tc>
          <w:tcPr>
            <w:tcW w:w="642" w:type="pct"/>
            <w:vAlign w:val="center"/>
          </w:tcPr>
          <w:p>
            <w:pPr>
              <w:pStyle w:val="136"/>
            </w:pPr>
            <w:r>
              <w:t>300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4</w:t>
            </w:r>
          </w:p>
        </w:tc>
        <w:tc>
          <w:tcPr>
            <w:tcW w:w="2107" w:type="pct"/>
            <w:vAlign w:val="center"/>
          </w:tcPr>
          <w:p>
            <w:pPr>
              <w:pStyle w:val="136"/>
            </w:pPr>
            <w:r>
              <w:t>临时征用土地面积</w:t>
            </w:r>
          </w:p>
        </w:tc>
        <w:tc>
          <w:tcPr>
            <w:tcW w:w="612" w:type="pct"/>
            <w:vAlign w:val="center"/>
          </w:tcPr>
          <w:p>
            <w:pPr>
              <w:pStyle w:val="136"/>
            </w:pPr>
            <w:r>
              <w:t>亩</w:t>
            </w:r>
          </w:p>
        </w:tc>
        <w:tc>
          <w:tcPr>
            <w:tcW w:w="642" w:type="pct"/>
            <w:vAlign w:val="center"/>
          </w:tcPr>
          <w:p>
            <w:pPr>
              <w:pStyle w:val="136"/>
            </w:pPr>
            <w:r>
              <w:t>233.29</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其中：耕地</w:t>
            </w:r>
          </w:p>
        </w:tc>
        <w:tc>
          <w:tcPr>
            <w:tcW w:w="612" w:type="pct"/>
            <w:vAlign w:val="center"/>
          </w:tcPr>
          <w:p>
            <w:pPr>
              <w:pStyle w:val="136"/>
            </w:pPr>
            <w:r>
              <w:t>亩</w:t>
            </w:r>
          </w:p>
        </w:tc>
        <w:tc>
          <w:tcPr>
            <w:tcW w:w="642" w:type="pct"/>
            <w:vAlign w:val="center"/>
          </w:tcPr>
          <w:p>
            <w:pPr>
              <w:pStyle w:val="136"/>
            </w:pPr>
            <w:r>
              <w:t>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四</w:t>
            </w:r>
          </w:p>
        </w:tc>
        <w:tc>
          <w:tcPr>
            <w:tcW w:w="4549" w:type="pct"/>
            <w:gridSpan w:val="4"/>
            <w:vAlign w:val="center"/>
          </w:tcPr>
          <w:p>
            <w:pPr>
              <w:pStyle w:val="136"/>
            </w:pPr>
            <w:r>
              <w:t>主要建筑物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1</w:t>
            </w:r>
          </w:p>
        </w:tc>
        <w:tc>
          <w:tcPr>
            <w:tcW w:w="2107" w:type="pct"/>
            <w:vAlign w:val="center"/>
          </w:tcPr>
          <w:p>
            <w:pPr>
              <w:pStyle w:val="136"/>
            </w:pPr>
            <w:r>
              <w:t>挡水建筑物</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型式</w:t>
            </w:r>
          </w:p>
        </w:tc>
        <w:tc>
          <w:tcPr>
            <w:tcW w:w="2442" w:type="pct"/>
            <w:gridSpan w:val="3"/>
            <w:vAlign w:val="center"/>
          </w:tcPr>
          <w:p>
            <w:pPr>
              <w:pStyle w:val="136"/>
            </w:pPr>
            <w:r>
              <w:t>碾压砼重力坝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地震基本烈度</w:t>
            </w:r>
          </w:p>
        </w:tc>
        <w:tc>
          <w:tcPr>
            <w:tcW w:w="612" w:type="pct"/>
            <w:vAlign w:val="center"/>
          </w:tcPr>
          <w:p>
            <w:pPr>
              <w:pStyle w:val="136"/>
            </w:pPr>
            <w:r>
              <w:t>度</w:t>
            </w:r>
          </w:p>
        </w:tc>
        <w:tc>
          <w:tcPr>
            <w:tcW w:w="642" w:type="pct"/>
            <w:vAlign w:val="center"/>
          </w:tcPr>
          <w:p>
            <w:pPr>
              <w:pStyle w:val="136"/>
            </w:pPr>
            <w:r>
              <w:t>Ⅶ</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防浪墙顶高程</w:t>
            </w:r>
          </w:p>
        </w:tc>
        <w:tc>
          <w:tcPr>
            <w:tcW w:w="612" w:type="pct"/>
            <w:vAlign w:val="center"/>
          </w:tcPr>
          <w:p>
            <w:pPr>
              <w:pStyle w:val="136"/>
            </w:pPr>
            <w:r>
              <w:t>m</w:t>
            </w:r>
          </w:p>
        </w:tc>
        <w:tc>
          <w:tcPr>
            <w:tcW w:w="642" w:type="pct"/>
            <w:vAlign w:val="center"/>
          </w:tcPr>
          <w:p>
            <w:pPr>
              <w:pStyle w:val="136"/>
            </w:pPr>
            <w:r>
              <w:t>1985.30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坝顶高程</w:t>
            </w:r>
          </w:p>
        </w:tc>
        <w:tc>
          <w:tcPr>
            <w:tcW w:w="612" w:type="pct"/>
            <w:vAlign w:val="center"/>
          </w:tcPr>
          <w:p>
            <w:pPr>
              <w:pStyle w:val="136"/>
            </w:pPr>
            <w:r>
              <w:t>m</w:t>
            </w:r>
          </w:p>
        </w:tc>
        <w:tc>
          <w:tcPr>
            <w:tcW w:w="642" w:type="pct"/>
            <w:vAlign w:val="center"/>
          </w:tcPr>
          <w:p>
            <w:pPr>
              <w:pStyle w:val="136"/>
            </w:pPr>
            <w:r>
              <w:t>1984.30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最大坝高</w:t>
            </w:r>
          </w:p>
        </w:tc>
        <w:tc>
          <w:tcPr>
            <w:tcW w:w="612" w:type="pct"/>
            <w:vAlign w:val="center"/>
          </w:tcPr>
          <w:p>
            <w:pPr>
              <w:pStyle w:val="136"/>
            </w:pPr>
            <w:r>
              <w:t>m</w:t>
            </w:r>
          </w:p>
        </w:tc>
        <w:tc>
          <w:tcPr>
            <w:tcW w:w="642" w:type="pct"/>
            <w:vAlign w:val="center"/>
          </w:tcPr>
          <w:p>
            <w:pPr>
              <w:pStyle w:val="136"/>
            </w:pPr>
            <w:r>
              <w:t>63.93</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坝长</w:t>
            </w:r>
          </w:p>
        </w:tc>
        <w:tc>
          <w:tcPr>
            <w:tcW w:w="612" w:type="pct"/>
            <w:vAlign w:val="center"/>
          </w:tcPr>
          <w:p>
            <w:pPr>
              <w:pStyle w:val="136"/>
            </w:pPr>
            <w:r>
              <w:t>m</w:t>
            </w:r>
          </w:p>
        </w:tc>
        <w:tc>
          <w:tcPr>
            <w:tcW w:w="642" w:type="pct"/>
            <w:vAlign w:val="center"/>
          </w:tcPr>
          <w:p>
            <w:pPr>
              <w:pStyle w:val="136"/>
            </w:pPr>
            <w:r>
              <w:t>195.0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2</w:t>
            </w:r>
          </w:p>
        </w:tc>
        <w:tc>
          <w:tcPr>
            <w:tcW w:w="2107" w:type="pct"/>
            <w:vAlign w:val="center"/>
          </w:tcPr>
          <w:p>
            <w:pPr>
              <w:pStyle w:val="136"/>
            </w:pPr>
            <w:r>
              <w:t>泄水建筑物</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型式</w:t>
            </w:r>
          </w:p>
        </w:tc>
        <w:tc>
          <w:tcPr>
            <w:tcW w:w="2442" w:type="pct"/>
            <w:gridSpan w:val="3"/>
            <w:vAlign w:val="center"/>
          </w:tcPr>
          <w:p>
            <w:pPr>
              <w:pStyle w:val="136"/>
            </w:pPr>
            <w:r>
              <w:t>溢流表孔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堰顶高程</w:t>
            </w:r>
          </w:p>
        </w:tc>
        <w:tc>
          <w:tcPr>
            <w:tcW w:w="612" w:type="pct"/>
            <w:vAlign w:val="center"/>
          </w:tcPr>
          <w:p>
            <w:pPr>
              <w:pStyle w:val="136"/>
            </w:pPr>
            <w:r>
              <w:t>m</w:t>
            </w:r>
          </w:p>
        </w:tc>
        <w:tc>
          <w:tcPr>
            <w:tcW w:w="642" w:type="pct"/>
            <w:vAlign w:val="center"/>
          </w:tcPr>
          <w:p>
            <w:pPr>
              <w:pStyle w:val="136"/>
            </w:pPr>
            <w:r>
              <w:t>1981.85</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溢流堰宽度</w:t>
            </w:r>
          </w:p>
        </w:tc>
        <w:tc>
          <w:tcPr>
            <w:tcW w:w="612" w:type="pct"/>
            <w:vAlign w:val="center"/>
          </w:tcPr>
          <w:p>
            <w:pPr>
              <w:pStyle w:val="136"/>
            </w:pPr>
            <w:r>
              <w:t>m</w:t>
            </w:r>
          </w:p>
        </w:tc>
        <w:tc>
          <w:tcPr>
            <w:tcW w:w="642" w:type="pct"/>
            <w:vAlign w:val="center"/>
          </w:tcPr>
          <w:p>
            <w:pPr>
              <w:pStyle w:val="136"/>
            </w:pPr>
            <w:r>
              <w:t>20.0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溢洪道全长</w:t>
            </w:r>
          </w:p>
        </w:tc>
        <w:tc>
          <w:tcPr>
            <w:tcW w:w="612" w:type="pct"/>
            <w:vAlign w:val="center"/>
          </w:tcPr>
          <w:p>
            <w:pPr>
              <w:pStyle w:val="136"/>
            </w:pPr>
            <w:r>
              <w:t>m</w:t>
            </w:r>
          </w:p>
        </w:tc>
        <w:tc>
          <w:tcPr>
            <w:tcW w:w="642" w:type="pct"/>
            <w:vAlign w:val="center"/>
          </w:tcPr>
          <w:p>
            <w:pPr>
              <w:pStyle w:val="136"/>
            </w:pPr>
            <w:r>
              <w:t>43.95</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设计洪水最大泄量（2%）</w:t>
            </w:r>
          </w:p>
        </w:tc>
        <w:tc>
          <w:tcPr>
            <w:tcW w:w="612" w:type="pct"/>
            <w:vAlign w:val="center"/>
          </w:tcPr>
          <w:p>
            <w:pPr>
              <w:pStyle w:val="136"/>
            </w:pPr>
            <w:r>
              <w:t>m</w:t>
            </w:r>
            <w:r>
              <w:rPr>
                <w:vertAlign w:val="superscript"/>
              </w:rPr>
              <w:t>3</w:t>
            </w:r>
            <w:r>
              <w:t>/s</w:t>
            </w:r>
          </w:p>
        </w:tc>
        <w:tc>
          <w:tcPr>
            <w:tcW w:w="642" w:type="pct"/>
            <w:vAlign w:val="center"/>
          </w:tcPr>
          <w:p>
            <w:pPr>
              <w:pStyle w:val="136"/>
            </w:pPr>
            <w:r>
              <w:t>60.87</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校核洪水最大泄量（0.2%）</w:t>
            </w:r>
          </w:p>
        </w:tc>
        <w:tc>
          <w:tcPr>
            <w:tcW w:w="612" w:type="pct"/>
            <w:vAlign w:val="center"/>
          </w:tcPr>
          <w:p>
            <w:pPr>
              <w:pStyle w:val="136"/>
            </w:pPr>
            <w:r>
              <w:t>m</w:t>
            </w:r>
            <w:r>
              <w:rPr>
                <w:vertAlign w:val="superscript"/>
              </w:rPr>
              <w:t>3</w:t>
            </w:r>
            <w:r>
              <w:t>/s</w:t>
            </w:r>
          </w:p>
        </w:tc>
        <w:tc>
          <w:tcPr>
            <w:tcW w:w="642" w:type="pct"/>
            <w:vAlign w:val="center"/>
          </w:tcPr>
          <w:p>
            <w:pPr>
              <w:pStyle w:val="136"/>
            </w:pPr>
            <w:r>
              <w:t>148.59</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3</w:t>
            </w:r>
          </w:p>
        </w:tc>
        <w:tc>
          <w:tcPr>
            <w:tcW w:w="2107" w:type="pct"/>
            <w:vAlign w:val="center"/>
          </w:tcPr>
          <w:p>
            <w:pPr>
              <w:pStyle w:val="136"/>
            </w:pPr>
            <w:r>
              <w:t>导流建筑物</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洞身段面尺寸</w:t>
            </w:r>
          </w:p>
        </w:tc>
        <w:tc>
          <w:tcPr>
            <w:tcW w:w="612" w:type="pct"/>
            <w:vAlign w:val="center"/>
          </w:tcPr>
          <w:p>
            <w:pPr>
              <w:pStyle w:val="136"/>
            </w:pPr>
            <w:r>
              <w:t>B(m)×h(m)</w:t>
            </w:r>
          </w:p>
        </w:tc>
        <w:tc>
          <w:tcPr>
            <w:tcW w:w="642" w:type="pct"/>
            <w:vAlign w:val="center"/>
          </w:tcPr>
          <w:p>
            <w:pPr>
              <w:pStyle w:val="136"/>
            </w:pPr>
            <w:r>
              <w:t>2.0×2.78</w:t>
            </w:r>
          </w:p>
        </w:tc>
        <w:tc>
          <w:tcPr>
            <w:tcW w:w="1188" w:type="pct"/>
            <w:vAlign w:val="center"/>
          </w:tcPr>
          <w:p>
            <w:pPr>
              <w:pStyle w:val="136"/>
            </w:pPr>
            <w:r>
              <w:t>城门洞</w:t>
            </w:r>
          </w:p>
          <w:p>
            <w:pPr>
              <w:pStyle w:val="136"/>
            </w:pPr>
            <w: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消能方式</w:t>
            </w:r>
          </w:p>
        </w:tc>
        <w:tc>
          <w:tcPr>
            <w:tcW w:w="2442" w:type="pct"/>
            <w:gridSpan w:val="3"/>
            <w:vAlign w:val="center"/>
          </w:tcPr>
          <w:p>
            <w:pPr>
              <w:pStyle w:val="136"/>
            </w:pPr>
            <w:r>
              <w:t>底流消能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检修闸门（平面钢闸门）</w:t>
            </w:r>
          </w:p>
        </w:tc>
        <w:tc>
          <w:tcPr>
            <w:tcW w:w="612" w:type="pct"/>
            <w:vAlign w:val="center"/>
          </w:tcPr>
          <w:p>
            <w:pPr>
              <w:pStyle w:val="136"/>
            </w:pPr>
            <w:r>
              <w:t>B(m)×h(m)</w:t>
            </w:r>
          </w:p>
        </w:tc>
        <w:tc>
          <w:tcPr>
            <w:tcW w:w="642" w:type="pct"/>
            <w:vAlign w:val="center"/>
          </w:tcPr>
          <w:p>
            <w:pPr>
              <w:pStyle w:val="136"/>
            </w:pPr>
            <w:r>
              <w:t>2.0×2.0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工作闸门（弧形钢闸门）</w:t>
            </w:r>
          </w:p>
        </w:tc>
        <w:tc>
          <w:tcPr>
            <w:tcW w:w="612" w:type="pct"/>
            <w:vAlign w:val="center"/>
          </w:tcPr>
          <w:p>
            <w:pPr>
              <w:pStyle w:val="136"/>
            </w:pPr>
            <w:r>
              <w:t>b(m)×h(m)</w:t>
            </w:r>
          </w:p>
        </w:tc>
        <w:tc>
          <w:tcPr>
            <w:tcW w:w="642" w:type="pct"/>
            <w:vAlign w:val="center"/>
          </w:tcPr>
          <w:p>
            <w:pPr>
              <w:pStyle w:val="136"/>
            </w:pPr>
            <w:r>
              <w:t>2.0×1.5</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10年一遇最大下泄流量</w:t>
            </w:r>
          </w:p>
        </w:tc>
        <w:tc>
          <w:tcPr>
            <w:tcW w:w="612" w:type="pct"/>
            <w:vAlign w:val="center"/>
          </w:tcPr>
          <w:p>
            <w:pPr>
              <w:pStyle w:val="136"/>
            </w:pPr>
            <w:r>
              <w:t>m</w:t>
            </w:r>
            <w:r>
              <w:rPr>
                <w:vertAlign w:val="superscript"/>
              </w:rPr>
              <w:t>3</w:t>
            </w:r>
            <w:r>
              <w:t>/s</w:t>
            </w:r>
          </w:p>
        </w:tc>
        <w:tc>
          <w:tcPr>
            <w:tcW w:w="642" w:type="pct"/>
            <w:vAlign w:val="center"/>
          </w:tcPr>
          <w:p>
            <w:pPr>
              <w:pStyle w:val="136"/>
            </w:pPr>
            <w:r>
              <w:t>19.30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20年一遇最大下泄流量</w:t>
            </w:r>
          </w:p>
        </w:tc>
        <w:tc>
          <w:tcPr>
            <w:tcW w:w="612" w:type="pct"/>
            <w:vAlign w:val="center"/>
          </w:tcPr>
          <w:p>
            <w:pPr>
              <w:pStyle w:val="136"/>
            </w:pPr>
            <w:r>
              <w:t>m</w:t>
            </w:r>
            <w:r>
              <w:rPr>
                <w:vertAlign w:val="superscript"/>
              </w:rPr>
              <w:t>3</w:t>
            </w:r>
            <w:r>
              <w:t>/s</w:t>
            </w:r>
          </w:p>
        </w:tc>
        <w:tc>
          <w:tcPr>
            <w:tcW w:w="642" w:type="pct"/>
            <w:vAlign w:val="center"/>
          </w:tcPr>
          <w:p>
            <w:pPr>
              <w:pStyle w:val="136"/>
            </w:pPr>
            <w:r>
              <w:t>27.13</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4</w:t>
            </w:r>
          </w:p>
        </w:tc>
        <w:tc>
          <w:tcPr>
            <w:tcW w:w="2107" w:type="pct"/>
            <w:vAlign w:val="center"/>
          </w:tcPr>
          <w:p>
            <w:pPr>
              <w:pStyle w:val="136"/>
            </w:pPr>
            <w:r>
              <w:t>放水建筑物</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型式</w:t>
            </w:r>
          </w:p>
        </w:tc>
        <w:tc>
          <w:tcPr>
            <w:tcW w:w="2442" w:type="pct"/>
            <w:gridSpan w:val="3"/>
            <w:vAlign w:val="center"/>
          </w:tcPr>
          <w:p>
            <w:pPr>
              <w:pStyle w:val="136"/>
            </w:pPr>
            <w:r>
              <w:t>DN600钢管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长度</w:t>
            </w:r>
          </w:p>
        </w:tc>
        <w:tc>
          <w:tcPr>
            <w:tcW w:w="612" w:type="pct"/>
            <w:vAlign w:val="center"/>
          </w:tcPr>
          <w:p>
            <w:pPr>
              <w:pStyle w:val="136"/>
            </w:pPr>
            <w:r>
              <w:t>m</w:t>
            </w:r>
          </w:p>
        </w:tc>
        <w:tc>
          <w:tcPr>
            <w:tcW w:w="642" w:type="pct"/>
            <w:vAlign w:val="center"/>
          </w:tcPr>
          <w:p>
            <w:pPr>
              <w:pStyle w:val="136"/>
            </w:pPr>
            <w:r>
              <w:t>345</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设计流量</w:t>
            </w:r>
          </w:p>
        </w:tc>
        <w:tc>
          <w:tcPr>
            <w:tcW w:w="612" w:type="pct"/>
            <w:vAlign w:val="center"/>
          </w:tcPr>
          <w:p>
            <w:pPr>
              <w:pStyle w:val="136"/>
            </w:pPr>
            <w:r>
              <w:t>m</w:t>
            </w:r>
            <w:r>
              <w:rPr>
                <w:vertAlign w:val="superscript"/>
              </w:rPr>
              <w:t>3</w:t>
            </w:r>
            <w:r>
              <w:t>/s</w:t>
            </w:r>
          </w:p>
        </w:tc>
        <w:tc>
          <w:tcPr>
            <w:tcW w:w="642" w:type="pct"/>
            <w:vAlign w:val="center"/>
          </w:tcPr>
          <w:p>
            <w:pPr>
              <w:pStyle w:val="136"/>
            </w:pPr>
            <w:r>
              <w:t>0.48</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五</w:t>
            </w:r>
          </w:p>
        </w:tc>
        <w:tc>
          <w:tcPr>
            <w:tcW w:w="4549" w:type="pct"/>
            <w:gridSpan w:val="4"/>
            <w:vAlign w:val="center"/>
          </w:tcPr>
          <w:p>
            <w:pPr>
              <w:pStyle w:val="136"/>
            </w:pPr>
            <w:r>
              <w:t>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1</w:t>
            </w:r>
          </w:p>
        </w:tc>
        <w:tc>
          <w:tcPr>
            <w:tcW w:w="2107" w:type="pct"/>
            <w:vAlign w:val="center"/>
          </w:tcPr>
          <w:p>
            <w:pPr>
              <w:pStyle w:val="136"/>
            </w:pPr>
            <w:r>
              <w:t>主体工程数量</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exact"/>
        </w:trPr>
        <w:tc>
          <w:tcPr>
            <w:tcW w:w="451" w:type="pct"/>
            <w:vAlign w:val="center"/>
          </w:tcPr>
          <w:p>
            <w:pPr>
              <w:pStyle w:val="136"/>
            </w:pPr>
          </w:p>
        </w:tc>
        <w:tc>
          <w:tcPr>
            <w:tcW w:w="2107" w:type="pct"/>
            <w:vAlign w:val="center"/>
          </w:tcPr>
          <w:p>
            <w:pPr>
              <w:pStyle w:val="136"/>
            </w:pPr>
            <w:r>
              <w:t>土方开挖</w:t>
            </w:r>
          </w:p>
        </w:tc>
        <w:tc>
          <w:tcPr>
            <w:tcW w:w="612" w:type="pct"/>
            <w:vAlign w:val="center"/>
          </w:tcPr>
          <w:p>
            <w:pPr>
              <w:pStyle w:val="136"/>
            </w:pPr>
            <w:r>
              <w:t>万m³</w:t>
            </w:r>
          </w:p>
        </w:tc>
        <w:tc>
          <w:tcPr>
            <w:tcW w:w="642" w:type="pct"/>
            <w:vAlign w:val="center"/>
          </w:tcPr>
          <w:p>
            <w:pPr>
              <w:pStyle w:val="136"/>
            </w:pPr>
            <w:r>
              <w:t>11.44</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石方开挖</w:t>
            </w:r>
          </w:p>
        </w:tc>
        <w:tc>
          <w:tcPr>
            <w:tcW w:w="612" w:type="pct"/>
            <w:vAlign w:val="center"/>
          </w:tcPr>
          <w:p>
            <w:pPr>
              <w:pStyle w:val="136"/>
            </w:pPr>
            <w:r>
              <w:t>万m³</w:t>
            </w:r>
          </w:p>
        </w:tc>
        <w:tc>
          <w:tcPr>
            <w:tcW w:w="642" w:type="pct"/>
            <w:vAlign w:val="center"/>
          </w:tcPr>
          <w:p>
            <w:pPr>
              <w:pStyle w:val="136"/>
            </w:pPr>
            <w:r>
              <w:t>19.01</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土方填筑万</w:t>
            </w:r>
          </w:p>
        </w:tc>
        <w:tc>
          <w:tcPr>
            <w:tcW w:w="612" w:type="pct"/>
            <w:vAlign w:val="center"/>
          </w:tcPr>
          <w:p>
            <w:pPr>
              <w:pStyle w:val="136"/>
            </w:pPr>
            <w:r>
              <w:t>万m³</w:t>
            </w:r>
          </w:p>
        </w:tc>
        <w:tc>
          <w:tcPr>
            <w:tcW w:w="642" w:type="pct"/>
            <w:vAlign w:val="center"/>
          </w:tcPr>
          <w:p>
            <w:pPr>
              <w:pStyle w:val="136"/>
            </w:pPr>
            <w:r>
              <w:t>6.94</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砼</w:t>
            </w:r>
          </w:p>
        </w:tc>
        <w:tc>
          <w:tcPr>
            <w:tcW w:w="612" w:type="pct"/>
            <w:vAlign w:val="center"/>
          </w:tcPr>
          <w:p>
            <w:pPr>
              <w:pStyle w:val="136"/>
            </w:pPr>
            <w:r>
              <w:t>万m³</w:t>
            </w:r>
          </w:p>
        </w:tc>
        <w:tc>
          <w:tcPr>
            <w:tcW w:w="642" w:type="pct"/>
            <w:vAlign w:val="center"/>
          </w:tcPr>
          <w:p>
            <w:pPr>
              <w:pStyle w:val="136"/>
            </w:pPr>
            <w:r>
              <w:t>16.12</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2</w:t>
            </w:r>
          </w:p>
        </w:tc>
        <w:tc>
          <w:tcPr>
            <w:tcW w:w="2107" w:type="pct"/>
            <w:vAlign w:val="center"/>
          </w:tcPr>
          <w:p>
            <w:pPr>
              <w:pStyle w:val="136"/>
            </w:pPr>
            <w:r>
              <w:t>主要建筑材量数量</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水泥</w:t>
            </w:r>
          </w:p>
        </w:tc>
        <w:tc>
          <w:tcPr>
            <w:tcW w:w="612" w:type="pct"/>
            <w:vAlign w:val="center"/>
          </w:tcPr>
          <w:p>
            <w:pPr>
              <w:pStyle w:val="136"/>
            </w:pPr>
            <w:r>
              <w:t>t</w:t>
            </w:r>
          </w:p>
        </w:tc>
        <w:tc>
          <w:tcPr>
            <w:tcW w:w="642" w:type="pct"/>
            <w:vAlign w:val="center"/>
          </w:tcPr>
          <w:p>
            <w:pPr>
              <w:pStyle w:val="136"/>
            </w:pPr>
            <w:r>
              <w:t>20013.1</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钢材</w:t>
            </w:r>
          </w:p>
        </w:tc>
        <w:tc>
          <w:tcPr>
            <w:tcW w:w="612" w:type="pct"/>
            <w:vAlign w:val="center"/>
          </w:tcPr>
          <w:p>
            <w:pPr>
              <w:pStyle w:val="136"/>
            </w:pPr>
            <w:r>
              <w:t>t</w:t>
            </w:r>
          </w:p>
        </w:tc>
        <w:tc>
          <w:tcPr>
            <w:tcW w:w="642" w:type="pct"/>
            <w:vAlign w:val="center"/>
          </w:tcPr>
          <w:p>
            <w:pPr>
              <w:pStyle w:val="136"/>
            </w:pPr>
            <w:r>
              <w:t>738.5</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3</w:t>
            </w:r>
          </w:p>
        </w:tc>
        <w:tc>
          <w:tcPr>
            <w:tcW w:w="2107" w:type="pct"/>
            <w:vAlign w:val="center"/>
          </w:tcPr>
          <w:p>
            <w:pPr>
              <w:pStyle w:val="136"/>
            </w:pPr>
            <w:r>
              <w:t>所需劳动力</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高峰工人数</w:t>
            </w:r>
          </w:p>
        </w:tc>
        <w:tc>
          <w:tcPr>
            <w:tcW w:w="612" w:type="pct"/>
            <w:vAlign w:val="center"/>
          </w:tcPr>
          <w:p>
            <w:pPr>
              <w:pStyle w:val="136"/>
            </w:pPr>
            <w:r>
              <w:t>人</w:t>
            </w:r>
          </w:p>
        </w:tc>
        <w:tc>
          <w:tcPr>
            <w:tcW w:w="642" w:type="pct"/>
            <w:vAlign w:val="center"/>
          </w:tcPr>
          <w:p>
            <w:pPr>
              <w:pStyle w:val="136"/>
            </w:pPr>
            <w:r>
              <w:t>360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4</w:t>
            </w:r>
          </w:p>
        </w:tc>
        <w:tc>
          <w:tcPr>
            <w:tcW w:w="2107" w:type="pct"/>
            <w:vAlign w:val="center"/>
          </w:tcPr>
          <w:p>
            <w:pPr>
              <w:pStyle w:val="136"/>
            </w:pPr>
            <w:r>
              <w:t>有效施工天数</w:t>
            </w:r>
          </w:p>
        </w:tc>
        <w:tc>
          <w:tcPr>
            <w:tcW w:w="612" w:type="pct"/>
            <w:vAlign w:val="center"/>
          </w:tcPr>
          <w:p>
            <w:pPr>
              <w:pStyle w:val="136"/>
            </w:pPr>
            <w:r>
              <w:t>天</w:t>
            </w:r>
          </w:p>
        </w:tc>
        <w:tc>
          <w:tcPr>
            <w:tcW w:w="642" w:type="pct"/>
            <w:vAlign w:val="center"/>
          </w:tcPr>
          <w:p>
            <w:pPr>
              <w:pStyle w:val="136"/>
            </w:pPr>
            <w:r>
              <w:t>420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总工期</w:t>
            </w:r>
          </w:p>
        </w:tc>
        <w:tc>
          <w:tcPr>
            <w:tcW w:w="612" w:type="pct"/>
            <w:vAlign w:val="center"/>
          </w:tcPr>
          <w:p>
            <w:pPr>
              <w:pStyle w:val="136"/>
            </w:pPr>
            <w:r>
              <w:t>月</w:t>
            </w:r>
          </w:p>
        </w:tc>
        <w:tc>
          <w:tcPr>
            <w:tcW w:w="642" w:type="pct"/>
            <w:vAlign w:val="center"/>
          </w:tcPr>
          <w:p>
            <w:pPr>
              <w:pStyle w:val="136"/>
            </w:pPr>
            <w:r>
              <w:t>17</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六</w:t>
            </w:r>
          </w:p>
        </w:tc>
        <w:tc>
          <w:tcPr>
            <w:tcW w:w="4549" w:type="pct"/>
            <w:gridSpan w:val="4"/>
            <w:vAlign w:val="center"/>
          </w:tcPr>
          <w:p>
            <w:pPr>
              <w:pStyle w:val="136"/>
            </w:pPr>
            <w:r>
              <w:t>经济指标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r>
              <w:t>1</w:t>
            </w:r>
          </w:p>
        </w:tc>
        <w:tc>
          <w:tcPr>
            <w:tcW w:w="2107" w:type="pct"/>
            <w:vAlign w:val="center"/>
          </w:tcPr>
          <w:p>
            <w:pPr>
              <w:pStyle w:val="136"/>
            </w:pPr>
            <w:r>
              <w:t>总投资</w:t>
            </w:r>
          </w:p>
        </w:tc>
        <w:tc>
          <w:tcPr>
            <w:tcW w:w="612" w:type="pct"/>
            <w:vAlign w:val="center"/>
          </w:tcPr>
          <w:p>
            <w:pPr>
              <w:pStyle w:val="136"/>
            </w:pPr>
            <w:r>
              <w:t>万元</w:t>
            </w:r>
          </w:p>
        </w:tc>
        <w:tc>
          <w:tcPr>
            <w:tcW w:w="642" w:type="pct"/>
            <w:vAlign w:val="center"/>
          </w:tcPr>
          <w:p>
            <w:pPr>
              <w:pStyle w:val="136"/>
            </w:pPr>
            <w:r>
              <w:t>21634.09</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exact"/>
        </w:trPr>
        <w:tc>
          <w:tcPr>
            <w:tcW w:w="451" w:type="pct"/>
            <w:vAlign w:val="center"/>
          </w:tcPr>
          <w:p>
            <w:pPr>
              <w:pStyle w:val="136"/>
            </w:pPr>
            <w:r>
              <w:t>2</w:t>
            </w:r>
          </w:p>
        </w:tc>
        <w:tc>
          <w:tcPr>
            <w:tcW w:w="2107" w:type="pct"/>
            <w:vAlign w:val="center"/>
          </w:tcPr>
          <w:p>
            <w:pPr>
              <w:pStyle w:val="136"/>
            </w:pPr>
            <w:r>
              <w:t>综合利用经济指标</w:t>
            </w:r>
          </w:p>
        </w:tc>
        <w:tc>
          <w:tcPr>
            <w:tcW w:w="612" w:type="pct"/>
            <w:vAlign w:val="center"/>
          </w:tcPr>
          <w:p>
            <w:pPr>
              <w:pStyle w:val="136"/>
            </w:pPr>
          </w:p>
        </w:tc>
        <w:tc>
          <w:tcPr>
            <w:tcW w:w="642" w:type="pct"/>
            <w:vAlign w:val="center"/>
          </w:tcPr>
          <w:p>
            <w:pPr>
              <w:pStyle w:val="136"/>
            </w:pP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经济内部收益率</w:t>
            </w:r>
          </w:p>
        </w:tc>
        <w:tc>
          <w:tcPr>
            <w:tcW w:w="612" w:type="pct"/>
            <w:vAlign w:val="center"/>
          </w:tcPr>
          <w:p>
            <w:pPr>
              <w:pStyle w:val="136"/>
            </w:pPr>
            <w:r>
              <w:t>%</w:t>
            </w:r>
          </w:p>
        </w:tc>
        <w:tc>
          <w:tcPr>
            <w:tcW w:w="642" w:type="pct"/>
            <w:vAlign w:val="center"/>
          </w:tcPr>
          <w:p>
            <w:pPr>
              <w:pStyle w:val="136"/>
            </w:pPr>
            <w:r>
              <w:t>8.44</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经济净现值</w:t>
            </w:r>
          </w:p>
        </w:tc>
        <w:tc>
          <w:tcPr>
            <w:tcW w:w="612" w:type="pct"/>
            <w:vAlign w:val="center"/>
          </w:tcPr>
          <w:p>
            <w:pPr>
              <w:pStyle w:val="136"/>
            </w:pPr>
            <w:r>
              <w:t>万元</w:t>
            </w:r>
          </w:p>
        </w:tc>
        <w:tc>
          <w:tcPr>
            <w:tcW w:w="642" w:type="pct"/>
            <w:vAlign w:val="center"/>
          </w:tcPr>
          <w:p>
            <w:pPr>
              <w:pStyle w:val="136"/>
            </w:pPr>
            <w:r>
              <w:t>1089.70</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效益费用比</w:t>
            </w:r>
          </w:p>
        </w:tc>
        <w:tc>
          <w:tcPr>
            <w:tcW w:w="612" w:type="pct"/>
            <w:vAlign w:val="center"/>
          </w:tcPr>
          <w:p>
            <w:pPr>
              <w:pStyle w:val="136"/>
            </w:pPr>
          </w:p>
        </w:tc>
        <w:tc>
          <w:tcPr>
            <w:tcW w:w="642" w:type="pct"/>
            <w:vAlign w:val="center"/>
          </w:tcPr>
          <w:p>
            <w:pPr>
              <w:pStyle w:val="136"/>
            </w:pPr>
            <w:r>
              <w:t>1.05</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生活供水水价</w:t>
            </w:r>
          </w:p>
        </w:tc>
        <w:tc>
          <w:tcPr>
            <w:tcW w:w="612" w:type="pct"/>
            <w:vAlign w:val="center"/>
          </w:tcPr>
          <w:p>
            <w:pPr>
              <w:pStyle w:val="136"/>
            </w:pPr>
            <w:r>
              <w:t>元/m³</w:t>
            </w:r>
          </w:p>
        </w:tc>
        <w:tc>
          <w:tcPr>
            <w:tcW w:w="642" w:type="pct"/>
            <w:vAlign w:val="center"/>
          </w:tcPr>
          <w:p>
            <w:pPr>
              <w:pStyle w:val="136"/>
            </w:pPr>
            <w:r>
              <w:t>2.77</w:t>
            </w:r>
          </w:p>
        </w:tc>
        <w:tc>
          <w:tcPr>
            <w:tcW w:w="1188"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51" w:type="pct"/>
            <w:vAlign w:val="center"/>
          </w:tcPr>
          <w:p>
            <w:pPr>
              <w:pStyle w:val="136"/>
            </w:pPr>
          </w:p>
        </w:tc>
        <w:tc>
          <w:tcPr>
            <w:tcW w:w="2107" w:type="pct"/>
            <w:vAlign w:val="center"/>
          </w:tcPr>
          <w:p>
            <w:pPr>
              <w:pStyle w:val="136"/>
            </w:pPr>
            <w:r>
              <w:t>农业灌溉水价</w:t>
            </w:r>
          </w:p>
        </w:tc>
        <w:tc>
          <w:tcPr>
            <w:tcW w:w="612" w:type="pct"/>
            <w:vAlign w:val="center"/>
          </w:tcPr>
          <w:p>
            <w:pPr>
              <w:pStyle w:val="136"/>
            </w:pPr>
            <w:r>
              <w:t>元/m³</w:t>
            </w:r>
          </w:p>
        </w:tc>
        <w:tc>
          <w:tcPr>
            <w:tcW w:w="642" w:type="pct"/>
            <w:vAlign w:val="center"/>
          </w:tcPr>
          <w:p>
            <w:pPr>
              <w:pStyle w:val="136"/>
            </w:pPr>
            <w:r>
              <w:t>0.2</w:t>
            </w:r>
          </w:p>
        </w:tc>
        <w:tc>
          <w:tcPr>
            <w:tcW w:w="1188" w:type="pct"/>
            <w:vAlign w:val="center"/>
          </w:tcPr>
          <w:p>
            <w:pPr>
              <w:pStyle w:val="136"/>
            </w:pPr>
          </w:p>
        </w:tc>
      </w:tr>
    </w:tbl>
    <w:p>
      <w:pPr>
        <w:ind w:firstLine="480"/>
        <w:rPr>
          <w:rFonts w:cs="Times New Roman"/>
        </w:rPr>
      </w:pPr>
      <w:r>
        <w:rPr>
          <w:rFonts w:cs="Times New Roman"/>
        </w:rPr>
        <w:br w:type="page"/>
      </w:r>
    </w:p>
    <w:p>
      <w:pPr>
        <w:pStyle w:val="2"/>
        <w:rPr>
          <w:rFonts w:cs="Times New Roman"/>
        </w:rPr>
      </w:pPr>
      <w:bookmarkStart w:id="70" w:name="_Toc181381602"/>
      <w:r>
        <w:rPr>
          <w:rFonts w:cs="Times New Roman"/>
        </w:rPr>
        <w:t>3. 工程分析</w:t>
      </w:r>
      <w:bookmarkEnd w:id="70"/>
    </w:p>
    <w:p>
      <w:pPr>
        <w:pStyle w:val="3"/>
        <w:rPr>
          <w:rFonts w:cs="Times New Roman"/>
        </w:rPr>
      </w:pPr>
      <w:bookmarkStart w:id="71" w:name="_Toc181381603"/>
      <w:r>
        <w:rPr>
          <w:rFonts w:cs="Times New Roman"/>
        </w:rPr>
        <w:t>3.1 与相关政策法规符合性分析</w:t>
      </w:r>
      <w:bookmarkEnd w:id="71"/>
    </w:p>
    <w:p>
      <w:pPr>
        <w:pStyle w:val="4"/>
        <w:rPr>
          <w:rFonts w:cs="Times New Roman"/>
        </w:rPr>
      </w:pPr>
      <w:r>
        <w:rPr>
          <w:rFonts w:cs="Times New Roman"/>
        </w:rPr>
        <w:t>3.1.1 与产业政策的相符性分析</w:t>
      </w:r>
    </w:p>
    <w:p>
      <w:pPr>
        <w:ind w:firstLine="480"/>
        <w:rPr>
          <w:rFonts w:cs="Times New Roman"/>
        </w:rPr>
      </w:pPr>
      <w:r>
        <w:rPr>
          <w:rFonts w:cs="Times New Roman"/>
        </w:rPr>
        <w:t>根据国家发展和改革委员会2023年12月27日发布的《产业结构调整指导目录（2024年本）》，代尔昆代水库属于第一类（鼓励类）中的“二、水利”中的水资源优化配置工程，其建设符合国家产业政策要求。</w:t>
      </w:r>
    </w:p>
    <w:p>
      <w:pPr>
        <w:pStyle w:val="4"/>
        <w:rPr>
          <w:rFonts w:cs="Times New Roman"/>
        </w:rPr>
      </w:pPr>
      <w:bookmarkStart w:id="72" w:name="_Toc147595086"/>
      <w:r>
        <w:rPr>
          <w:rFonts w:cs="Times New Roman"/>
        </w:rPr>
        <w:t>3.1.2 与最严格水资源管理政策的符合性分析</w:t>
      </w:r>
      <w:bookmarkEnd w:id="72"/>
    </w:p>
    <w:p>
      <w:pPr>
        <w:ind w:firstLine="480"/>
        <w:rPr>
          <w:rFonts w:cs="Times New Roman"/>
        </w:rPr>
      </w:pPr>
      <w:r>
        <w:rPr>
          <w:rFonts w:cs="Times New Roman"/>
        </w:rPr>
        <w:t>2012年2月印发的“国务院关于实行最严格水资源管理制度的意见”总体要求中确立了水资源开发利用控制红线、用水效率控制红线、水功能区限制纳污红线相关要求。为了进一步落实最严格水资源管理制度，保障2030年全疆实现用水总量控制指标，2017年自治区人民政府批复《新疆用水总量控制方案》，随后各地州市县陆续提出用水总量实施方案。</w:t>
      </w:r>
    </w:p>
    <w:p>
      <w:pPr>
        <w:ind w:firstLine="480"/>
        <w:rPr>
          <w:rFonts w:cs="Times New Roman"/>
        </w:rPr>
      </w:pPr>
      <w:r>
        <w:rPr>
          <w:rFonts w:cs="Times New Roman"/>
          <w:bCs/>
        </w:rPr>
        <w:t>（1）用水总量符合性分析</w:t>
      </w:r>
    </w:p>
    <w:p>
      <w:pPr>
        <w:ind w:firstLine="480"/>
        <w:rPr>
          <w:rFonts w:cs="Times New Roman"/>
        </w:rPr>
      </w:pPr>
      <w:r>
        <w:rPr>
          <w:rFonts w:cs="Times New Roman"/>
          <w:bCs/>
        </w:rPr>
        <w:fldChar w:fldCharType="begin"/>
      </w:r>
      <w:r>
        <w:rPr>
          <w:rFonts w:cs="Times New Roman"/>
          <w:bCs/>
        </w:rPr>
        <w:instrText xml:space="preserve"> = 1 \* GB3 </w:instrText>
      </w:r>
      <w:r>
        <w:rPr>
          <w:rFonts w:cs="Times New Roman"/>
          <w:bCs/>
        </w:rPr>
        <w:fldChar w:fldCharType="separate"/>
      </w:r>
      <w:r>
        <w:rPr>
          <w:rFonts w:hint="eastAsia" w:ascii="宋体" w:hAnsi="宋体" w:cs="宋体"/>
          <w:bCs/>
        </w:rPr>
        <w:t>①</w:t>
      </w:r>
      <w:r>
        <w:rPr>
          <w:rFonts w:cs="Times New Roman"/>
        </w:rPr>
        <w:fldChar w:fldCharType="end"/>
      </w:r>
      <w:r>
        <w:rPr>
          <w:rFonts w:cs="Times New Roman"/>
          <w:bCs/>
        </w:rPr>
        <w:t>与伊吾县用水总量指标符合性</w:t>
      </w:r>
    </w:p>
    <w:p>
      <w:pPr>
        <w:ind w:firstLine="480"/>
        <w:rPr>
          <w:rFonts w:cs="Times New Roman"/>
        </w:rPr>
      </w:pPr>
      <w:r>
        <w:rPr>
          <w:rFonts w:cs="Times New Roman"/>
        </w:rPr>
        <w:t>根据《新疆用水总量控制方案》，伊吾县2020年、2030年用水总量控制指标分别为9130万m</w:t>
      </w:r>
      <w:r>
        <w:rPr>
          <w:rFonts w:cs="Times New Roman"/>
          <w:vertAlign w:val="superscript"/>
        </w:rPr>
        <w:t>3</w:t>
      </w:r>
      <w:r>
        <w:rPr>
          <w:rFonts w:cs="Times New Roman"/>
        </w:rPr>
        <w:t>、9560万m</w:t>
      </w:r>
      <w:r>
        <w:rPr>
          <w:rFonts w:cs="Times New Roman"/>
          <w:vertAlign w:val="superscript"/>
        </w:rPr>
        <w:t>3</w:t>
      </w:r>
      <w:r>
        <w:rPr>
          <w:rFonts w:cs="Times New Roman"/>
        </w:rPr>
        <w:t>，其中地下水控制指标分别为991万m</w:t>
      </w:r>
      <w:r>
        <w:rPr>
          <w:rFonts w:cs="Times New Roman"/>
          <w:vertAlign w:val="superscript"/>
        </w:rPr>
        <w:t>3</w:t>
      </w:r>
      <w:r>
        <w:rPr>
          <w:rFonts w:cs="Times New Roman"/>
        </w:rPr>
        <w:t>、900万m</w:t>
      </w:r>
      <w:r>
        <w:rPr>
          <w:rFonts w:cs="Times New Roman"/>
          <w:vertAlign w:val="superscript"/>
        </w:rPr>
        <w:t>3</w:t>
      </w:r>
      <w:r>
        <w:rPr>
          <w:rFonts w:cs="Times New Roman"/>
        </w:rPr>
        <w:t>。详见表3.1-1。</w:t>
      </w:r>
    </w:p>
    <w:p>
      <w:pPr>
        <w:pStyle w:val="137"/>
        <w:spacing w:before="62"/>
      </w:pPr>
      <w:r>
        <w:t>表3.1-1                   伊吾县用水总量控制指标               单位：万m</w:t>
      </w:r>
      <w:r>
        <w:rPr>
          <w:vertAlign w:val="superscript"/>
        </w:rPr>
        <w:t>3</w:t>
      </w:r>
    </w:p>
    <w:tbl>
      <w:tblPr>
        <w:tblStyle w:val="40"/>
        <w:tblW w:w="51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6"/>
        <w:gridCol w:w="2118"/>
        <w:gridCol w:w="2118"/>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blHeader/>
          <w:jc w:val="center"/>
        </w:trPr>
        <w:tc>
          <w:tcPr>
            <w:tcW w:w="1547" w:type="pct"/>
            <w:vAlign w:val="center"/>
          </w:tcPr>
          <w:p>
            <w:pPr>
              <w:pStyle w:val="136"/>
            </w:pPr>
            <w:r>
              <w:t>项目</w:t>
            </w:r>
          </w:p>
        </w:tc>
        <w:tc>
          <w:tcPr>
            <w:tcW w:w="1151" w:type="pct"/>
            <w:vAlign w:val="center"/>
          </w:tcPr>
          <w:p>
            <w:pPr>
              <w:pStyle w:val="136"/>
            </w:pPr>
            <w:r>
              <w:t>2020年</w:t>
            </w:r>
          </w:p>
        </w:tc>
        <w:tc>
          <w:tcPr>
            <w:tcW w:w="1151" w:type="pct"/>
            <w:vAlign w:val="center"/>
          </w:tcPr>
          <w:p>
            <w:pPr>
              <w:pStyle w:val="136"/>
            </w:pPr>
            <w:r>
              <w:t>2025年</w:t>
            </w:r>
          </w:p>
        </w:tc>
        <w:tc>
          <w:tcPr>
            <w:tcW w:w="1151" w:type="pct"/>
            <w:vAlign w:val="center"/>
          </w:tcPr>
          <w:p>
            <w:pPr>
              <w:pStyle w:val="136"/>
            </w:pPr>
            <w:r>
              <w:t>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547" w:type="pct"/>
            <w:vAlign w:val="center"/>
          </w:tcPr>
          <w:p>
            <w:pPr>
              <w:pStyle w:val="136"/>
            </w:pPr>
            <w:r>
              <w:t>用水总量</w:t>
            </w:r>
          </w:p>
        </w:tc>
        <w:tc>
          <w:tcPr>
            <w:tcW w:w="1151" w:type="pct"/>
            <w:vAlign w:val="center"/>
          </w:tcPr>
          <w:p>
            <w:pPr>
              <w:pStyle w:val="136"/>
            </w:pPr>
            <w:r>
              <w:t>9130</w:t>
            </w:r>
          </w:p>
        </w:tc>
        <w:tc>
          <w:tcPr>
            <w:tcW w:w="1151" w:type="pct"/>
            <w:vAlign w:val="center"/>
          </w:tcPr>
          <w:p>
            <w:pPr>
              <w:pStyle w:val="136"/>
            </w:pPr>
            <w:r>
              <w:t>9227</w:t>
            </w:r>
          </w:p>
        </w:tc>
        <w:tc>
          <w:tcPr>
            <w:tcW w:w="1151" w:type="pct"/>
            <w:vAlign w:val="center"/>
          </w:tcPr>
          <w:p>
            <w:pPr>
              <w:pStyle w:val="136"/>
            </w:pPr>
            <w:r>
              <w:t>9560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547" w:type="pct"/>
            <w:vAlign w:val="center"/>
          </w:tcPr>
          <w:p>
            <w:pPr>
              <w:pStyle w:val="136"/>
            </w:pPr>
            <w:r>
              <w:t>地表水</w:t>
            </w:r>
          </w:p>
        </w:tc>
        <w:tc>
          <w:tcPr>
            <w:tcW w:w="1151" w:type="pct"/>
            <w:vAlign w:val="center"/>
          </w:tcPr>
          <w:p>
            <w:pPr>
              <w:pStyle w:val="136"/>
            </w:pPr>
            <w:r>
              <w:t>7860</w:t>
            </w:r>
          </w:p>
        </w:tc>
        <w:tc>
          <w:tcPr>
            <w:tcW w:w="1151" w:type="pct"/>
            <w:vAlign w:val="center"/>
          </w:tcPr>
          <w:p>
            <w:pPr>
              <w:pStyle w:val="136"/>
            </w:pPr>
            <w:r>
              <w:t>7820</w:t>
            </w:r>
          </w:p>
        </w:tc>
        <w:tc>
          <w:tcPr>
            <w:tcW w:w="1151" w:type="pct"/>
            <w:vAlign w:val="center"/>
          </w:tcPr>
          <w:p>
            <w:pPr>
              <w:pStyle w:val="136"/>
            </w:pPr>
            <w:r>
              <w:t>7860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547" w:type="pct"/>
            <w:vAlign w:val="center"/>
          </w:tcPr>
          <w:p>
            <w:pPr>
              <w:pStyle w:val="136"/>
            </w:pPr>
            <w:r>
              <w:t>地下水</w:t>
            </w:r>
          </w:p>
        </w:tc>
        <w:tc>
          <w:tcPr>
            <w:tcW w:w="1151" w:type="pct"/>
            <w:vAlign w:val="center"/>
          </w:tcPr>
          <w:p>
            <w:pPr>
              <w:pStyle w:val="136"/>
            </w:pPr>
            <w:r>
              <w:t>991</w:t>
            </w:r>
          </w:p>
        </w:tc>
        <w:tc>
          <w:tcPr>
            <w:tcW w:w="1151" w:type="pct"/>
            <w:vAlign w:val="center"/>
          </w:tcPr>
          <w:p>
            <w:pPr>
              <w:pStyle w:val="136"/>
            </w:pPr>
            <w:r>
              <w:t>907</w:t>
            </w:r>
          </w:p>
        </w:tc>
        <w:tc>
          <w:tcPr>
            <w:tcW w:w="1151" w:type="pct"/>
            <w:vAlign w:val="center"/>
          </w:tcPr>
          <w:p>
            <w:pPr>
              <w:pStyle w:val="136"/>
            </w:pPr>
            <w: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547" w:type="pct"/>
            <w:vAlign w:val="center"/>
          </w:tcPr>
          <w:p>
            <w:pPr>
              <w:pStyle w:val="136"/>
            </w:pPr>
            <w:r>
              <w:t>其他水源</w:t>
            </w:r>
          </w:p>
        </w:tc>
        <w:tc>
          <w:tcPr>
            <w:tcW w:w="1151" w:type="pct"/>
            <w:vAlign w:val="center"/>
          </w:tcPr>
          <w:p>
            <w:pPr>
              <w:pStyle w:val="136"/>
            </w:pPr>
            <w:r>
              <w:t>279</w:t>
            </w:r>
          </w:p>
        </w:tc>
        <w:tc>
          <w:tcPr>
            <w:tcW w:w="1151" w:type="pct"/>
            <w:vAlign w:val="center"/>
          </w:tcPr>
          <w:p>
            <w:pPr>
              <w:pStyle w:val="136"/>
            </w:pPr>
            <w:r>
              <w:t>500</w:t>
            </w:r>
          </w:p>
        </w:tc>
        <w:tc>
          <w:tcPr>
            <w:tcW w:w="1151" w:type="pct"/>
            <w:vAlign w:val="center"/>
          </w:tcPr>
          <w:p>
            <w:pPr>
              <w:pStyle w:val="136"/>
            </w:pPr>
            <w:r>
              <w:t>800</w:t>
            </w:r>
          </w:p>
        </w:tc>
      </w:tr>
    </w:tbl>
    <w:p>
      <w:pPr>
        <w:ind w:firstLine="480"/>
        <w:rPr>
          <w:rFonts w:cs="Times New Roman"/>
        </w:rPr>
      </w:pPr>
    </w:p>
    <w:p>
      <w:pPr>
        <w:ind w:firstLine="480"/>
        <w:rPr>
          <w:rFonts w:cs="Times New Roman"/>
        </w:rPr>
      </w:pPr>
      <w:r>
        <w:rPr>
          <w:rFonts w:cs="Times New Roman"/>
        </w:rPr>
        <w:t>2019年，哈密市与兵团十三师联合开展水量分解工作，根据《关于报送哈密市用水总量控制分解实施方案的函》（哈政函〔2019〕224号)，2030年分配给淖毛湖区域的水量控制指标为6204.8万m</w:t>
      </w:r>
      <w:r>
        <w:rPr>
          <w:rFonts w:cs="Times New Roman"/>
          <w:vertAlign w:val="superscript"/>
        </w:rPr>
        <w:t>3</w:t>
      </w:r>
      <w:r>
        <w:rPr>
          <w:rFonts w:cs="Times New Roman"/>
        </w:rPr>
        <w:t>，其中地表水控制指标为4822.5万m</w:t>
      </w:r>
      <w:r>
        <w:rPr>
          <w:rFonts w:cs="Times New Roman"/>
          <w:vertAlign w:val="superscript"/>
        </w:rPr>
        <w:t>3</w:t>
      </w:r>
      <w:r>
        <w:rPr>
          <w:rFonts w:cs="Times New Roman"/>
        </w:rPr>
        <w:t>，地下水控制指标为582.3万m</w:t>
      </w:r>
      <w:r>
        <w:rPr>
          <w:rFonts w:cs="Times New Roman"/>
          <w:vertAlign w:val="superscript"/>
        </w:rPr>
        <w:t>3</w:t>
      </w:r>
      <w:r>
        <w:rPr>
          <w:rFonts w:cs="Times New Roman"/>
        </w:rPr>
        <w:t>，其他水源（主要指城市中水）控制指标为800万m</w:t>
      </w:r>
      <w:r>
        <w:rPr>
          <w:rFonts w:cs="Times New Roman"/>
          <w:vertAlign w:val="superscript"/>
        </w:rPr>
        <w:t>3</w:t>
      </w:r>
      <w:r>
        <w:rPr>
          <w:rFonts w:cs="Times New Roman"/>
        </w:rPr>
        <w:t>。</w:t>
      </w:r>
    </w:p>
    <w:p>
      <w:pPr>
        <w:ind w:firstLine="480"/>
        <w:rPr>
          <w:rFonts w:cs="Times New Roman"/>
        </w:rPr>
      </w:pPr>
      <w:r>
        <w:rPr>
          <w:rFonts w:cs="Times New Roman"/>
        </w:rPr>
        <w:t>2022年11月，为保障当地社会经济发展用水需求，伊吾县人民政府拟对县域内各河用水控制指标进行优化调整，并以《关于代尔昆代郭勒河用水指标调整的函》上报了哈密市水利局并取得同意。</w:t>
      </w:r>
    </w:p>
    <w:p>
      <w:pPr>
        <w:ind w:firstLine="480"/>
        <w:rPr>
          <w:rFonts w:cs="Times New Roman"/>
        </w:rPr>
      </w:pPr>
      <w:r>
        <w:rPr>
          <w:rFonts w:cs="Times New Roman"/>
        </w:rPr>
        <w:t>根据《关于代尔昆代郭勒河用水指标调整的函》，伊吾县拟</w:t>
      </w:r>
      <w:r>
        <w:rPr>
          <w:rFonts w:hint="eastAsia" w:cs="Times New Roman"/>
          <w:lang w:eastAsia="zh-CN"/>
        </w:rPr>
        <w:t>将</w:t>
      </w:r>
      <w:r>
        <w:rPr>
          <w:rFonts w:cs="Times New Roman"/>
        </w:rPr>
        <w:t>县域内用水指标尚有富裕的吐尔干沟河的337万m</w:t>
      </w:r>
      <w:r>
        <w:rPr>
          <w:rFonts w:cs="Times New Roman"/>
          <w:vertAlign w:val="superscript"/>
        </w:rPr>
        <w:t>3</w:t>
      </w:r>
      <w:r>
        <w:rPr>
          <w:rFonts w:cs="Times New Roman"/>
        </w:rPr>
        <w:t>水量指标、石门沟河22.5万m</w:t>
      </w:r>
      <w:r>
        <w:rPr>
          <w:rFonts w:cs="Times New Roman"/>
          <w:vertAlign w:val="superscript"/>
        </w:rPr>
        <w:t>3</w:t>
      </w:r>
      <w:r>
        <w:rPr>
          <w:rFonts w:cs="Times New Roman"/>
        </w:rPr>
        <w:t>水量指标，共计360万m</w:t>
      </w:r>
      <w:r>
        <w:rPr>
          <w:rFonts w:cs="Times New Roman"/>
          <w:vertAlign w:val="superscript"/>
        </w:rPr>
        <w:t>3</w:t>
      </w:r>
      <w:r>
        <w:rPr>
          <w:rFonts w:cs="Times New Roman"/>
        </w:rPr>
        <w:t>用水量指标调整至代尔昆代郭勒河。</w:t>
      </w:r>
    </w:p>
    <w:p>
      <w:pPr>
        <w:ind w:firstLine="480"/>
        <w:rPr>
          <w:rFonts w:cs="Times New Roman"/>
        </w:rPr>
      </w:pPr>
      <w:r>
        <w:rPr>
          <w:rFonts w:cs="Times New Roman"/>
        </w:rPr>
        <w:t>吐尔干沟河、石门沟河原用水控制指标分别为963.45万m</w:t>
      </w:r>
      <w:r>
        <w:rPr>
          <w:rFonts w:cs="Times New Roman"/>
          <w:vertAlign w:val="superscript"/>
        </w:rPr>
        <w:t>3</w:t>
      </w:r>
      <w:r>
        <w:rPr>
          <w:rFonts w:cs="Times New Roman"/>
        </w:rPr>
        <w:t>、22.5万m</w:t>
      </w:r>
      <w:r>
        <w:rPr>
          <w:rFonts w:cs="Times New Roman"/>
          <w:vertAlign w:val="superscript"/>
        </w:rPr>
        <w:t>3</w:t>
      </w:r>
      <w:r>
        <w:rPr>
          <w:rFonts w:cs="Times New Roman"/>
        </w:rPr>
        <w:t>；因吐尔干沟河供水的伊吾县盐池镇现有灌区调整灌区灌溉面积和种植业结构并实施节水灌溉，吐尔干沟河现状实际用水量仅为548.36万m</w:t>
      </w:r>
      <w:r>
        <w:rPr>
          <w:rFonts w:cs="Times New Roman"/>
          <w:vertAlign w:val="superscript"/>
        </w:rPr>
        <w:t>3</w:t>
      </w:r>
      <w:r>
        <w:rPr>
          <w:rFonts w:cs="Times New Roman"/>
        </w:rPr>
        <w:t>，尚余415.09万m</w:t>
      </w:r>
      <w:r>
        <w:rPr>
          <w:rFonts w:cs="Times New Roman"/>
          <w:vertAlign w:val="superscript"/>
        </w:rPr>
        <w:t>3</w:t>
      </w:r>
      <w:r>
        <w:rPr>
          <w:rFonts w:cs="Times New Roman"/>
        </w:rPr>
        <w:t>用水总量指标；石门沟河因下游部分灌区已于2020年退耕还草，因此，相比现状用水尚富裕22.5万m</w:t>
      </w:r>
      <w:r>
        <w:rPr>
          <w:rFonts w:cs="Times New Roman"/>
          <w:vertAlign w:val="superscript"/>
        </w:rPr>
        <w:t>3</w:t>
      </w:r>
      <w:r>
        <w:rPr>
          <w:rFonts w:cs="Times New Roman"/>
        </w:rPr>
        <w:t>用水总量控制指标；对此，伊吾县在维持县域用水总量控制指标不变的前提下，</w:t>
      </w:r>
      <w:r>
        <w:rPr>
          <w:rFonts w:hint="eastAsia" w:cs="Times New Roman"/>
          <w:lang w:eastAsia="zh-CN"/>
        </w:rPr>
        <w:t>将</w:t>
      </w:r>
      <w:r>
        <w:rPr>
          <w:rFonts w:cs="Times New Roman"/>
        </w:rPr>
        <w:t>吐尔干沟河337万m</w:t>
      </w:r>
      <w:r>
        <w:rPr>
          <w:rFonts w:cs="Times New Roman"/>
          <w:vertAlign w:val="superscript"/>
        </w:rPr>
        <w:t>3</w:t>
      </w:r>
      <w:r>
        <w:rPr>
          <w:rFonts w:cs="Times New Roman"/>
        </w:rPr>
        <w:t>、石门沟河22.5万m</w:t>
      </w:r>
      <w:r>
        <w:rPr>
          <w:rFonts w:cs="Times New Roman"/>
          <w:vertAlign w:val="superscript"/>
        </w:rPr>
        <w:t>3</w:t>
      </w:r>
      <w:r>
        <w:rPr>
          <w:rFonts w:cs="Times New Roman"/>
        </w:rPr>
        <w:t>、共计360万m</w:t>
      </w:r>
      <w:r>
        <w:rPr>
          <w:rFonts w:cs="Times New Roman"/>
          <w:vertAlign w:val="superscript"/>
        </w:rPr>
        <w:t>3</w:t>
      </w:r>
      <w:r>
        <w:rPr>
          <w:rFonts w:cs="Times New Roman"/>
        </w:rPr>
        <w:t>用水总量指标调整至代尔昆代郭勒河。由于代尔昆代郭勒河现状无地表水资源利用，相应无伊吾县分解至该河的用水总量指标，则经县域内用水总量指标调整后，代尔昆代郭勒河用水总量指标为360万m</w:t>
      </w:r>
      <w:r>
        <w:rPr>
          <w:rFonts w:cs="Times New Roman"/>
          <w:vertAlign w:val="superscript"/>
        </w:rPr>
        <w:t>3</w:t>
      </w:r>
      <w:r>
        <w:rPr>
          <w:rFonts w:cs="Times New Roman"/>
        </w:rPr>
        <w:t>。</w:t>
      </w:r>
    </w:p>
    <w:p>
      <w:pPr>
        <w:ind w:firstLine="480"/>
        <w:rPr>
          <w:rFonts w:cs="Times New Roman"/>
        </w:rPr>
      </w:pPr>
      <w:r>
        <w:rPr>
          <w:rFonts w:cs="Times New Roman"/>
        </w:rPr>
        <w:t>代尔昆代水库建成后，年供水量为359.57万m</w:t>
      </w:r>
      <w:r>
        <w:rPr>
          <w:rFonts w:cs="Times New Roman"/>
          <w:vertAlign w:val="superscript"/>
        </w:rPr>
        <w:t>3</w:t>
      </w:r>
      <w:r>
        <w:rPr>
          <w:rFonts w:cs="Times New Roman"/>
        </w:rPr>
        <w:t>，未突破伊吾县县域地表水用水总量控制指标，同时也满足分解至代尔昆代郭勒河地表水用水总量控制要求。</w:t>
      </w:r>
    </w:p>
    <w:p>
      <w:pPr>
        <w:ind w:firstLine="480"/>
        <w:rPr>
          <w:rFonts w:cs="Times New Roman"/>
        </w:rPr>
      </w:pPr>
      <w:r>
        <w:rPr>
          <w:rFonts w:hint="eastAsia" w:ascii="宋体" w:hAnsi="宋体" w:cs="宋体"/>
        </w:rPr>
        <w:t>②</w:t>
      </w:r>
      <w:r>
        <w:rPr>
          <w:rFonts w:cs="Times New Roman"/>
        </w:rPr>
        <w:t>与伊吾县淖毛湖地区用水总量控制指标符合性</w:t>
      </w:r>
    </w:p>
    <w:p>
      <w:pPr>
        <w:ind w:firstLine="480"/>
        <w:rPr>
          <w:rFonts w:cs="Times New Roman"/>
        </w:rPr>
      </w:pPr>
      <w:r>
        <w:rPr>
          <w:rFonts w:cs="Times New Roman"/>
        </w:rPr>
        <w:t>根据哈密市用水总量控制分解实施方案，2020年淖毛湖地区用水总量指标为5911.8万m</w:t>
      </w:r>
      <w:r>
        <w:rPr>
          <w:rFonts w:cs="Times New Roman"/>
          <w:vertAlign w:val="superscript"/>
        </w:rPr>
        <w:t>3</w:t>
      </w:r>
      <w:r>
        <w:rPr>
          <w:rFonts w:cs="Times New Roman"/>
        </w:rPr>
        <w:t>，其中地表水控制指标为4925万m</w:t>
      </w:r>
      <w:r>
        <w:rPr>
          <w:rFonts w:cs="Times New Roman"/>
          <w:vertAlign w:val="superscript"/>
        </w:rPr>
        <w:t>3</w:t>
      </w:r>
      <w:r>
        <w:rPr>
          <w:rFonts w:cs="Times New Roman"/>
        </w:rPr>
        <w:t>，地下水控制指标为707.8万m</w:t>
      </w:r>
      <w:r>
        <w:rPr>
          <w:rFonts w:cs="Times New Roman"/>
          <w:vertAlign w:val="superscript"/>
        </w:rPr>
        <w:t>3</w:t>
      </w:r>
      <w:r>
        <w:rPr>
          <w:rFonts w:cs="Times New Roman"/>
        </w:rPr>
        <w:t>，其他水源（主要指城市中水）控制指标为279万m</w:t>
      </w:r>
      <w:r>
        <w:rPr>
          <w:rFonts w:cs="Times New Roman"/>
          <w:vertAlign w:val="superscript"/>
        </w:rPr>
        <w:t>3</w:t>
      </w:r>
      <w:r>
        <w:rPr>
          <w:rFonts w:cs="Times New Roman"/>
        </w:rPr>
        <w:t>；2030年淖毛湖地区用水总量指标为6204.8万m</w:t>
      </w:r>
      <w:r>
        <w:rPr>
          <w:rFonts w:cs="Times New Roman"/>
          <w:vertAlign w:val="superscript"/>
        </w:rPr>
        <w:t>3</w:t>
      </w:r>
      <w:r>
        <w:rPr>
          <w:rFonts w:cs="Times New Roman"/>
        </w:rPr>
        <w:t>，其中地表水控制指标为4822.5万m</w:t>
      </w:r>
      <w:r>
        <w:rPr>
          <w:rFonts w:cs="Times New Roman"/>
          <w:vertAlign w:val="superscript"/>
        </w:rPr>
        <w:t>3</w:t>
      </w:r>
      <w:r>
        <w:rPr>
          <w:rFonts w:cs="Times New Roman"/>
        </w:rPr>
        <w:t>，地下水控制指标为582.3万m</w:t>
      </w:r>
      <w:r>
        <w:rPr>
          <w:rFonts w:cs="Times New Roman"/>
          <w:vertAlign w:val="superscript"/>
        </w:rPr>
        <w:t>3</w:t>
      </w:r>
      <w:r>
        <w:rPr>
          <w:rFonts w:cs="Times New Roman"/>
        </w:rPr>
        <w:t>，其他水源（主要指城市中水）控制指标为800万m</w:t>
      </w:r>
      <w:r>
        <w:rPr>
          <w:rFonts w:cs="Times New Roman"/>
          <w:vertAlign w:val="superscript"/>
        </w:rPr>
        <w:t>3</w:t>
      </w:r>
      <w:r>
        <w:rPr>
          <w:rFonts w:cs="Times New Roman"/>
        </w:rPr>
        <w:t>。</w:t>
      </w:r>
    </w:p>
    <w:p>
      <w:pPr>
        <w:ind w:firstLine="480"/>
        <w:rPr>
          <w:rFonts w:cs="Times New Roman"/>
        </w:rPr>
      </w:pPr>
      <w:r>
        <w:rPr>
          <w:rFonts w:cs="Times New Roman"/>
        </w:rPr>
        <w:t>根据工程可研报告，现状年2020年淖毛湖地区经济社会水资源供需平衡分析，该地区经济社会需水量为4924.24万m</w:t>
      </w:r>
      <w:r>
        <w:rPr>
          <w:rFonts w:cs="Times New Roman"/>
          <w:vertAlign w:val="superscript"/>
        </w:rPr>
        <w:t>3</w:t>
      </w:r>
      <w:r>
        <w:rPr>
          <w:rFonts w:cs="Times New Roman"/>
        </w:rPr>
        <w:t>，其中地表水需水量3369.72万m</w:t>
      </w:r>
      <w:r>
        <w:rPr>
          <w:rFonts w:cs="Times New Roman"/>
          <w:vertAlign w:val="superscript"/>
        </w:rPr>
        <w:t>3</w:t>
      </w:r>
      <w:r>
        <w:rPr>
          <w:rFonts w:cs="Times New Roman"/>
        </w:rPr>
        <w:t>，地下水需水量1554.52万m</w:t>
      </w:r>
      <w:r>
        <w:rPr>
          <w:rFonts w:cs="Times New Roman"/>
          <w:vertAlign w:val="superscript"/>
        </w:rPr>
        <w:t>3</w:t>
      </w:r>
      <w:r>
        <w:rPr>
          <w:rFonts w:cs="Times New Roman"/>
        </w:rPr>
        <w:t>。对比2020年淖毛湖地区用水总量指标，其中地表水需水量不超总量指标，地下水需水量超总量指标约846.72万m</w:t>
      </w:r>
      <w:r>
        <w:rPr>
          <w:rFonts w:cs="Times New Roman"/>
          <w:vertAlign w:val="superscript"/>
        </w:rPr>
        <w:t>3</w:t>
      </w:r>
      <w:r>
        <w:rPr>
          <w:rFonts w:cs="Times New Roman"/>
        </w:rPr>
        <w:t>。</w:t>
      </w:r>
    </w:p>
    <w:p>
      <w:pPr>
        <w:ind w:firstLine="480"/>
        <w:rPr>
          <w:rFonts w:cs="Times New Roman"/>
        </w:rPr>
      </w:pPr>
      <w:r>
        <w:rPr>
          <w:rFonts w:cs="Times New Roman"/>
        </w:rPr>
        <w:t>根据工程可研报告，现状年2030年淖毛湖地区经济社会水资源供需平衡分析，该地区经济社会需水量为3255.77万m</w:t>
      </w:r>
      <w:r>
        <w:rPr>
          <w:rFonts w:cs="Times New Roman"/>
          <w:vertAlign w:val="superscript"/>
        </w:rPr>
        <w:t>3</w:t>
      </w:r>
      <w:r>
        <w:rPr>
          <w:rFonts w:cs="Times New Roman"/>
        </w:rPr>
        <w:t>，其中地表水需水量2682.85万m</w:t>
      </w:r>
      <w:r>
        <w:rPr>
          <w:rFonts w:cs="Times New Roman"/>
          <w:vertAlign w:val="superscript"/>
        </w:rPr>
        <w:t>3</w:t>
      </w:r>
      <w:r>
        <w:rPr>
          <w:rFonts w:cs="Times New Roman"/>
        </w:rPr>
        <w:t>，地下水需水量572.92万m</w:t>
      </w:r>
      <w:r>
        <w:rPr>
          <w:rFonts w:cs="Times New Roman"/>
          <w:vertAlign w:val="superscript"/>
        </w:rPr>
        <w:t>3</w:t>
      </w:r>
      <w:r>
        <w:rPr>
          <w:rFonts w:cs="Times New Roman"/>
        </w:rPr>
        <w:t>；地区用水总量及地表水、地下水用水量均符合2030年淖毛湖地区用水总量指标要求。</w:t>
      </w:r>
    </w:p>
    <w:p>
      <w:pPr>
        <w:ind w:firstLine="480"/>
        <w:rPr>
          <w:rFonts w:cs="Times New Roman"/>
        </w:rPr>
      </w:pPr>
      <w:r>
        <w:rPr>
          <w:rFonts w:cs="Times New Roman"/>
        </w:rPr>
        <w:t>（2）用水效率符合性</w:t>
      </w:r>
    </w:p>
    <w:p>
      <w:pPr>
        <w:ind w:firstLine="480"/>
        <w:rPr>
          <w:rFonts w:cs="Times New Roman"/>
        </w:rPr>
      </w:pPr>
      <w:r>
        <w:rPr>
          <w:rFonts w:cs="Times New Roman"/>
        </w:rPr>
        <w:t>《新疆用水总量控制方案》中，2020年、2030年伊吾县农业灌溉水利用系数控制指标为0.65、0.66。现状基准年伊吾县农业灌溉水利用系数为0.69，设计水平年2030年伊吾县农业灌溉水利用系数为0.7，均可满足控制指标要求。</w:t>
      </w:r>
    </w:p>
    <w:p>
      <w:pPr>
        <w:ind w:firstLine="480"/>
        <w:rPr>
          <w:rFonts w:cs="Times New Roman"/>
        </w:rPr>
      </w:pPr>
      <w:r>
        <w:rPr>
          <w:rFonts w:cs="Times New Roman"/>
        </w:rPr>
        <w:t>现状年2020年，淖毛湖地区万元工业增加值用水量42.54m³/万元，根据2020年水资源公报：哈密万元工业增加值用水量31.56m³/万元，全疆万元工业增加值用水量29.5m³/万元，相比而言，淖毛湖地区现状工业用水水平低于全哈密、全疆水平。设计水平年2030年，随着淖毛湖地区工业技术水平的提高，工业</w:t>
      </w:r>
      <w:r>
        <w:rPr>
          <w:rFonts w:hint="eastAsia" w:cs="Times New Roman"/>
          <w:lang w:eastAsia="zh-CN"/>
        </w:rPr>
        <w:t>将</w:t>
      </w:r>
      <w:r>
        <w:rPr>
          <w:rFonts w:cs="Times New Roman"/>
        </w:rPr>
        <w:t>实现规模化、集约化、产业化发展模式，规模以上企业工业用水重复利用率达到新疆平均水平，万元工业增加值用水定额由现状的42.54m³/万元降至30m³/万元，接近全疆水平，符合提高用水效率要求。</w:t>
      </w:r>
    </w:p>
    <w:p>
      <w:pPr>
        <w:ind w:firstLine="480"/>
        <w:rPr>
          <w:rFonts w:cs="Times New Roman"/>
        </w:rPr>
      </w:pPr>
      <w:r>
        <w:rPr>
          <w:rFonts w:cs="Times New Roman"/>
        </w:rPr>
        <w:t>现状年2020年，淖毛湖灌区农业亩均用水为401m³/亩，哈密农业亩均用水为406m³/亩，全疆农业亩均用水为547m³/亩，故淖毛湖地区农业亩均用水高于哈密、全疆水平。设计水平年2030年，淖毛湖地区农业综合毛灌溉定额</w:t>
      </w:r>
      <w:r>
        <w:rPr>
          <w:rFonts w:hint="eastAsia" w:cs="Times New Roman"/>
          <w:lang w:eastAsia="zh-CN"/>
        </w:rPr>
        <w:t>将</w:t>
      </w:r>
      <w:r>
        <w:rPr>
          <w:rFonts w:cs="Times New Roman"/>
        </w:rPr>
        <w:t>由现状401m³/亩降低至374m³/亩，符合《新疆维吾尔自治区哈密市用水总量控制</w:t>
      </w:r>
      <w:r>
        <w:rPr>
          <w:rFonts w:hint="eastAsia" w:cs="Times New Roman"/>
          <w:lang w:val="en-US" w:eastAsia="zh-CN"/>
        </w:rPr>
        <w:t>方</w:t>
      </w:r>
      <w:r>
        <w:rPr>
          <w:rFonts w:cs="Times New Roman"/>
        </w:rPr>
        <w:t>案》提出的控制指标400m³/亩。</w:t>
      </w:r>
    </w:p>
    <w:p>
      <w:pPr>
        <w:ind w:firstLine="480"/>
        <w:rPr>
          <w:rFonts w:cs="Times New Roman"/>
        </w:rPr>
      </w:pPr>
      <w:r>
        <w:rPr>
          <w:rFonts w:cs="Times New Roman"/>
        </w:rPr>
        <w:t>综上所述，本次工程建设，设计用水总量、用水效率符合最严格水资源管理政策要求。</w:t>
      </w:r>
    </w:p>
    <w:p>
      <w:pPr>
        <w:ind w:firstLine="480"/>
        <w:rPr>
          <w:rFonts w:cs="Times New Roman"/>
        </w:rPr>
      </w:pPr>
    </w:p>
    <w:p>
      <w:pPr>
        <w:pStyle w:val="3"/>
        <w:rPr>
          <w:rFonts w:cs="Times New Roman"/>
        </w:rPr>
      </w:pPr>
      <w:bookmarkStart w:id="73" w:name="_Toc181381604"/>
      <w:r>
        <w:rPr>
          <w:rFonts w:cs="Times New Roman"/>
        </w:rPr>
        <w:t>3.2 工程与区域相关规划符合性分析</w:t>
      </w:r>
      <w:bookmarkEnd w:id="73"/>
    </w:p>
    <w:p>
      <w:pPr>
        <w:pStyle w:val="4"/>
        <w:rPr>
          <w:rFonts w:cs="Times New Roman"/>
        </w:rPr>
      </w:pPr>
      <w:r>
        <w:rPr>
          <w:rFonts w:cs="Times New Roman"/>
        </w:rPr>
        <w:t>3.2.1 与新疆及地区社会经济发展规划的协调性分析</w:t>
      </w:r>
    </w:p>
    <w:p>
      <w:pPr>
        <w:ind w:firstLine="480"/>
        <w:rPr>
          <w:rFonts w:cs="Times New Roman"/>
        </w:rPr>
      </w:pPr>
      <w:r>
        <w:rPr>
          <w:rFonts w:cs="Times New Roman"/>
        </w:rPr>
        <w:t>《新疆维吾尔自治区国民经济和社会发展第十四个五年规划和2035年远景目标纲要》提出：以水利工程及配套设施建设为重点，加快建设一批重大水资源配置工程、骨干控制性水利工程和大中型灌区续建配套与现代化改造工程，重点推进实施阿克苏河、库山河等一批重大河流控制性水利枢纽和重大水资源配置工程，构建以蓄水为基础、节水为关键、调水为补充的工程网络体系。</w:t>
      </w:r>
    </w:p>
    <w:p>
      <w:pPr>
        <w:ind w:firstLine="480"/>
        <w:rPr>
          <w:rFonts w:cs="Times New Roman"/>
        </w:rPr>
      </w:pPr>
      <w:r>
        <w:rPr>
          <w:rFonts w:cs="Times New Roman"/>
        </w:rPr>
        <w:t>《哈密市国民经济和社会发展第十四个五年规划和2035年远景目标纲要》提出：坚持“节水优先、空间均衡、系统治理、两手发力”治水方针，统筹水资源刚性约束和优化配置，优化“生活、生产、生态”用水布局，做好“节水、蓄水、调水”文章。进一步完善生产、生活水利设施，加速民生水利体系建设。加快推进城乡水务一体化，建设伊州区二宫水库、伊吾县代尔昆代水库等蓄水工程，推进大中型灌区续建配套与现代化改造工程，有效提高灌溉保证率，夯实农牧业现代化水利保障基础。</w:t>
      </w:r>
    </w:p>
    <w:p>
      <w:pPr>
        <w:ind w:firstLine="480"/>
        <w:rPr>
          <w:rFonts w:cs="Times New Roman"/>
        </w:rPr>
      </w:pPr>
      <w:r>
        <w:rPr>
          <w:rFonts w:cs="Times New Roman"/>
        </w:rPr>
        <w:t>代尔昆代水库为哈密市“十四五”期间优先实施的民生水利项目，工程实施可缓解伊吾县供水紧张状况，加快乡村发展速度、推动当地经济的繁荣和发展。因此工程建设与自治区及哈密市国民经济和社会发展第十四个五年规划和2035年远景目标纲要是协调一致的。</w:t>
      </w:r>
    </w:p>
    <w:p>
      <w:pPr>
        <w:pStyle w:val="4"/>
        <w:rPr>
          <w:rFonts w:cs="Times New Roman"/>
        </w:rPr>
      </w:pPr>
      <w:r>
        <w:rPr>
          <w:rFonts w:cs="Times New Roman"/>
        </w:rPr>
        <w:t>3.2.2 与流域综合规划及规划环评的符合性分析</w:t>
      </w:r>
    </w:p>
    <w:p>
      <w:pPr>
        <w:pStyle w:val="62"/>
        <w:rPr>
          <w:rFonts w:cs="Times New Roman"/>
        </w:rPr>
      </w:pPr>
      <w:r>
        <w:rPr>
          <w:rFonts w:cs="Times New Roman"/>
        </w:rPr>
        <w:t>3.2.2.1 与代尔昆代郭勒流域综合规划的符合性分析</w:t>
      </w:r>
    </w:p>
    <w:p>
      <w:pPr>
        <w:ind w:firstLine="480"/>
        <w:rPr>
          <w:rFonts w:cs="Times New Roman"/>
        </w:rPr>
      </w:pPr>
      <w:r>
        <w:rPr>
          <w:rFonts w:cs="Times New Roman"/>
        </w:rPr>
        <w:t>2023年伊吾县水管总站组织编制了《伊吾县代尔昆代郭勒流域综合规划》，目前该规划已上报待审查。该规划提出近期水平年2025年实施伊吾县代尔昆代水库，向淖毛湖地区人畜、公益林供水。</w:t>
      </w:r>
    </w:p>
    <w:p>
      <w:pPr>
        <w:ind w:firstLine="480"/>
        <w:rPr>
          <w:rFonts w:cs="Times New Roman"/>
        </w:rPr>
      </w:pPr>
      <w:r>
        <w:rPr>
          <w:rFonts w:cs="Times New Roman"/>
        </w:rPr>
        <w:t>规划提出，代尔昆代水库坝址位于代尔昆代郭勒河出山口以上6.5km处。水库库容296.68万m</w:t>
      </w:r>
      <w:r>
        <w:rPr>
          <w:rFonts w:cs="Times New Roman"/>
          <w:vertAlign w:val="superscript"/>
        </w:rPr>
        <w:t>3</w:t>
      </w:r>
      <w:r>
        <w:rPr>
          <w:rFonts w:cs="Times New Roman"/>
        </w:rPr>
        <w:t>，供水范围为伊吾县淖毛湖地区10万居民、3万流动人口及6.3万头牲畜的人畜饮水，淖毛湖镇0.47万亩公益林的灌溉用水，年供水量359.57万m</w:t>
      </w:r>
      <w:r>
        <w:rPr>
          <w:rFonts w:cs="Times New Roman"/>
          <w:vertAlign w:val="superscript"/>
        </w:rPr>
        <w:t>3</w:t>
      </w:r>
      <w:r>
        <w:rPr>
          <w:rFonts w:cs="Times New Roman"/>
        </w:rPr>
        <w:t>；根据主体设计，可研阶段代尔昆代工程建设位置、规模、供水范围及供水量、建设时序等均与流域综合规划阶段一致，因此本工程建设符合《伊吾县代尔昆代郭勒流域综合规划》。</w:t>
      </w:r>
    </w:p>
    <w:p>
      <w:pPr>
        <w:pStyle w:val="62"/>
        <w:rPr>
          <w:rFonts w:cs="Times New Roman"/>
        </w:rPr>
      </w:pPr>
      <w:r>
        <w:rPr>
          <w:rFonts w:cs="Times New Roman"/>
        </w:rPr>
        <w:t>3.2.2.2 与流域综合规划环评的符合性分析</w:t>
      </w:r>
    </w:p>
    <w:p>
      <w:pPr>
        <w:ind w:firstLine="480"/>
        <w:rPr>
          <w:rFonts w:cs="Times New Roman"/>
        </w:rPr>
      </w:pPr>
      <w:r>
        <w:rPr>
          <w:rFonts w:cs="Times New Roman"/>
        </w:rPr>
        <w:t>《伊吾县代尔昆代郭勒流域综合规划环境影响报告书》于2024年9月取得哈密市生态环境局《关于＜伊吾县代尔昆代郭勒流域综合规划环境影响报告书＞的审查意见》（哈市环审[2024]1号）。</w:t>
      </w:r>
    </w:p>
    <w:p>
      <w:pPr>
        <w:ind w:firstLine="480"/>
        <w:rPr>
          <w:rFonts w:cs="Times New Roman"/>
        </w:rPr>
      </w:pPr>
      <w:r>
        <w:rPr>
          <w:rFonts w:cs="Times New Roman"/>
        </w:rPr>
        <w:t>流域综合规划环评认为：代尔昆代郭勒河流域综合规划实施后，</w:t>
      </w:r>
      <w:r>
        <w:rPr>
          <w:rFonts w:hint="eastAsia" w:cs="Times New Roman"/>
          <w:lang w:eastAsia="zh-CN"/>
        </w:rPr>
        <w:t>将</w:t>
      </w:r>
      <w:r>
        <w:rPr>
          <w:rFonts w:cs="Times New Roman"/>
        </w:rPr>
        <w:t>向淖毛湖地区增加地表水供给量，从而减少淖毛湖区域地下水开采量，可优化淖毛湖地区水资源配置，使其符合伊吾县淖毛湖地区用水总量控制指标要求；下泄原河道水量相应减少，对代尔昆代郭勒河河流水质、区域地下水、流域生态系统的结构与功能影响不明显，会对流域水生生境产生一定不利影响，在落实生态基流优化调整建议、水资源管理等措施后，流域规划目标基本可以实现。</w:t>
      </w:r>
    </w:p>
    <w:p>
      <w:pPr>
        <w:ind w:firstLine="480"/>
        <w:rPr>
          <w:rFonts w:cs="Times New Roman"/>
        </w:rPr>
      </w:pPr>
      <w:r>
        <w:rPr>
          <w:rFonts w:cs="Times New Roman"/>
        </w:rPr>
        <w:t>针对流域水资源开发，代尔昆代郭勒流域综合规划环境影响报告书及其审查意见提出的主要环保要求与本工程的协调性分析见表3.2-1。</w:t>
      </w:r>
    </w:p>
    <w:p>
      <w:pPr>
        <w:pStyle w:val="137"/>
        <w:spacing w:before="62"/>
      </w:pPr>
      <w:r>
        <w:t>表3.2-1               与流域综合环评的协调性分析汇总表</w:t>
      </w:r>
    </w:p>
    <w:tbl>
      <w:tblPr>
        <w:tblStyle w:val="40"/>
        <w:tblW w:w="92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2864"/>
        <w:gridCol w:w="5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675" w:type="dxa"/>
            <w:vAlign w:val="center"/>
          </w:tcPr>
          <w:p>
            <w:pPr>
              <w:pStyle w:val="136"/>
            </w:pPr>
            <w:r>
              <w:t>序号</w:t>
            </w:r>
          </w:p>
        </w:tc>
        <w:tc>
          <w:tcPr>
            <w:tcW w:w="2864" w:type="dxa"/>
            <w:vAlign w:val="center"/>
          </w:tcPr>
          <w:p>
            <w:pPr>
              <w:pStyle w:val="136"/>
            </w:pPr>
            <w:r>
              <w:t>环评要求</w:t>
            </w:r>
          </w:p>
        </w:tc>
        <w:tc>
          <w:tcPr>
            <w:tcW w:w="5736" w:type="dxa"/>
            <w:vAlign w:val="center"/>
          </w:tcPr>
          <w:p>
            <w:pPr>
              <w:pStyle w:val="136"/>
            </w:pPr>
            <w:r>
              <w:t>本工程与流域综合规划环评协调性分析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pStyle w:val="136"/>
            </w:pPr>
            <w:r>
              <w:t>1</w:t>
            </w:r>
          </w:p>
        </w:tc>
        <w:tc>
          <w:tcPr>
            <w:tcW w:w="2864" w:type="dxa"/>
            <w:vAlign w:val="center"/>
          </w:tcPr>
          <w:p>
            <w:pPr>
              <w:pStyle w:val="136"/>
              <w:jc w:val="both"/>
            </w:pPr>
            <w:r>
              <w:t>代尔昆代水库供水灌区引水量及引水过程，须满足规划提出的水资源配置方案要求及最严格水资源管理规定“三条红线”指标要求</w:t>
            </w:r>
          </w:p>
        </w:tc>
        <w:tc>
          <w:tcPr>
            <w:tcW w:w="5736" w:type="dxa"/>
            <w:vAlign w:val="center"/>
          </w:tcPr>
          <w:p>
            <w:pPr>
              <w:pStyle w:val="136"/>
              <w:jc w:val="both"/>
            </w:pPr>
            <w:r>
              <w:t>（1）根据主体设计，代尔昆代水库设计年供水量359.57万m</w:t>
            </w:r>
            <w:r>
              <w:rPr>
                <w:vertAlign w:val="superscript"/>
              </w:rPr>
              <w:t>3</w:t>
            </w:r>
            <w:r>
              <w:t>，低于县域内调整后的代尔昆代郭勒河用水总量指标360万m</w:t>
            </w:r>
            <w:r>
              <w:rPr>
                <w:vertAlign w:val="superscript"/>
              </w:rPr>
              <w:t>3</w:t>
            </w:r>
            <w:r>
              <w:t>上线要求，同时符合流域规划阶段提出的代尔昆代水库供水规模；</w:t>
            </w:r>
          </w:p>
          <w:p>
            <w:pPr>
              <w:pStyle w:val="136"/>
              <w:jc w:val="both"/>
            </w:pPr>
            <w:r>
              <w:t>（2）设计年，工程供水灌区灌溉水利用系数0.7、万元工业增加值用水定额30m</w:t>
            </w:r>
            <w:r>
              <w:rPr>
                <w:vertAlign w:val="superscript"/>
              </w:rPr>
              <w:t>3</w:t>
            </w:r>
            <w:r>
              <w:t>/万元均满足当地用水效率控制要求；</w:t>
            </w:r>
          </w:p>
          <w:p>
            <w:pPr>
              <w:pStyle w:val="136"/>
              <w:jc w:val="both"/>
            </w:pPr>
            <w:r>
              <w:t>（3）预测分析结果显示，工程建成后代尔昆代河水质可维持现状，满足水环境功能区划水质要求；</w:t>
            </w:r>
          </w:p>
          <w:p>
            <w:pPr>
              <w:pStyle w:val="136"/>
              <w:jc w:val="both"/>
            </w:pPr>
            <w:r>
              <w:t>综上，本工程建设符合最严格水资源管理规定。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5" w:hRule="atLeast"/>
          <w:jc w:val="center"/>
        </w:trPr>
        <w:tc>
          <w:tcPr>
            <w:tcW w:w="675" w:type="dxa"/>
            <w:vAlign w:val="center"/>
          </w:tcPr>
          <w:p>
            <w:pPr>
              <w:pStyle w:val="136"/>
            </w:pPr>
            <w:r>
              <w:t>2</w:t>
            </w:r>
          </w:p>
        </w:tc>
        <w:tc>
          <w:tcPr>
            <w:tcW w:w="2864" w:type="dxa"/>
            <w:vAlign w:val="center"/>
          </w:tcPr>
          <w:p>
            <w:pPr>
              <w:pStyle w:val="136"/>
              <w:jc w:val="both"/>
            </w:pPr>
            <w:r>
              <w:t>（1）代尔昆代水库坝址断面生态流量保障率为p=85%，具体要求为：代尔昆代水库坝址断面（1～5月、10～12月）下泄生态流量不低于多年平均流量的10%；6月、9月，下泄生态流量不低于多年平均流量的19%；汛期7月、8月下泄生态流量不低于多年平均流量的30%。</w:t>
            </w:r>
          </w:p>
          <w:p>
            <w:pPr>
              <w:pStyle w:val="136"/>
              <w:jc w:val="both"/>
            </w:pPr>
            <w:r>
              <w:t>（2）后期在淖毛湖区域工业用水有替代水源或通过提高工业用水重复利用率、灌溉节水效率后，应适当减少代尔昆代水库向淖毛湖区域供水，使代尔昆代郭勒流域6月、9月下泄生态水量达到多年平均天然流量的30%</w:t>
            </w:r>
          </w:p>
          <w:p>
            <w:pPr>
              <w:pStyle w:val="136"/>
              <w:jc w:val="both"/>
            </w:pPr>
            <w:r>
              <w:t>（3）规划环评审查意见提出水库工程坝址断面下泄生态流量：丰水期不小于多年平均天然径流量的30%、枯水期不小于多年平均天然径流量的10%。</w:t>
            </w:r>
          </w:p>
        </w:tc>
        <w:tc>
          <w:tcPr>
            <w:tcW w:w="5736" w:type="dxa"/>
            <w:vAlign w:val="center"/>
          </w:tcPr>
          <w:p>
            <w:pPr>
              <w:pStyle w:val="136"/>
              <w:jc w:val="both"/>
            </w:pPr>
            <w:r>
              <w:t>（1）根据主体设计，代尔昆代水库坝址断面生态流量保证率为85%；代尔昆代水库坝址断面多年平均流量0.26m</w:t>
            </w:r>
            <w:r>
              <w:rPr>
                <w:vertAlign w:val="superscript"/>
              </w:rPr>
              <w:t>3</w:t>
            </w:r>
            <w:r>
              <w:t>/s，p=85%来水频率，可研阶段主体设计1～5月、10～12月下泄生态流量占多年平均流量的4.28～8.7%，6月、9月下泄生态流量占比均为10.12%，7月、8月下泄生态流量占比均分别为22.4%、25.42%，年下泄生态水量83.44万m</w:t>
            </w:r>
            <w:r>
              <w:rPr>
                <w:vertAlign w:val="superscript"/>
              </w:rPr>
              <w:t>3</w:t>
            </w:r>
            <w:r>
              <w:t>，不完全满足流域综合规划环评要求；</w:t>
            </w:r>
          </w:p>
          <w:p>
            <w:pPr>
              <w:pStyle w:val="136"/>
              <w:jc w:val="both"/>
            </w:pPr>
            <w:r>
              <w:t>（2）主体设计在放水管末端阀井内布置了生态放水管（DN200、设计流量0.068m</w:t>
            </w:r>
            <w:r>
              <w:rPr>
                <w:vertAlign w:val="superscript"/>
              </w:rPr>
              <w:t>3</w:t>
            </w:r>
            <w:r>
              <w:t>/s），经复核生态放水管设计流量偏小无法泄放30%生态流量。</w:t>
            </w:r>
          </w:p>
          <w:p>
            <w:pPr>
              <w:pStyle w:val="136"/>
              <w:jc w:val="both"/>
            </w:pPr>
            <w:r>
              <w:t>（3）本次工程环评提出，适当扩大生态放水管设计规模，使其能下泄30%生态流量；主体设计优化水库调度运行，近期按流域综合规划环评要求增加坝址处下泄的生态水量，使其不少于124.13万m</w:t>
            </w:r>
            <w:r>
              <w:rPr>
                <w:vertAlign w:val="superscript"/>
              </w:rPr>
              <w:t>3</w:t>
            </w:r>
            <w:r>
              <w:t>；后期，在本工程运行后适时开展监测和环境影响后评价，在淖毛湖区域工业用水有替代水源或通过提高工业用水重复利用率、灌溉节水效率后，应适当减少代尔昆代水库向淖毛湖区域供水，使代尔昆代郭勒流域6月、9月下泄生态水量达到多年平均天然流量的30%，以满足规划环评审批意见要求。</w:t>
            </w:r>
          </w:p>
          <w:p>
            <w:pPr>
              <w:pStyle w:val="136"/>
              <w:jc w:val="both"/>
            </w:pPr>
            <w:r>
              <w:t>综上，在优化生态放水管设计与水库调度运行后，本工程建设运行符合规划阶段的生态流量泄放要求。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pStyle w:val="136"/>
            </w:pPr>
            <w:r>
              <w:t>3</w:t>
            </w:r>
          </w:p>
        </w:tc>
        <w:tc>
          <w:tcPr>
            <w:tcW w:w="2864" w:type="dxa"/>
            <w:vAlign w:val="center"/>
          </w:tcPr>
          <w:p>
            <w:pPr>
              <w:pStyle w:val="136"/>
              <w:jc w:val="both"/>
            </w:pPr>
            <w:r>
              <w:t>对于占用红线区工程，必须严格遵循生态保护红线的要求。</w:t>
            </w:r>
          </w:p>
        </w:tc>
        <w:tc>
          <w:tcPr>
            <w:tcW w:w="5736" w:type="dxa"/>
            <w:vAlign w:val="center"/>
          </w:tcPr>
          <w:p>
            <w:pPr>
              <w:pStyle w:val="136"/>
              <w:jc w:val="both"/>
            </w:pPr>
            <w:r>
              <w:t>据叠图分析，代尔昆代水库坝址及淹没区位于东天山水源涵养与生物多样性维护生态保护红线区，作为基础水利设施，代尔昆代水库工程属于《自然资源部生态环境部国家林业和草原局关于加强生态保护红线管理的通知（试行）》（自然资发〔2022〕142号）文件要求的有限人为活动，据分析本工程占用红线范围有限、</w:t>
            </w:r>
            <w:r>
              <w:rPr>
                <w:rFonts w:hint="eastAsia"/>
                <w:lang w:eastAsia="zh-CN"/>
              </w:rPr>
              <w:t>占用地区植被</w:t>
            </w:r>
            <w:r>
              <w:t>稀疏，对红线区水源涵养功能影响微小，在按红线管理规定办理相关手续后，工程建设符合生态红线管理要求。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pStyle w:val="136"/>
            </w:pPr>
            <w:r>
              <w:t>4</w:t>
            </w:r>
          </w:p>
        </w:tc>
        <w:tc>
          <w:tcPr>
            <w:tcW w:w="2864" w:type="dxa"/>
            <w:vAlign w:val="center"/>
          </w:tcPr>
          <w:p>
            <w:pPr>
              <w:pStyle w:val="136"/>
              <w:jc w:val="both"/>
            </w:pPr>
            <w:r>
              <w:t>规划实施后，</w:t>
            </w:r>
            <w:r>
              <w:rPr>
                <w:rFonts w:hint="eastAsia"/>
                <w:lang w:eastAsia="zh-CN"/>
              </w:rPr>
              <w:t>将</w:t>
            </w:r>
            <w:r>
              <w:t>代尔昆代库及以上区域划为饮用水水源保护区，严格按照国家及地方的相关的饮用水水源保护区的法律、法规、条例执行，以保障用水水质。</w:t>
            </w:r>
          </w:p>
        </w:tc>
        <w:tc>
          <w:tcPr>
            <w:tcW w:w="5736" w:type="dxa"/>
            <w:vAlign w:val="center"/>
          </w:tcPr>
          <w:p>
            <w:pPr>
              <w:pStyle w:val="136"/>
              <w:jc w:val="both"/>
            </w:pPr>
            <w:r>
              <w:t>本次环评工作提出，代尔昆代水库</w:t>
            </w:r>
            <w:r>
              <w:rPr>
                <w:rFonts w:hint="eastAsia"/>
                <w:lang w:eastAsia="zh-CN"/>
              </w:rPr>
              <w:t>将</w:t>
            </w:r>
            <w:r>
              <w:t>承担淖毛湖区域人畜供水任务，在水库投入运行后，须按饮用水水源地规划审批要求，</w:t>
            </w:r>
            <w:r>
              <w:rPr>
                <w:rFonts w:hint="eastAsia"/>
                <w:lang w:eastAsia="zh-CN"/>
              </w:rPr>
              <w:t>将</w:t>
            </w:r>
            <w:r>
              <w:t>引水口及其附近汇水范围划为饮用水源保护区进行管理，以保障用水水质，符合规划环评要求。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pStyle w:val="136"/>
            </w:pPr>
            <w:r>
              <w:t>5</w:t>
            </w:r>
          </w:p>
        </w:tc>
        <w:tc>
          <w:tcPr>
            <w:tcW w:w="2864" w:type="dxa"/>
            <w:vAlign w:val="center"/>
          </w:tcPr>
          <w:p>
            <w:pPr>
              <w:pStyle w:val="136"/>
              <w:jc w:val="both"/>
            </w:pPr>
            <w:r>
              <w:t>科学选址，合理布置，一地多能，综合利用，尽可能少占或者不占用陆生植物集中分布的区域</w:t>
            </w:r>
          </w:p>
        </w:tc>
        <w:tc>
          <w:tcPr>
            <w:tcW w:w="5736" w:type="dxa"/>
            <w:vAlign w:val="center"/>
          </w:tcPr>
          <w:p>
            <w:pPr>
              <w:pStyle w:val="136"/>
              <w:jc w:val="both"/>
            </w:pPr>
            <w:r>
              <w:t>代尔昆代水库建设河段，地表植被稀疏，本次环评对工程不同坝址方案及施工规划方案进行了比选；</w:t>
            </w:r>
            <w:r>
              <w:rPr>
                <w:rFonts w:hint="eastAsia"/>
                <w:lang w:eastAsia="zh-CN"/>
              </w:rPr>
              <w:t>将</w:t>
            </w:r>
            <w:r>
              <w:t>永久与临时设施综合利用，减少了地表扰动和植被破坏，减轻水土流失危害。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75" w:type="dxa"/>
            <w:gridSpan w:val="3"/>
            <w:vAlign w:val="center"/>
          </w:tcPr>
          <w:p>
            <w:pPr>
              <w:pStyle w:val="136"/>
            </w:pPr>
            <w:r>
              <w:t>综上分析，在采取相应环保措施后，本工程建设满足流域综合规划环评相关环保要求。</w:t>
            </w:r>
          </w:p>
        </w:tc>
      </w:tr>
    </w:tbl>
    <w:p>
      <w:pPr>
        <w:ind w:firstLine="480"/>
        <w:rPr>
          <w:rFonts w:cs="Times New Roman"/>
        </w:rPr>
      </w:pPr>
    </w:p>
    <w:p>
      <w:pPr>
        <w:pStyle w:val="4"/>
        <w:rPr>
          <w:rFonts w:cs="Times New Roman"/>
        </w:rPr>
      </w:pPr>
      <w:r>
        <w:rPr>
          <w:rFonts w:cs="Times New Roman"/>
        </w:rPr>
        <w:t>3.2.3 与生态环境保护规划的符合性分析</w:t>
      </w:r>
    </w:p>
    <w:p>
      <w:pPr>
        <w:pStyle w:val="62"/>
        <w:rPr>
          <w:rFonts w:cs="Times New Roman"/>
        </w:rPr>
      </w:pPr>
      <w:r>
        <w:rPr>
          <w:rFonts w:cs="Times New Roman"/>
        </w:rPr>
        <w:t>3.2.3.1 与《新疆生态环境保护“十四五”规划》的符合性分析</w:t>
      </w:r>
    </w:p>
    <w:p>
      <w:pPr>
        <w:ind w:firstLine="480"/>
        <w:rPr>
          <w:rFonts w:cs="Times New Roman"/>
        </w:rPr>
      </w:pPr>
      <w:r>
        <w:rPr>
          <w:rFonts w:cs="Times New Roman"/>
        </w:rPr>
        <w:t>《新疆生态环境保护“十四五”规划》第六章提出强化“三水统筹”，提升水生态环境。推进“三水”统筹管理，加强水资源、水生态、水环境系统管理；持续深化水污染治理，加大入河排污口排查整治；积极推动水生态修复，保障基本生态用水；防范水环境风险，提升饮用水安全保障水平。</w:t>
      </w:r>
    </w:p>
    <w:p>
      <w:pPr>
        <w:ind w:firstLine="480"/>
        <w:rPr>
          <w:rFonts w:cs="Times New Roman"/>
        </w:rPr>
      </w:pPr>
      <w:r>
        <w:rPr>
          <w:rFonts w:cs="Times New Roman"/>
        </w:rPr>
        <w:t>代尔昆代郭勒河为典型的山溪性小河流，地表明流在山区河段就转化为地下潜流，现状地表水未被开发利用，部分潜流在下游下马崖乡政府一带与相邻潜流汇集后出露，用于农业灌溉，据调查流域无入河排污口、水质良好，无土著鱼类等水生生态保护目标，工程建设区及下游河谷主要是荒漠生态系统，无连片集中分布的河谷植被。代尔昆代水库工程为伊吾县水资源调蓄工程，工程建设任务为向淖毛湖区域人、畜饮水和公益林灌溉用水补水，可解决淖毛湖区域供用水矛盾，提升饮用水安全保障水平；工程建设运行</w:t>
      </w:r>
      <w:r>
        <w:rPr>
          <w:rFonts w:hint="eastAsia" w:cs="Times New Roman"/>
          <w:lang w:eastAsia="zh-CN"/>
        </w:rPr>
        <w:t>将</w:t>
      </w:r>
      <w:r>
        <w:rPr>
          <w:rFonts w:cs="Times New Roman"/>
        </w:rPr>
        <w:t>减少河道下泄水量，对河谷生态影响不明显，对下游潜水溢出带有一定不利影响，工程设计在进行水资源开发利用的同时，河道内保留了一定的生态基流，本次评价工作对工程实施后的水环境、生态环境的影响开展了细致全面的分析评价，并提出了优化生态放水管和水库调度，增加生态基流下泄量等环境保护措施，可在很大程度上缓解工程建设运行对环境的不利影响。</w:t>
      </w:r>
    </w:p>
    <w:p>
      <w:pPr>
        <w:ind w:firstLine="480"/>
        <w:rPr>
          <w:rFonts w:cs="Times New Roman"/>
        </w:rPr>
      </w:pPr>
      <w:r>
        <w:rPr>
          <w:rFonts w:cs="Times New Roman"/>
        </w:rPr>
        <w:t>综上所述，在严格落实生态基流下泄措施后，工程建设运行符合《新疆生态环境保护“十四五”规划》保护要求。</w:t>
      </w:r>
    </w:p>
    <w:p>
      <w:pPr>
        <w:pStyle w:val="62"/>
        <w:rPr>
          <w:rFonts w:cs="Times New Roman"/>
        </w:rPr>
      </w:pPr>
      <w:r>
        <w:rPr>
          <w:rFonts w:cs="Times New Roman"/>
        </w:rPr>
        <w:t>3.2.3.2 与《哈密市生态环境保护“十四五”规划》的符合性分析</w:t>
      </w:r>
    </w:p>
    <w:p>
      <w:pPr>
        <w:ind w:firstLine="480"/>
        <w:rPr>
          <w:rFonts w:cs="Times New Roman"/>
        </w:rPr>
      </w:pPr>
      <w:r>
        <w:rPr>
          <w:rFonts w:cs="Times New Roman"/>
        </w:rPr>
        <w:t>哈密市生态环境保护“十四五”规划提出：“推进三水统筹管理。强化水资源刚性约束，坚持以水定城、以水定地、以水定人、以水定产，深入推进最严格水资源管理制度，严格实行区域用水总量和强度控制，强化节水约束性指标管理。持续推进哈密山南地下水超采区超采综合治理。严格河湖生态流量管理，增加生态用水保障，促进水生态恢复。实施国家节水行动，优化调整用水结构，全面加强节水能力建设。”“着力保障供水安全。加强水利基础设施建设，进一步提高水资源保障能力。有序推进城市应急备用水源工程建设和配套管网等设施建设。开展水源条件和周边污染源调查评估，合理确定饮用水水源地取水口。对于短时间内无法解决水量不足或水质超标问题的饮用水水源地，应当采取补充、更换水源或强化水厂处理工艺等方式保障饮水安全。”</w:t>
      </w:r>
    </w:p>
    <w:p>
      <w:pPr>
        <w:ind w:firstLine="480"/>
        <w:rPr>
          <w:rFonts w:cs="Times New Roman"/>
        </w:rPr>
      </w:pPr>
      <w:r>
        <w:rPr>
          <w:rFonts w:cs="Times New Roman"/>
        </w:rPr>
        <w:t>代尔昆代水库区位于代尔昆代郭勒流域，流域现状无控制性工程，地表水资源基本处于原生状态。代尔昆代水库的建设，可以实现伊吾县淖毛湖地区水资源优化配置，在保障代尔昆代郭勒河生态水量的前提下，合理开发利用地表水，解决淖毛湖区域供用水矛盾，实现水资源节约集约利用；代尔昆代水库向淖毛湖区域人、畜饮水和公益林灌溉补水后，有利于实现淖毛湖地区地下水减采并符合最严格水资源管理制度地下水用水总量指标要求，同时水库建设可进一步巩固提升淖毛湖地区饮用水安全保障水平，助推乡村振兴战略，因此，代尔昆代水库建设，符合哈密市生态环境保护“十四五”规划的有关要求。</w:t>
      </w:r>
    </w:p>
    <w:p>
      <w:pPr>
        <w:pStyle w:val="4"/>
        <w:rPr>
          <w:rFonts w:cs="Times New Roman"/>
        </w:rPr>
      </w:pPr>
      <w:r>
        <w:rPr>
          <w:rFonts w:cs="Times New Roman"/>
        </w:rPr>
        <w:t>3.2.4 与国土空间总体规划的符合性</w:t>
      </w:r>
    </w:p>
    <w:p>
      <w:pPr>
        <w:pStyle w:val="62"/>
        <w:rPr>
          <w:rFonts w:cs="Times New Roman"/>
        </w:rPr>
      </w:pPr>
      <w:r>
        <w:rPr>
          <w:rFonts w:cs="Times New Roman"/>
        </w:rPr>
        <w:t>3.2.4.1自治区国土空间规划简况</w:t>
      </w:r>
    </w:p>
    <w:p>
      <w:pPr>
        <w:ind w:firstLine="480"/>
        <w:rPr>
          <w:rFonts w:cs="Times New Roman"/>
        </w:rPr>
      </w:pPr>
      <w:r>
        <w:rPr>
          <w:rFonts w:cs="Times New Roman"/>
        </w:rPr>
        <w:t>国务院以国函[2024]70号批准了《新疆维吾尔自治区国土空间规划（2021-2035年）》。</w:t>
      </w:r>
    </w:p>
    <w:p>
      <w:pPr>
        <w:ind w:firstLine="480"/>
        <w:rPr>
          <w:rFonts w:cs="Times New Roman"/>
        </w:rPr>
      </w:pPr>
      <w:r>
        <w:rPr>
          <w:rFonts w:cs="Times New Roman"/>
        </w:rPr>
        <w:t>根据规划，新疆的总体定位为亚欧黄金通道和向西开放的桥头堡、构建新发展格局的战略支点、全国能源资源战略保障基地、全国优质农牧产品重要供给基地、维护国家地缘安全的战略屏障。</w:t>
      </w:r>
    </w:p>
    <w:p>
      <w:pPr>
        <w:ind w:firstLine="480"/>
        <w:rPr>
          <w:rFonts w:cs="Times New Roman"/>
        </w:rPr>
      </w:pPr>
      <w:r>
        <w:rPr>
          <w:rFonts w:cs="Times New Roman"/>
        </w:rPr>
        <w:t>新疆国土空间总体格局是：以“三区三线”为基础，构建国土空间开发保护新格局；</w:t>
      </w:r>
      <w:r>
        <w:rPr>
          <w:rFonts w:hint="eastAsia" w:cs="Times New Roman"/>
          <w:lang w:eastAsia="zh-CN"/>
        </w:rPr>
        <w:t>将</w:t>
      </w:r>
      <w:r>
        <w:rPr>
          <w:rFonts w:cs="Times New Roman"/>
        </w:rPr>
        <w:t>耕地和永久基本农田、生态保护红线、城镇开发边界三条控制线作为构建国土空间开发保护总体格局的基础，按照耕地和永久基本农田、生态保护红线、城镇开发边界优先序，统筹划定三条控制线，制定分类管控机制，统筹优化国土空间的布局结构。</w:t>
      </w:r>
    </w:p>
    <w:p>
      <w:pPr>
        <w:ind w:firstLine="480"/>
        <w:rPr>
          <w:rFonts w:cs="Times New Roman"/>
        </w:rPr>
      </w:pPr>
      <w:r>
        <w:rPr>
          <w:rFonts w:cs="Times New Roman"/>
        </w:rPr>
        <w:t>构建“两带八区”“三屏两环”“两圈一群两带”的国土空间开发保护总体格局。</w:t>
      </w:r>
    </w:p>
    <w:p>
      <w:pPr>
        <w:ind w:firstLine="480"/>
        <w:rPr>
          <w:rFonts w:cs="Times New Roman"/>
        </w:rPr>
      </w:pPr>
      <w:r>
        <w:rPr>
          <w:rFonts w:cs="Times New Roman"/>
        </w:rPr>
        <w:t>“两带八区”是指天山北坡农业发展带、天山南坡农业发展带和额尔齐斯河-乌伦古河流域、塔城-额敏谷底绿洲、伊犁河谷、哈密盆地、阿克苏河流域、喀什噶尔河-叶尔羌河流域、和田河-尼雅河流域、车尔臣河流域等八大综合农业发展片区，发挥引领农牧业现代化、推动绿洲农业多元发展的作用。</w:t>
      </w:r>
    </w:p>
    <w:p>
      <w:pPr>
        <w:ind w:firstLine="480"/>
        <w:rPr>
          <w:rFonts w:cs="Times New Roman"/>
        </w:rPr>
      </w:pPr>
      <w:r>
        <w:rPr>
          <w:rFonts w:cs="Times New Roman"/>
        </w:rPr>
        <w:t>“三屏两环”是指阿尔泰山、天山、昆仑山-阿尔金山三条主干山脉形成的生态屏障和沿塔里木盆地和准噶尔盆地分布的两个绿洲生态环，是维持新疆生态系统功能稳定的基本生态骨架，是防止沙漠扩张、维护绿洲稳定安全的重要区域。</w:t>
      </w:r>
    </w:p>
    <w:p>
      <w:pPr>
        <w:ind w:firstLine="480"/>
        <w:rPr>
          <w:rFonts w:cs="Times New Roman"/>
        </w:rPr>
      </w:pPr>
      <w:r>
        <w:rPr>
          <w:rFonts w:cs="Times New Roman"/>
        </w:rPr>
        <w:t>“两圈一群两带”是指乌鲁木齐都市圈、喀什城市圈、天山北坡城市群、北疆城市带和环塔里木盆地城镇带，是新疆高质量发展的空间统领，发挥统筹发展与安全的战略作用。</w:t>
      </w:r>
    </w:p>
    <w:p>
      <w:pPr>
        <w:ind w:firstLine="480"/>
        <w:rPr>
          <w:rFonts w:cs="Times New Roman"/>
        </w:rPr>
      </w:pPr>
      <w:r>
        <w:rPr>
          <w:rFonts w:cs="Times New Roman"/>
        </w:rPr>
        <w:t>打造六大制造业集聚区。重点保障煤炭煤电煤化工、绿色矿业等八大产业集群发展。依托产业集聚区，重点保障产业集群化发展空间，支持县（市、区）依托所在产业集聚区发展上下游产业链相关产业的合理空间需求。实施开发区提升工程，规范有序发展各级各类开发区，提高开发区土地利用效率。</w:t>
      </w:r>
    </w:p>
    <w:p>
      <w:pPr>
        <w:pStyle w:val="62"/>
        <w:rPr>
          <w:rFonts w:cs="Times New Roman"/>
        </w:rPr>
      </w:pPr>
      <w:r>
        <w:rPr>
          <w:rFonts w:cs="Times New Roman"/>
        </w:rPr>
        <w:t>3.2.4.2哈密市国土空间规划简况</w:t>
      </w:r>
    </w:p>
    <w:p>
      <w:pPr>
        <w:ind w:firstLine="480"/>
        <w:rPr>
          <w:rFonts w:cs="Times New Roman"/>
        </w:rPr>
      </w:pPr>
      <w:r>
        <w:rPr>
          <w:rFonts w:cs="Times New Roman"/>
        </w:rPr>
        <w:t>《哈密市国土空间总体规划（2021-2035年）》提出，哈密市一市两县国土空间</w:t>
      </w:r>
      <w:r>
        <w:rPr>
          <w:rFonts w:hint="eastAsia" w:cs="Times New Roman"/>
          <w:lang w:eastAsia="zh-CN"/>
        </w:rPr>
        <w:t>将</w:t>
      </w:r>
      <w:r>
        <w:rPr>
          <w:rFonts w:cs="Times New Roman"/>
        </w:rPr>
        <w:t>形成“3+3”主体功能</w:t>
      </w:r>
      <w:r>
        <w:rPr>
          <w:rFonts w:hint="eastAsia" w:cs="Times New Roman"/>
          <w:lang w:val="en-US" w:eastAsia="zh-CN"/>
        </w:rPr>
        <w:t>区</w:t>
      </w:r>
      <w:r>
        <w:rPr>
          <w:rFonts w:cs="Times New Roman"/>
        </w:rPr>
        <w:t>战略格局，即农产品主产区+重点生态功能区+城市化发展区3种基本功能类型，能源资源富集区+历史文化资源富集区+边境地区3个叠加功能类型。构建以一市三县城区为核心、三塘湖与淖毛湖能源化工产业带、东天山生态屏障的“三核一带，一屏五区两轴”国土空间格局。</w:t>
      </w:r>
    </w:p>
    <w:p>
      <w:pPr>
        <w:ind w:firstLine="480"/>
        <w:rPr>
          <w:rFonts w:cs="Times New Roman"/>
        </w:rPr>
      </w:pPr>
      <w:r>
        <w:rPr>
          <w:rFonts w:cs="Times New Roman"/>
        </w:rPr>
        <w:t>打造“一屏两区、多廊多带多节点”的生态保护格局。多廊：多条水系生态廊道，二道沟、四道沟、石城子河、榆树沟、二道白杨沟、伊吾河、代尔昆代郭勒沟等水系生态廊道”。</w:t>
      </w:r>
    </w:p>
    <w:p>
      <w:pPr>
        <w:pStyle w:val="62"/>
        <w:rPr>
          <w:rFonts w:cs="Times New Roman"/>
        </w:rPr>
      </w:pPr>
      <w:r>
        <w:rPr>
          <w:rFonts w:cs="Times New Roman"/>
        </w:rPr>
        <w:t>3.2.4.3 符合性分析</w:t>
      </w:r>
    </w:p>
    <w:p>
      <w:pPr>
        <w:ind w:firstLine="480"/>
        <w:rPr>
          <w:rFonts w:cs="Times New Roman"/>
        </w:rPr>
      </w:pPr>
      <w:r>
        <w:rPr>
          <w:rFonts w:cs="Times New Roman"/>
        </w:rPr>
        <w:t>哈密盆地作为新疆国土空间规划的八大综合农业发展区、六大制造业集聚区，伊吾县淖毛湖地区位于哈密国土空间规划的现代能源与化工产业带上，经济发展潜力大，但哈密地区气候干旱，水资源短缺，又制约了地区经济进一步发展。代尔昆代水库工程为伊吾县水资源调蓄工程，工程建设任务为向淖毛湖区域人、畜饮水和公益林灌溉用水补水，可解决淖毛湖区域供用水矛盾，提升饮用水安全保障水平，对促进当地经济社会发展具有重要作用。</w:t>
      </w:r>
    </w:p>
    <w:p>
      <w:pPr>
        <w:ind w:firstLine="480"/>
        <w:rPr>
          <w:rFonts w:cs="Times New Roman"/>
        </w:rPr>
      </w:pPr>
      <w:r>
        <w:rPr>
          <w:rFonts w:cs="Times New Roman"/>
        </w:rPr>
        <w:t>据叠图分析，代尔昆代水库坝址及淹没区位于东天山水源涵养与生物多样性维护生态保护红线区；作为基础水利设施，代尔昆代水库工程属于《自然资源部生态环境部国家林业和草原局关于加强生态保护红线管理的通知（试行）》（自然资发〔2022〕142号）文件要求的有限人为活动；据分析本工程占用红线范围有限、</w:t>
      </w:r>
      <w:r>
        <w:rPr>
          <w:rFonts w:hint="eastAsia" w:cs="Times New Roman"/>
          <w:lang w:eastAsia="zh-CN"/>
        </w:rPr>
        <w:t>占用地区植被</w:t>
      </w:r>
      <w:r>
        <w:rPr>
          <w:rFonts w:cs="Times New Roman"/>
        </w:rPr>
        <w:t>稀疏，对红线区水源涵养功能影响微小，在按红线管理规定办理相关手续后，工程建设符合生态红线管理要求。</w:t>
      </w:r>
    </w:p>
    <w:p>
      <w:pPr>
        <w:ind w:firstLine="480"/>
        <w:rPr>
          <w:rFonts w:cs="Times New Roman"/>
        </w:rPr>
      </w:pPr>
      <w:r>
        <w:rPr>
          <w:rFonts w:cs="Times New Roman"/>
        </w:rPr>
        <w:t>代尔昆代郭勒河为典型的山溪性小河流，地表明流在山区河段就转化为地下潜流，现状地表水未被开发利用，部分潜流在下游下马崖乡政府一带与相邻潜流汇集后出露，用于农业灌溉，据调查流域无入河排污口、水质良好，无土著鱼类等水生生态保护目标，工程建设区及下游河谷主要是荒漠生态系统，无连片集中分布的河谷植被。本工程占地规模有限，并非大规模高强度的工业化城镇化开发项目，为生态功能限制开发区允许适度建设内容。据现场调查工程影响河段无集中分布的河谷林草，亦无鱼类资源，</w:t>
      </w:r>
      <w:r>
        <w:rPr>
          <w:rFonts w:hint="eastAsia" w:cs="Times New Roman"/>
          <w:lang w:eastAsia="zh-CN"/>
        </w:rPr>
        <w:t>占用地区植被</w:t>
      </w:r>
      <w:r>
        <w:rPr>
          <w:rFonts w:cs="Times New Roman"/>
        </w:rPr>
        <w:t>以荒漠草原植被为主，工程占地范围小，工程供水对象为既有城镇人畜饮用和生态林灌溉补水，不增加土地资源开发，因此本工程建设不会对区域生态系统的稳定性和完整性产生明显不利影响，在对扰动区采取植被恢复措施、水土保持治理方案后，工程建设不会损害区域生态系统稳定性和完整性，不会对东天山生态屏障的功能产生影响。</w:t>
      </w:r>
    </w:p>
    <w:p>
      <w:pPr>
        <w:ind w:firstLine="480"/>
        <w:rPr>
          <w:rFonts w:cs="Times New Roman"/>
        </w:rPr>
      </w:pPr>
      <w:r>
        <w:rPr>
          <w:rFonts w:cs="Times New Roman"/>
        </w:rPr>
        <w:t>工程建设运行</w:t>
      </w:r>
      <w:r>
        <w:rPr>
          <w:rFonts w:hint="eastAsia" w:cs="Times New Roman"/>
          <w:lang w:eastAsia="zh-CN"/>
        </w:rPr>
        <w:t>将</w:t>
      </w:r>
      <w:r>
        <w:rPr>
          <w:rFonts w:cs="Times New Roman"/>
        </w:rPr>
        <w:t>减少河道下泄水量，对河谷生态影响不明显，对下游潜水溢出带有一定不利影响，工程设计在进行水资源开发利用的同时，河道内保留了一定的生态基流，本次评价工作对工程实施后的水环境、生态环境的影响开展了细致全面的分析评价，并提出了优化生态放水管和水库调度，增加生态基流下泄量等环境保护措施，可在很大程度上缓解工程建设运行对环境的不利影响。</w:t>
      </w:r>
    </w:p>
    <w:p>
      <w:pPr>
        <w:ind w:firstLine="480"/>
        <w:rPr>
          <w:rFonts w:cs="Times New Roman"/>
        </w:rPr>
      </w:pPr>
      <w:r>
        <w:rPr>
          <w:rFonts w:cs="Times New Roman"/>
        </w:rPr>
        <w:t>综上，代尔昆代水库建设，与自治区、哈密市国土空间规划是协调的。</w:t>
      </w:r>
    </w:p>
    <w:p>
      <w:pPr>
        <w:pStyle w:val="4"/>
        <w:rPr>
          <w:rFonts w:cs="Times New Roman"/>
        </w:rPr>
      </w:pPr>
      <w:r>
        <w:rPr>
          <w:rFonts w:cs="Times New Roman"/>
        </w:rPr>
        <w:t>3.2.5 与“三线一单”的符合性分析</w:t>
      </w:r>
    </w:p>
    <w:p>
      <w:pPr>
        <w:pStyle w:val="62"/>
        <w:rPr>
          <w:rFonts w:cs="Times New Roman"/>
        </w:rPr>
      </w:pPr>
      <w:r>
        <w:rPr>
          <w:rFonts w:cs="Times New Roman"/>
        </w:rPr>
        <w:t>3.2.5.1 与生态保护红线的符合性分析</w:t>
      </w:r>
    </w:p>
    <w:p>
      <w:pPr>
        <w:ind w:firstLine="480"/>
        <w:rPr>
          <w:rFonts w:cs="Times New Roman" w:eastAsiaTheme="minorEastAsia"/>
        </w:rPr>
      </w:pPr>
      <w:r>
        <w:rPr>
          <w:rFonts w:cs="Times New Roman" w:eastAsiaTheme="minorEastAsia"/>
        </w:rPr>
        <w:t>（1）与新疆“三线一单”生态环境分区管控方案的符合性分析</w:t>
      </w:r>
    </w:p>
    <w:p>
      <w:pPr>
        <w:tabs>
          <w:tab w:val="right" w:leader="dot" w:pos="8302"/>
        </w:tabs>
        <w:ind w:firstLine="480"/>
        <w:rPr>
          <w:rFonts w:cs="Times New Roman" w:eastAsiaTheme="minorEastAsia"/>
          <w:szCs w:val="24"/>
        </w:rPr>
      </w:pPr>
      <w:r>
        <w:rPr>
          <w:rFonts w:cs="Times New Roman" w:eastAsiaTheme="minorEastAsia"/>
          <w:szCs w:val="24"/>
        </w:rPr>
        <w:t>新疆以其独特的自然地理环境特征和地质条件，形成“三山夹两盆”的地理格局，以阿尔泰山地森林、天山山地草原森林和帕米尔-昆仑山-阿尔金山荒漠草原为屏障，以环塔里木和准噶尔两大盆地边缘绿洲为支撑，以点状分布的省级以上自然保护区、风景名胜区、森林公园、地质公园、重要水源地以及重要湿地组成的新疆“三屏两环”的生态安全格局。</w:t>
      </w:r>
    </w:p>
    <w:p>
      <w:pPr>
        <w:tabs>
          <w:tab w:val="right" w:leader="dot" w:pos="8302"/>
        </w:tabs>
        <w:ind w:firstLine="480"/>
        <w:rPr>
          <w:rFonts w:cs="Times New Roman" w:eastAsiaTheme="minorEastAsia"/>
          <w:szCs w:val="24"/>
        </w:rPr>
      </w:pPr>
      <w:r>
        <w:rPr>
          <w:rFonts w:cs="Times New Roman" w:eastAsiaTheme="minorEastAsia"/>
          <w:szCs w:val="24"/>
        </w:rPr>
        <w:t>2021年2月21日，自治区人民政府以“新政发[2021]18号”印发了新疆“三线一单”生态环境分区管控方案。该方案围绕“三屏两环”的生态安全格局划定了新疆生态环境管控分区，优先保护区集中分布在阿尔泰山、天山、帕米尔-昆仑山-阿尔金山山区，环准噶尔盆地、环塔里木盆地边缘绿洲区，以及额尔齐斯河流域、伊犁河流域、塔里木河流域等重点流域河流廊道区域，与“三屏两环”的生态安全格局相统一。</w:t>
      </w:r>
    </w:p>
    <w:p>
      <w:pPr>
        <w:tabs>
          <w:tab w:val="right" w:leader="dot" w:pos="8302"/>
        </w:tabs>
        <w:ind w:firstLine="480"/>
        <w:rPr>
          <w:rFonts w:cs="Times New Roman" w:eastAsiaTheme="minorEastAsia"/>
          <w:szCs w:val="24"/>
        </w:rPr>
      </w:pPr>
      <w:r>
        <w:rPr>
          <w:rFonts w:cs="Times New Roman" w:eastAsiaTheme="minorEastAsia"/>
          <w:szCs w:val="24"/>
        </w:rPr>
        <w:t>其中，基于新疆各地自然地理条件、资源环境禀赋、经济社会发展状况的差异性，自治区“三线一单”生态环境分区管控方案</w:t>
      </w:r>
      <w:r>
        <w:rPr>
          <w:rFonts w:hint="eastAsia" w:cs="Times New Roman" w:eastAsiaTheme="minorEastAsia"/>
          <w:szCs w:val="24"/>
          <w:lang w:eastAsia="zh-CN"/>
        </w:rPr>
        <w:t>将</w:t>
      </w:r>
      <w:r>
        <w:rPr>
          <w:rFonts w:cs="Times New Roman" w:eastAsiaTheme="minorEastAsia"/>
          <w:szCs w:val="24"/>
        </w:rPr>
        <w:t>全区划分为七大片区，包括北疆北部（塔城地区、阿勒泰地区）、伊犁河谷、克奎乌-博州、乌昌</w:t>
      </w:r>
      <w:r>
        <w:rPr>
          <w:rFonts w:hint="eastAsia" w:cs="Times New Roman" w:eastAsiaTheme="minorEastAsia"/>
          <w:szCs w:val="24"/>
          <w:lang w:val="en-US" w:eastAsia="zh-CN"/>
        </w:rPr>
        <w:t>市</w:t>
      </w:r>
      <w:r>
        <w:rPr>
          <w:rFonts w:cs="Times New Roman" w:eastAsiaTheme="minorEastAsia"/>
          <w:szCs w:val="24"/>
        </w:rPr>
        <w:t>、吐哈、天山南坡（巴州、阿克苏地区）和南疆三地州片区。2021年7月26日，自治区生态环境厅以“新环环评发[2021]162号”印发《新疆维吾尔自治区七大片区“三线一单”生态环境分区管控要求》。代尔昆代水库工程位于其中的吐哈片区，工程建设与吐哈片区管控要求相符性分析见表3.2-2。</w:t>
      </w:r>
    </w:p>
    <w:p>
      <w:pPr>
        <w:pStyle w:val="137"/>
        <w:spacing w:before="62"/>
      </w:pPr>
      <w:r>
        <w:t>表3.2-2                   工程与涉及片区生态管控要求符合性</w:t>
      </w:r>
    </w:p>
    <w:tbl>
      <w:tblPr>
        <w:tblStyle w:val="40"/>
        <w:tblW w:w="9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8"/>
        <w:gridCol w:w="992"/>
        <w:gridCol w:w="3685"/>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6" w:hRule="atLeast"/>
          <w:jc w:val="center"/>
        </w:trPr>
        <w:tc>
          <w:tcPr>
            <w:tcW w:w="988" w:type="dxa"/>
            <w:vAlign w:val="center"/>
          </w:tcPr>
          <w:p>
            <w:pPr>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工程名称</w:t>
            </w:r>
          </w:p>
        </w:tc>
        <w:tc>
          <w:tcPr>
            <w:tcW w:w="992" w:type="dxa"/>
            <w:vAlign w:val="center"/>
          </w:tcPr>
          <w:p>
            <w:pPr>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涉及片区</w:t>
            </w:r>
          </w:p>
        </w:tc>
        <w:tc>
          <w:tcPr>
            <w:tcW w:w="3685" w:type="dxa"/>
            <w:vAlign w:val="center"/>
          </w:tcPr>
          <w:p>
            <w:pPr>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相关管控要求</w:t>
            </w:r>
          </w:p>
        </w:tc>
        <w:tc>
          <w:tcPr>
            <w:tcW w:w="3402" w:type="dxa"/>
            <w:vAlign w:val="center"/>
          </w:tcPr>
          <w:p>
            <w:pPr>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相符性分析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vAlign w:val="center"/>
          </w:tcPr>
          <w:p>
            <w:pPr>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代尔昆代水库</w:t>
            </w:r>
          </w:p>
        </w:tc>
        <w:tc>
          <w:tcPr>
            <w:tcW w:w="992" w:type="dxa"/>
            <w:vAlign w:val="center"/>
          </w:tcPr>
          <w:p>
            <w:pPr>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吐哈片区</w:t>
            </w:r>
            <w:r>
              <w:rPr>
                <w:rFonts w:cs="Times New Roman"/>
                <w:sz w:val="18"/>
                <w:szCs w:val="18"/>
              </w:rPr>
              <w:t>（包括吐鲁番市、哈密市）</w:t>
            </w:r>
          </w:p>
        </w:tc>
        <w:tc>
          <w:tcPr>
            <w:tcW w:w="3685" w:type="dxa"/>
            <w:vAlign w:val="center"/>
          </w:tcPr>
          <w:p>
            <w:pPr>
              <w:tabs>
                <w:tab w:val="right" w:leader="dot" w:pos="8302"/>
              </w:tabs>
              <w:spacing w:line="240" w:lineRule="auto"/>
              <w:ind w:firstLine="0" w:firstLineChars="0"/>
              <w:rPr>
                <w:rFonts w:cs="Times New Roman"/>
                <w:sz w:val="18"/>
                <w:szCs w:val="18"/>
              </w:rPr>
            </w:pPr>
            <w:r>
              <w:rPr>
                <w:rFonts w:cs="Times New Roman"/>
                <w:sz w:val="18"/>
                <w:szCs w:val="18"/>
              </w:rPr>
              <w:t>强化吐哈盆地文物古迹、坎儿井、基本农田、荒漠植被、砾幕、城镇人居环境保护。落实最严格的水资源管理制度，提高水资源集约高效利用水平。积极推进吐鲁番鄯善超采区、托克逊超采区和哈密超采区的</w:t>
            </w:r>
            <w:r>
              <w:rPr>
                <w:rFonts w:hint="eastAsia" w:cs="Times New Roman"/>
                <w:sz w:val="18"/>
                <w:szCs w:val="18"/>
                <w:lang w:val="en-US" w:eastAsia="zh-CN"/>
              </w:rPr>
              <w:t>地</w:t>
            </w:r>
            <w:r>
              <w:rPr>
                <w:rFonts w:cs="Times New Roman"/>
                <w:sz w:val="18"/>
                <w:szCs w:val="18"/>
              </w:rPr>
              <w:t>下水超采治理，逐步压减超采量，实现地下水采补平衡。</w:t>
            </w:r>
          </w:p>
          <w:p>
            <w:pPr>
              <w:tabs>
                <w:tab w:val="right" w:leader="dot" w:pos="8302"/>
              </w:tabs>
              <w:spacing w:line="240" w:lineRule="auto"/>
              <w:ind w:firstLine="0" w:firstLineChars="0"/>
              <w:rPr>
                <w:rFonts w:cs="Times New Roman"/>
                <w:sz w:val="18"/>
                <w:szCs w:val="18"/>
              </w:rPr>
            </w:pPr>
            <w:r>
              <w:rPr>
                <w:rFonts w:cs="Times New Roman"/>
                <w:sz w:val="18"/>
                <w:szCs w:val="18"/>
              </w:rPr>
              <w:t>强化油（气）资源开发区土壤环境污染综合整治。加强涉重金属行业污染控制与工业废物处理处置。</w:t>
            </w:r>
          </w:p>
          <w:p>
            <w:pPr>
              <w:tabs>
                <w:tab w:val="right" w:leader="dot" w:pos="8302"/>
              </w:tabs>
              <w:spacing w:line="240" w:lineRule="auto"/>
              <w:ind w:firstLine="0" w:firstLineChars="0"/>
              <w:rPr>
                <w:rFonts w:cs="Times New Roman"/>
                <w:sz w:val="18"/>
                <w:szCs w:val="18"/>
              </w:rPr>
            </w:pPr>
            <w:r>
              <w:rPr>
                <w:rFonts w:cs="Times New Roman"/>
                <w:sz w:val="18"/>
                <w:szCs w:val="18"/>
              </w:rPr>
              <w:t>煤炭、石油、天然气开发单位应当制定生态保护和恢复治理方案，并予以实施。生态保护和恢复治理方案内容应当向社会公布，接受社会监督。</w:t>
            </w:r>
          </w:p>
        </w:tc>
        <w:tc>
          <w:tcPr>
            <w:tcW w:w="3402" w:type="dxa"/>
          </w:tcPr>
          <w:p>
            <w:pPr>
              <w:tabs>
                <w:tab w:val="right" w:leader="dot" w:pos="8302"/>
              </w:tabs>
              <w:spacing w:line="240" w:lineRule="auto"/>
              <w:ind w:firstLine="0" w:firstLineChars="0"/>
              <w:rPr>
                <w:rFonts w:cs="Times New Roman"/>
                <w:sz w:val="18"/>
                <w:szCs w:val="18"/>
              </w:rPr>
            </w:pPr>
            <w:r>
              <w:rPr>
                <w:rFonts w:cs="Times New Roman"/>
                <w:sz w:val="18"/>
                <w:szCs w:val="18"/>
              </w:rPr>
              <w:t>代尔昆代水库工程位于新疆哈密市伊吾县境内，处于东天山末端喀尔里克山北坡中低山区，工程占地不涉及文物古迹、坎儿井、基本农田、砾幕等保护目标。项目区不在哈密超采区、油（气）资源开发区范围内。</w:t>
            </w:r>
          </w:p>
          <w:p>
            <w:pPr>
              <w:tabs>
                <w:tab w:val="right" w:leader="dot" w:pos="8302"/>
              </w:tabs>
              <w:spacing w:line="240" w:lineRule="auto"/>
              <w:ind w:firstLine="0" w:firstLineChars="0"/>
              <w:rPr>
                <w:rFonts w:cs="Times New Roman"/>
                <w:sz w:val="18"/>
                <w:szCs w:val="18"/>
              </w:rPr>
            </w:pPr>
            <w:r>
              <w:rPr>
                <w:rFonts w:cs="Times New Roman"/>
                <w:sz w:val="18"/>
                <w:szCs w:val="18"/>
              </w:rPr>
              <w:t>工程实施后，</w:t>
            </w:r>
            <w:r>
              <w:rPr>
                <w:rFonts w:hint="eastAsia" w:cs="Times New Roman"/>
                <w:sz w:val="18"/>
                <w:szCs w:val="18"/>
                <w:lang w:eastAsia="zh-CN"/>
              </w:rPr>
              <w:t>将</w:t>
            </w:r>
            <w:r>
              <w:rPr>
                <w:rFonts w:cs="Times New Roman"/>
                <w:sz w:val="18"/>
                <w:szCs w:val="18"/>
              </w:rPr>
              <w:t>淹没、占压少量荒漠草地植被，但由于工程占地面积有限，在施工期加强生态环境保护、施工结束后实施生态恢复及水土保持措施的基础上，工程不会对区域荒漠植被产生显著影响。</w:t>
            </w:r>
          </w:p>
          <w:p>
            <w:pPr>
              <w:tabs>
                <w:tab w:val="right" w:leader="dot" w:pos="8302"/>
              </w:tabs>
              <w:spacing w:line="240" w:lineRule="auto"/>
              <w:ind w:firstLine="0" w:firstLineChars="0"/>
              <w:rPr>
                <w:rFonts w:cs="Times New Roman"/>
                <w:sz w:val="18"/>
                <w:szCs w:val="18"/>
              </w:rPr>
            </w:pPr>
            <w:r>
              <w:rPr>
                <w:rFonts w:cs="Times New Roman"/>
                <w:sz w:val="18"/>
                <w:szCs w:val="18"/>
              </w:rPr>
              <w:t>综上分析，本工程建设符合吐哈片区生态管控要求。</w:t>
            </w:r>
          </w:p>
        </w:tc>
      </w:tr>
    </w:tbl>
    <w:p>
      <w:pPr>
        <w:spacing w:line="240" w:lineRule="auto"/>
        <w:ind w:firstLine="420"/>
        <w:rPr>
          <w:rFonts w:cs="Times New Roman"/>
          <w:sz w:val="21"/>
          <w:szCs w:val="21"/>
        </w:rPr>
      </w:pPr>
    </w:p>
    <w:p>
      <w:pPr>
        <w:ind w:firstLine="480"/>
        <w:rPr>
          <w:rFonts w:cs="Times New Roman" w:eastAsiaTheme="minorEastAsia"/>
        </w:rPr>
      </w:pPr>
      <w:r>
        <w:rPr>
          <w:rFonts w:cs="Times New Roman" w:eastAsiaTheme="minorEastAsia"/>
        </w:rPr>
        <w:t>（2）与哈密市“三线一单”生态环境分区管控方案符合性分析</w:t>
      </w:r>
    </w:p>
    <w:p>
      <w:pPr>
        <w:tabs>
          <w:tab w:val="right" w:leader="dot" w:pos="8302"/>
        </w:tabs>
        <w:ind w:firstLine="480"/>
        <w:rPr>
          <w:rFonts w:cs="Times New Roman" w:eastAsiaTheme="minorEastAsia"/>
          <w:kern w:val="0"/>
          <w:sz w:val="20"/>
          <w:szCs w:val="24"/>
        </w:rPr>
      </w:pPr>
      <w:r>
        <w:rPr>
          <w:rFonts w:cs="Times New Roman" w:eastAsiaTheme="minorEastAsia"/>
          <w:szCs w:val="24"/>
        </w:rPr>
        <w:t>代尔昆代水库工程位于新疆哈密市伊吾县境内，根据《哈密市“三线一单”生态环境分区管控方案》（哈政办发〔2021〕37号）的生态环境分区管控成果，代尔昆代水库工程所处区域涉及伊吾县吐葫芦乡生态保护红线优先保护单元和伊吾县吐葫芦乡一般管控单元。工程建设与涉及哈密市“三线一单”生态环境分区管控要求相符性分析见表3.2-3。</w:t>
      </w:r>
    </w:p>
    <w:p>
      <w:pPr>
        <w:tabs>
          <w:tab w:val="right" w:leader="dot" w:pos="8302"/>
        </w:tabs>
        <w:spacing w:after="120" w:line="240" w:lineRule="auto"/>
        <w:ind w:firstLine="0" w:firstLineChars="0"/>
        <w:rPr>
          <w:rFonts w:cs="Times New Roman"/>
          <w:color w:val="FF0000"/>
          <w:kern w:val="0"/>
          <w:sz w:val="20"/>
          <w:szCs w:val="24"/>
          <w:highlight w:val="yellow"/>
        </w:rPr>
      </w:pPr>
    </w:p>
    <w:p>
      <w:pPr>
        <w:tabs>
          <w:tab w:val="right" w:leader="dot" w:pos="8302"/>
        </w:tabs>
        <w:spacing w:after="120" w:line="240" w:lineRule="auto"/>
        <w:ind w:firstLine="0" w:firstLineChars="0"/>
        <w:rPr>
          <w:rFonts w:cs="Times New Roman"/>
          <w:color w:val="FF0000"/>
          <w:kern w:val="0"/>
          <w:sz w:val="20"/>
          <w:szCs w:val="24"/>
          <w:highlight w:val="yellow"/>
        </w:rPr>
        <w:sectPr>
          <w:pgSz w:w="11906" w:h="16838"/>
          <w:pgMar w:top="1440" w:right="1416" w:bottom="1440" w:left="1800" w:header="851" w:footer="992" w:gutter="0"/>
          <w:cols w:space="720" w:num="1"/>
          <w:docGrid w:type="lines" w:linePitch="312" w:charSpace="0"/>
        </w:sectPr>
      </w:pPr>
    </w:p>
    <w:p>
      <w:pPr>
        <w:pStyle w:val="137"/>
        <w:spacing w:before="62"/>
      </w:pPr>
      <w:r>
        <w:t>表3.2-3                             工程与哈密市“三线一单”生态环境分区管控要求符合性</w:t>
      </w:r>
    </w:p>
    <w:tbl>
      <w:tblPr>
        <w:tblStyle w:val="40"/>
        <w:tblW w:w="148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759"/>
        <w:gridCol w:w="970"/>
        <w:gridCol w:w="1134"/>
        <w:gridCol w:w="818"/>
        <w:gridCol w:w="6520"/>
        <w:gridCol w:w="4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66" w:hRule="atLeast"/>
          <w:jc w:val="center"/>
        </w:trPr>
        <w:tc>
          <w:tcPr>
            <w:tcW w:w="759" w:type="dxa"/>
            <w:vAlign w:val="center"/>
          </w:tcPr>
          <w:p>
            <w:pPr>
              <w:pStyle w:val="136"/>
            </w:pPr>
            <w:r>
              <w:t>涉及</w:t>
            </w:r>
          </w:p>
          <w:p>
            <w:pPr>
              <w:pStyle w:val="136"/>
            </w:pPr>
            <w:r>
              <w:t>地区</w:t>
            </w:r>
          </w:p>
        </w:tc>
        <w:tc>
          <w:tcPr>
            <w:tcW w:w="970" w:type="dxa"/>
            <w:vAlign w:val="center"/>
          </w:tcPr>
          <w:p>
            <w:pPr>
              <w:pStyle w:val="136"/>
            </w:pPr>
            <w:r>
              <w:t>环境管控</w:t>
            </w:r>
          </w:p>
          <w:p>
            <w:pPr>
              <w:pStyle w:val="136"/>
            </w:pPr>
            <w:r>
              <w:t>单元编码</w:t>
            </w:r>
          </w:p>
        </w:tc>
        <w:tc>
          <w:tcPr>
            <w:tcW w:w="1134" w:type="dxa"/>
            <w:vAlign w:val="center"/>
          </w:tcPr>
          <w:p>
            <w:pPr>
              <w:pStyle w:val="136"/>
            </w:pPr>
            <w:r>
              <w:t>环境管控</w:t>
            </w:r>
          </w:p>
          <w:p>
            <w:pPr>
              <w:pStyle w:val="136"/>
            </w:pPr>
            <w:r>
              <w:t>单元名称</w:t>
            </w:r>
          </w:p>
        </w:tc>
        <w:tc>
          <w:tcPr>
            <w:tcW w:w="818" w:type="dxa"/>
            <w:tcBorders>
              <w:right w:val="single" w:color="auto" w:sz="4" w:space="0"/>
            </w:tcBorders>
            <w:vAlign w:val="center"/>
          </w:tcPr>
          <w:p>
            <w:pPr>
              <w:pStyle w:val="136"/>
            </w:pPr>
            <w:r>
              <w:t>环境管控</w:t>
            </w:r>
          </w:p>
          <w:p>
            <w:pPr>
              <w:pStyle w:val="136"/>
            </w:pPr>
            <w:r>
              <w:t>单元类别</w:t>
            </w:r>
          </w:p>
        </w:tc>
        <w:tc>
          <w:tcPr>
            <w:tcW w:w="6520" w:type="dxa"/>
            <w:tcBorders>
              <w:left w:val="single" w:color="auto" w:sz="4" w:space="0"/>
              <w:bottom w:val="single" w:color="auto" w:sz="4" w:space="0"/>
              <w:right w:val="single" w:color="auto" w:sz="4" w:space="0"/>
            </w:tcBorders>
            <w:vAlign w:val="center"/>
          </w:tcPr>
          <w:p>
            <w:pPr>
              <w:pStyle w:val="136"/>
            </w:pPr>
            <w:r>
              <w:t>管控要求</w:t>
            </w:r>
          </w:p>
        </w:tc>
        <w:tc>
          <w:tcPr>
            <w:tcW w:w="4678" w:type="dxa"/>
            <w:tcBorders>
              <w:left w:val="single" w:color="auto" w:sz="4" w:space="0"/>
              <w:bottom w:val="single" w:color="auto" w:sz="4" w:space="0"/>
            </w:tcBorders>
            <w:vAlign w:val="center"/>
          </w:tcPr>
          <w:p>
            <w:pPr>
              <w:pStyle w:val="136"/>
            </w:pPr>
            <w:r>
              <w:t>相符性分析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59" w:type="dxa"/>
            <w:vMerge w:val="restart"/>
            <w:vAlign w:val="center"/>
          </w:tcPr>
          <w:p>
            <w:pPr>
              <w:pStyle w:val="136"/>
            </w:pPr>
            <w:r>
              <w:t>哈密市</w:t>
            </w:r>
          </w:p>
        </w:tc>
        <w:tc>
          <w:tcPr>
            <w:tcW w:w="970" w:type="dxa"/>
            <w:vAlign w:val="center"/>
          </w:tcPr>
          <w:p>
            <w:pPr>
              <w:pStyle w:val="136"/>
            </w:pPr>
            <w:r>
              <w:t>ZH65052210004</w:t>
            </w:r>
          </w:p>
        </w:tc>
        <w:tc>
          <w:tcPr>
            <w:tcW w:w="1134" w:type="dxa"/>
            <w:vAlign w:val="center"/>
          </w:tcPr>
          <w:p>
            <w:pPr>
              <w:pStyle w:val="136"/>
            </w:pPr>
            <w:r>
              <w:t>伊吾县吐葫芦乡生态保护红线优先保护单元</w:t>
            </w:r>
          </w:p>
        </w:tc>
        <w:tc>
          <w:tcPr>
            <w:tcW w:w="818" w:type="dxa"/>
            <w:tcBorders>
              <w:right w:val="single" w:color="auto" w:sz="4" w:space="0"/>
            </w:tcBorders>
            <w:vAlign w:val="center"/>
          </w:tcPr>
          <w:p>
            <w:pPr>
              <w:pStyle w:val="136"/>
            </w:pPr>
            <w:r>
              <w:t>优先保护单元</w:t>
            </w:r>
          </w:p>
        </w:tc>
        <w:tc>
          <w:tcPr>
            <w:tcW w:w="6520" w:type="dxa"/>
            <w:tcBorders>
              <w:left w:val="single" w:color="auto" w:sz="4" w:space="0"/>
              <w:right w:val="single" w:color="auto" w:sz="4" w:space="0"/>
            </w:tcBorders>
            <w:vAlign w:val="center"/>
          </w:tcPr>
          <w:p>
            <w:pPr>
              <w:pStyle w:val="136"/>
              <w:jc w:val="both"/>
            </w:pPr>
            <w:r>
              <w:t>禁止开发建设活动的要求：</w:t>
            </w:r>
          </w:p>
          <w:p>
            <w:pPr>
              <w:pStyle w:val="136"/>
              <w:jc w:val="both"/>
            </w:pPr>
            <w:r>
              <w:t>1.生态保护红线内严格禁止其他开发性、生产性建设活动，原则上自然保护地核心保护区内禁止人为活动，其他区域在符合现行法律法规前提下，除国家重大战略项目外，仅允许对生态功能不造成破坏的有限人为活动。2.涉及相关法定保护地的，按照相应法律法规进行管控。</w:t>
            </w:r>
          </w:p>
          <w:p>
            <w:pPr>
              <w:pStyle w:val="136"/>
              <w:jc w:val="both"/>
            </w:pPr>
            <w:r>
              <w:t>一般管控区范围内内除满足国家特殊战略需要的有关活动外，原则上禁止开发性、生产性建设活动，仅允许以下对生态功能不造成破坏的有限人为活动：</w:t>
            </w:r>
          </w:p>
          <w:p>
            <w:pPr>
              <w:pStyle w:val="136"/>
              <w:jc w:val="both"/>
            </w:pPr>
            <w:r>
              <w:t>1. 零星的原住民在不扩大现有建设用地和耕地规模前提下，修缮生产生活设施，保留生活必需的少量种植、放牧、捕捞、养殖。2.因国家重大能源资源安全需要开展的战略性能源资源勘查，公益性自然资源调查和地质勘查。3.自然资源、生态环境监测和执法包括水文水资源监测及涉水违法事件的查处等，灾害防治和应急抢险活动。4.经依法批准进行的非破坏性科学研究观测、标本采集。5.经依法批准的考古调查发掘和文物保护活动。6.破坏生态功能的适度参观旅游和相关的必要公共设施建设。7.必须且无法避让、符合县级以上国土空间规划的线性基础设施建设、防洪和供水设施建设与运行维护。8. 重要生态修复工程。</w:t>
            </w:r>
          </w:p>
        </w:tc>
        <w:tc>
          <w:tcPr>
            <w:tcW w:w="4678" w:type="dxa"/>
            <w:tcBorders>
              <w:left w:val="single" w:color="auto" w:sz="4" w:space="0"/>
              <w:bottom w:val="single" w:color="auto" w:sz="4" w:space="0"/>
            </w:tcBorders>
            <w:vAlign w:val="center"/>
          </w:tcPr>
          <w:p>
            <w:pPr>
              <w:pStyle w:val="136"/>
              <w:jc w:val="both"/>
            </w:pPr>
            <w:r>
              <w:t>工程位于新疆哈密市伊吾县境内，淹没占地区不涉及自然保护区、森林公园等自然保护地类禁止开发区域；所处优先保护单元属于东天山水源涵养与生物多样性维护生态保护红线区，本工程为基础水利设施建设项目，运行期间基本不产生污染，不会对河流水质产生污染，同时，本工程占地面积有限，在采取保证生态流量下泄、施工过程加强环境保护、施工结束及时采取植被恢复措施的基础上，不会降低生态红线水源涵养与生物多样性维护生态功能。</w:t>
            </w:r>
          </w:p>
          <w:p>
            <w:pPr>
              <w:pStyle w:val="136"/>
              <w:jc w:val="both"/>
            </w:pPr>
            <w:r>
              <w:t>代尔昆代水库项目已纳入《代尔昆代郭勒流域综合规划》，是重大水工程规划推荐的项目，是一座为淖毛湖区域人、畜饮水及公益林灌溉补水为主的山区拦河水库，受地形、地质条件的限制，水库淹没、占地范围无法完全避让生态保护红线范围，属于必须且无法避让、符合县级以上国土空间规划的供水设施建设项目。</w:t>
            </w:r>
          </w:p>
          <w:p>
            <w:pPr>
              <w:pStyle w:val="136"/>
              <w:jc w:val="both"/>
            </w:pPr>
            <w:r>
              <w:t>综合分析认为，本工程建设符合哈密市优先保护单元生态环境分区管控要求。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59" w:type="dxa"/>
            <w:vMerge w:val="continue"/>
            <w:vAlign w:val="center"/>
          </w:tcPr>
          <w:p>
            <w:pPr>
              <w:pStyle w:val="136"/>
            </w:pPr>
          </w:p>
        </w:tc>
        <w:tc>
          <w:tcPr>
            <w:tcW w:w="970" w:type="dxa"/>
            <w:vAlign w:val="center"/>
          </w:tcPr>
          <w:p>
            <w:pPr>
              <w:pStyle w:val="136"/>
            </w:pPr>
            <w:r>
              <w:t>ZH65052230005</w:t>
            </w:r>
          </w:p>
        </w:tc>
        <w:tc>
          <w:tcPr>
            <w:tcW w:w="1134" w:type="dxa"/>
            <w:vAlign w:val="center"/>
          </w:tcPr>
          <w:p>
            <w:pPr>
              <w:pStyle w:val="136"/>
            </w:pPr>
            <w:r>
              <w:t>伊吾县吐葫芦乡一般管控单元</w:t>
            </w:r>
          </w:p>
        </w:tc>
        <w:tc>
          <w:tcPr>
            <w:tcW w:w="818" w:type="dxa"/>
            <w:tcBorders>
              <w:right w:val="single" w:color="auto" w:sz="4" w:space="0"/>
            </w:tcBorders>
            <w:vAlign w:val="center"/>
          </w:tcPr>
          <w:p>
            <w:pPr>
              <w:pStyle w:val="136"/>
            </w:pPr>
            <w:r>
              <w:t>一般管控单元</w:t>
            </w:r>
          </w:p>
        </w:tc>
        <w:tc>
          <w:tcPr>
            <w:tcW w:w="6520" w:type="dxa"/>
            <w:tcBorders>
              <w:left w:val="single" w:color="auto" w:sz="4" w:space="0"/>
              <w:right w:val="single" w:color="auto" w:sz="4" w:space="0"/>
            </w:tcBorders>
            <w:vAlign w:val="center"/>
          </w:tcPr>
          <w:p>
            <w:pPr>
              <w:pStyle w:val="136"/>
              <w:jc w:val="both"/>
            </w:pPr>
            <w:r>
              <w:t>执行生态环境保护基本要求，以生态环境保护与适度开发相结合为主，开发建设中应落实生态环境管控相关要求。</w:t>
            </w:r>
          </w:p>
        </w:tc>
        <w:tc>
          <w:tcPr>
            <w:tcW w:w="4678" w:type="dxa"/>
            <w:tcBorders>
              <w:top w:val="single" w:color="auto" w:sz="4" w:space="0"/>
              <w:left w:val="single" w:color="auto" w:sz="4" w:space="0"/>
            </w:tcBorders>
          </w:tcPr>
          <w:p>
            <w:pPr>
              <w:pStyle w:val="136"/>
              <w:jc w:val="both"/>
            </w:pPr>
            <w:r>
              <w:t>本工程为基础水利设施建设项目，运行期间基本不产生污染，工程建设运行过程中在严格落实环评阶段提出的各项环境保护措施基础上，基本不会对区域生态环境产生不利影响，符合哈密市一般管控单元分区管控要求。</w:t>
            </w:r>
          </w:p>
        </w:tc>
      </w:tr>
    </w:tbl>
    <w:p>
      <w:pPr>
        <w:tabs>
          <w:tab w:val="right" w:leader="dot" w:pos="8302"/>
        </w:tabs>
        <w:spacing w:after="120" w:line="240" w:lineRule="auto"/>
        <w:ind w:firstLine="0" w:firstLineChars="0"/>
        <w:rPr>
          <w:rFonts w:cs="Times New Roman"/>
          <w:kern w:val="0"/>
          <w:sz w:val="20"/>
          <w:szCs w:val="24"/>
        </w:rPr>
        <w:sectPr>
          <w:pgSz w:w="16838" w:h="11906" w:orient="landscape"/>
          <w:pgMar w:top="1800" w:right="1416" w:bottom="1700" w:left="1440" w:header="851" w:footer="992" w:gutter="0"/>
          <w:cols w:space="720" w:num="1"/>
          <w:docGrid w:type="lines" w:linePitch="312" w:charSpace="0"/>
        </w:sectPr>
      </w:pPr>
    </w:p>
    <w:p>
      <w:pPr>
        <w:ind w:firstLine="480"/>
        <w:rPr>
          <w:rFonts w:cs="Times New Roman" w:eastAsiaTheme="minorEastAsia"/>
        </w:rPr>
      </w:pPr>
      <w:r>
        <w:rPr>
          <w:rFonts w:cs="Times New Roman" w:eastAsiaTheme="minorEastAsia"/>
        </w:rPr>
        <w:t>（3）与新疆生态红线管控要求的符合性分析</w:t>
      </w:r>
    </w:p>
    <w:p>
      <w:pPr>
        <w:tabs>
          <w:tab w:val="right" w:leader="dot" w:pos="8302"/>
        </w:tabs>
        <w:ind w:firstLine="480"/>
        <w:rPr>
          <w:rFonts w:cs="Times New Roman" w:eastAsiaTheme="minorEastAsia"/>
          <w:szCs w:val="24"/>
        </w:rPr>
      </w:pPr>
      <w:r>
        <w:rPr>
          <w:rFonts w:cs="Times New Roman" w:eastAsiaTheme="minorEastAsia"/>
          <w:szCs w:val="24"/>
        </w:rPr>
        <w:t>根据《新疆维吾尔自治区“三线一单”文本》，新疆生态保护红线包括各类自然保护地及生态服务功能极重要区和生态环境极敏感脆弱区。其中自然保护地主要包括国家公园、自然保护区、森林自然公园、风景名胜区、地质自然公园、世界自然遗产、湿地自然公园、沙漠自然公园、水产种质自然公园、冰川自然公园、草原自然公园等；生态服务功能极重要区和生态环境极敏感脆弱区，根据生态服务功能和生态环境敏感脆弱性，划分为水源涵养、生物多样性维护、水土保持、防风固沙、土地沙化防控、水土流失防控共6个类型，包括27个不同类型和地域的生态保护红线区。</w:t>
      </w:r>
    </w:p>
    <w:p>
      <w:pPr>
        <w:tabs>
          <w:tab w:val="right" w:leader="dot" w:pos="8302"/>
        </w:tabs>
        <w:ind w:firstLine="480"/>
        <w:rPr>
          <w:rFonts w:cs="Times New Roman" w:eastAsiaTheme="minorEastAsia"/>
          <w:szCs w:val="24"/>
        </w:rPr>
      </w:pPr>
      <w:r>
        <w:rPr>
          <w:rFonts w:cs="Times New Roman" w:eastAsiaTheme="minorEastAsia"/>
          <w:szCs w:val="24"/>
        </w:rPr>
        <w:t>代尔昆代水库工程不涉及国家公园、自然保护区、风景名胜区等自然保护地类生态红线。经叠图分析，工程淹没占地范围涉及东天山水源涵养与生物多样性维护生态保护红线区，淹没、占用红线区面积约9.35hm</w:t>
      </w:r>
      <w:r>
        <w:rPr>
          <w:rFonts w:cs="Times New Roman" w:eastAsiaTheme="minorEastAsia"/>
          <w:szCs w:val="24"/>
          <w:vertAlign w:val="superscript"/>
        </w:rPr>
        <w:t>2</w:t>
      </w:r>
      <w:r>
        <w:rPr>
          <w:rFonts w:cs="Times New Roman" w:eastAsiaTheme="minorEastAsia"/>
          <w:szCs w:val="24"/>
        </w:rPr>
        <w:t>。</w:t>
      </w:r>
    </w:p>
    <w:p>
      <w:pPr>
        <w:tabs>
          <w:tab w:val="right" w:leader="dot" w:pos="8302"/>
        </w:tabs>
        <w:ind w:firstLine="480"/>
        <w:rPr>
          <w:rFonts w:cs="Times New Roman" w:eastAsiaTheme="minorEastAsia"/>
          <w:kern w:val="0"/>
          <w:szCs w:val="24"/>
        </w:rPr>
      </w:pPr>
      <w:r>
        <w:rPr>
          <w:rFonts w:cs="Times New Roman" w:eastAsiaTheme="minorEastAsia"/>
          <w:kern w:val="0"/>
          <w:szCs w:val="24"/>
        </w:rPr>
        <w:t>中共中央办公厅、国务院办公厅印发的《关于划定并严守生态保护红线的若干意见》中，要求生态保护红线原则上按禁止开发区域的要求进行管理；严禁不符合主体功能定位的各类开发活动，严禁任意改变用途。2022年8月自然资源部联合生态环境部、国家林业和草原局发布的《关于加强生态保护红线管理的通知（试行）》（自然资发[2022]142号）提出，生态保护红线是国土空间规划中的重要管控边界，生态保护红线内的自然保护区、风景名胜区、饮用水水源保护区等区域依照法律法规执行，本工程未占用自然保护地类生态红线，仅占用一般生态红线。根据该办法，生态保护红线内、自然保护地核心保护区外，在符合现行法律法规的前提下，除国家重大项目外，仅允许对生态功能不造成破坏的有限人为活动。包括“原住居民基本生产生活活动；自然资源、生态环境调查监测和执法；经依法批准的古生物化石调查发掘和保护活动、非破坏性科学研究观测及必需的设施建设、标本采集；经依法批准的考古调查发掘和文物保护活动；不破坏生态功能的适度参观旅游和相关必要的公共设施建设；必须且无法避让、符合县级以上国土空间规划的线性基础设施、通讯和防洪、供水设施建设和船舶航行、航道疏浚清淤等活动；已有的合法水利、交通运输等设施运行维护改造；地质调查与矿产资源勘查开采；依据县级以上国土空间规划和生态保护修复专项规划开展的生态修复；确实难以避让的军事设施建设及重大军事演训活动。”</w:t>
      </w:r>
    </w:p>
    <w:p>
      <w:pPr>
        <w:tabs>
          <w:tab w:val="right" w:leader="dot" w:pos="8302"/>
        </w:tabs>
        <w:ind w:firstLine="480"/>
        <w:rPr>
          <w:rFonts w:cs="Times New Roman" w:eastAsiaTheme="minorEastAsia"/>
          <w:bCs/>
          <w:kern w:val="0"/>
          <w:szCs w:val="24"/>
        </w:rPr>
      </w:pPr>
      <w:r>
        <w:rPr>
          <w:rFonts w:cs="Times New Roman" w:eastAsiaTheme="minorEastAsia"/>
          <w:kern w:val="0"/>
          <w:szCs w:val="24"/>
        </w:rPr>
        <w:t>代尔昆代水库工程已列入</w:t>
      </w:r>
      <w:r>
        <w:rPr>
          <w:rFonts w:cs="Times New Roman"/>
        </w:rPr>
        <w:t>《新疆维吾尔自治区“十四五”水安全保障规划》《哈密市“十四五”水安全保障规划》，</w:t>
      </w:r>
      <w:r>
        <w:rPr>
          <w:rFonts w:cs="Times New Roman" w:eastAsiaTheme="minorEastAsia"/>
          <w:kern w:val="0"/>
          <w:szCs w:val="24"/>
        </w:rPr>
        <w:t>为基础水利设施建设项目，是流域重大水工程规划推荐的项目，是一座为淖毛湖区域人、畜饮水及公益林灌溉补水为主的山区拦河水库，受地形、地质条件的限制，水库淹没、占地范围无法完全避让生态保护红线范围，属于必须且无法避让、符合县级以上国土空间规划的供水设施建设项目。工程运行期间基本不产生污染，不会对河流水质产生污染，同时，本工程占地面积有限，在采取保证生态流量下泄、施工过程加强环境保护、严格控制施工扰动范围、施工结束及时采取植被恢复措施的基础上，不会降低区域生态红线水源涵养与生物多样性维护生态功能。综合分析认为，本项目属于“对生态功能不造成破坏的有限人为活动”，工程建设符合生态保护红线管控要求。</w:t>
      </w:r>
    </w:p>
    <w:p>
      <w:pPr>
        <w:pStyle w:val="62"/>
        <w:rPr>
          <w:rFonts w:cs="Times New Roman"/>
        </w:rPr>
      </w:pPr>
      <w:r>
        <w:rPr>
          <w:rFonts w:cs="Times New Roman"/>
        </w:rPr>
        <w:t>3.2.5.2 与水资源利用上线的符合性分析</w:t>
      </w:r>
    </w:p>
    <w:p>
      <w:pPr>
        <w:ind w:firstLine="480"/>
        <w:rPr>
          <w:rFonts w:cs="Times New Roman"/>
        </w:rPr>
      </w:pPr>
      <w:r>
        <w:rPr>
          <w:rFonts w:cs="Times New Roman"/>
        </w:rPr>
        <w:t>代尔昆代水库为代尔昆代郭勒河新建水资源调蓄工程，工程建设任务向淖毛湖区域人、畜饮水及公益林灌溉补水。</w:t>
      </w:r>
    </w:p>
    <w:p>
      <w:pPr>
        <w:ind w:firstLine="480"/>
        <w:rPr>
          <w:rFonts w:cs="Times New Roman"/>
        </w:rPr>
      </w:pPr>
      <w:r>
        <w:rPr>
          <w:rFonts w:cs="Times New Roman"/>
        </w:rPr>
        <w:t>根据《关于代尔昆代郭勒河用水指标调整的函》，代尔昆代郭勒河地表水资源利用上线为360万m</w:t>
      </w:r>
      <w:r>
        <w:rPr>
          <w:rFonts w:cs="Times New Roman"/>
          <w:vertAlign w:val="superscript"/>
        </w:rPr>
        <w:t>3</w:t>
      </w:r>
      <w:r>
        <w:rPr>
          <w:rFonts w:cs="Times New Roman"/>
        </w:rPr>
        <w:t>。现状代尔昆代郭勒河未进行地表水资源开发利用，代尔昆代水库建成后，</w:t>
      </w:r>
      <w:r>
        <w:rPr>
          <w:rFonts w:hint="eastAsia" w:cs="Times New Roman"/>
          <w:lang w:eastAsia="zh-CN"/>
        </w:rPr>
        <w:t>将</w:t>
      </w:r>
      <w:r>
        <w:rPr>
          <w:rFonts w:cs="Times New Roman"/>
        </w:rPr>
        <w:t>向淖毛湖地区10万居民、3万流动人口及6.3万头牲畜供水218万m</w:t>
      </w:r>
      <w:r>
        <w:rPr>
          <w:rFonts w:cs="Times New Roman"/>
          <w:vertAlign w:val="superscript"/>
        </w:rPr>
        <w:t>3</w:t>
      </w:r>
      <w:r>
        <w:rPr>
          <w:rFonts w:cs="Times New Roman"/>
        </w:rPr>
        <w:t>，向0.47万亩公益林供水141.57万m</w:t>
      </w:r>
      <w:r>
        <w:rPr>
          <w:rFonts w:cs="Times New Roman"/>
          <w:vertAlign w:val="superscript"/>
        </w:rPr>
        <w:t>3</w:t>
      </w:r>
      <w:r>
        <w:rPr>
          <w:rFonts w:cs="Times New Roman"/>
        </w:rPr>
        <w:t>，合计供水359.57万m</w:t>
      </w:r>
      <w:r>
        <w:rPr>
          <w:rFonts w:cs="Times New Roman"/>
          <w:vertAlign w:val="superscript"/>
        </w:rPr>
        <w:t>3</w:t>
      </w:r>
      <w:r>
        <w:rPr>
          <w:rFonts w:cs="Times New Roman"/>
        </w:rPr>
        <w:t>，新增地表水资源利用量359.57万m</w:t>
      </w:r>
      <w:r>
        <w:rPr>
          <w:rFonts w:cs="Times New Roman"/>
          <w:vertAlign w:val="superscript"/>
        </w:rPr>
        <w:t>3</w:t>
      </w:r>
      <w:r>
        <w:rPr>
          <w:rFonts w:cs="Times New Roman"/>
        </w:rPr>
        <w:t>，未突破代尔昆代郭勒河地表水资源利用上线360万m</w:t>
      </w:r>
      <w:r>
        <w:rPr>
          <w:rFonts w:cs="Times New Roman"/>
          <w:vertAlign w:val="superscript"/>
        </w:rPr>
        <w:t>3</w:t>
      </w:r>
      <w:r>
        <w:rPr>
          <w:rFonts w:cs="Times New Roman"/>
        </w:rPr>
        <w:t>，符合伊吾县水资源利用上线控制要求。</w:t>
      </w:r>
    </w:p>
    <w:p>
      <w:pPr>
        <w:pStyle w:val="62"/>
        <w:rPr>
          <w:rFonts w:cs="Times New Roman"/>
        </w:rPr>
      </w:pPr>
      <w:r>
        <w:rPr>
          <w:rFonts w:cs="Times New Roman"/>
        </w:rPr>
        <w:t>3.2.5.3 与环境质量底线（水环境质量）控制要求的符合性分析</w:t>
      </w:r>
    </w:p>
    <w:p>
      <w:pPr>
        <w:ind w:firstLine="480"/>
        <w:rPr>
          <w:rFonts w:cs="Times New Roman"/>
        </w:rPr>
      </w:pPr>
      <w:r>
        <w:rPr>
          <w:rFonts w:cs="Times New Roman"/>
        </w:rPr>
        <w:t>《中国新疆水环境功能区划》、《新疆维吾尔自治区“三线一单”生态环境分区管控方案》（新政发〔2021〕18号）均未对代尔昆代郭勒河进行水环境功能区划。根据《伊吾县代尔昆代郭勒流域综合规划环境影响报告书》结合代尔昆代水库供水任务确定工程涉及河段水质目标为Ⅱ类水，据此目标进行管控，可满足水环境质量底线要求。</w:t>
      </w:r>
    </w:p>
    <w:p>
      <w:pPr>
        <w:ind w:firstLine="480"/>
        <w:rPr>
          <w:rFonts w:cs="Times New Roman"/>
        </w:rPr>
      </w:pPr>
      <w:r>
        <w:rPr>
          <w:rFonts w:cs="Times New Roman"/>
        </w:rPr>
        <w:t>依据现状水质监测资料显示，代尔昆代水库工程涉及的河段水质现状良好，现状及规划年均无工业、生活入河点源分布。本工程的实施本身不会新增入河污染物，在做好施工期和运行期各类污废水的收集处理后，基本可以达到水质目标，同时也提出了作为饮用水供水水源，水库应进行水源地规划，按饮用水水源地进行管理，因此，工程实施后，工程涉及河段能够满足水环境质量控制目标。</w:t>
      </w:r>
    </w:p>
    <w:p>
      <w:pPr>
        <w:ind w:firstLine="480"/>
        <w:rPr>
          <w:rFonts w:cs="Times New Roman"/>
        </w:rPr>
      </w:pPr>
      <w:r>
        <w:rPr>
          <w:rFonts w:cs="Times New Roman"/>
        </w:rPr>
        <w:t>综上，本工程建设运行与“水环境质量底线”管控要求相符。</w:t>
      </w:r>
    </w:p>
    <w:p>
      <w:pPr>
        <w:pStyle w:val="4"/>
        <w:rPr>
          <w:rFonts w:cs="Times New Roman"/>
        </w:rPr>
      </w:pPr>
      <w:r>
        <w:rPr>
          <w:rFonts w:cs="Times New Roman"/>
        </w:rPr>
        <w:t>3.2.6 与功能区划的符合性分析</w:t>
      </w:r>
    </w:p>
    <w:p>
      <w:pPr>
        <w:pStyle w:val="62"/>
        <w:rPr>
          <w:rFonts w:cs="Times New Roman"/>
        </w:rPr>
      </w:pPr>
      <w:r>
        <w:rPr>
          <w:rFonts w:cs="Times New Roman"/>
        </w:rPr>
        <w:t>3.2.6.1 与主体功能区规划的符合性分析</w:t>
      </w:r>
    </w:p>
    <w:p>
      <w:pPr>
        <w:ind w:firstLine="480"/>
        <w:rPr>
          <w:rFonts w:cs="Times New Roman" w:eastAsiaTheme="minorEastAsia"/>
        </w:rPr>
      </w:pPr>
      <w:r>
        <w:rPr>
          <w:rFonts w:cs="Times New Roman" w:eastAsiaTheme="minorEastAsia"/>
        </w:rPr>
        <w:t>主体功能区划秉持自然条件适宜性开发、区分主体功能、根据资源环境承载能力开发、控制开发强度、调整空间结构、提供生态产品的理念，</w:t>
      </w:r>
      <w:r>
        <w:rPr>
          <w:rFonts w:cs="Times New Roman" w:eastAsiaTheme="minorEastAsia"/>
          <w:bCs/>
          <w:lang w:val="zh-CN"/>
        </w:rPr>
        <w:t>坚持以人为本，把提高全体人民的生活质量、增强可持续发展能力作为基本原则，</w:t>
      </w:r>
      <w:r>
        <w:rPr>
          <w:rFonts w:cs="Times New Roman" w:eastAsiaTheme="minorEastAsia"/>
        </w:rPr>
        <w:t>确定了国土空间优化开发、重点开发、限制开发、禁止开发四类主体功能区。</w:t>
      </w:r>
    </w:p>
    <w:p>
      <w:pPr>
        <w:ind w:firstLine="480"/>
        <w:rPr>
          <w:rFonts w:cs="Times New Roman" w:eastAsiaTheme="minorEastAsia"/>
        </w:rPr>
      </w:pPr>
      <w:r>
        <w:rPr>
          <w:rFonts w:cs="Times New Roman" w:eastAsiaTheme="minorEastAsia"/>
        </w:rPr>
        <w:t>（1）全国主体功能区划</w:t>
      </w:r>
    </w:p>
    <w:p>
      <w:pPr>
        <w:ind w:firstLine="480"/>
        <w:rPr>
          <w:rFonts w:cs="Times New Roman" w:eastAsiaTheme="minorEastAsia"/>
        </w:rPr>
      </w:pPr>
      <w:r>
        <w:rPr>
          <w:rFonts w:cs="Times New Roman" w:eastAsiaTheme="minorEastAsia"/>
        </w:rPr>
        <w:t>根据《全国主体功能区规划》（国务院2010年12月颁布），代尔昆代水库工程不涉及国家级主体功能区。</w:t>
      </w:r>
    </w:p>
    <w:p>
      <w:pPr>
        <w:ind w:firstLine="480"/>
        <w:rPr>
          <w:rFonts w:cs="Times New Roman" w:eastAsiaTheme="minorEastAsia"/>
        </w:rPr>
      </w:pPr>
      <w:r>
        <w:rPr>
          <w:rFonts w:cs="Times New Roman" w:eastAsiaTheme="minorEastAsia"/>
        </w:rPr>
        <w:t>（2）自治区主体功能区划</w:t>
      </w:r>
    </w:p>
    <w:p>
      <w:pPr>
        <w:ind w:firstLine="480"/>
        <w:rPr>
          <w:rFonts w:cs="Times New Roman" w:eastAsiaTheme="minorEastAsia"/>
        </w:rPr>
      </w:pPr>
      <w:r>
        <w:rPr>
          <w:rFonts w:cs="Times New Roman" w:eastAsiaTheme="minorEastAsia"/>
        </w:rPr>
        <w:t>根据《新疆主体功能区规划》，代尔昆代水库工程位于限制开发区域（重点生态功能区）中的准噶尔东部荒漠草原生态功能区，其功能定</w:t>
      </w:r>
      <w:r>
        <w:rPr>
          <w:rFonts w:hint="eastAsia" w:cs="Times New Roman" w:eastAsiaTheme="minorEastAsia"/>
          <w:lang w:val="en-US" w:eastAsia="zh-CN"/>
        </w:rPr>
        <w:t>位</w:t>
      </w:r>
      <w:r>
        <w:rPr>
          <w:rFonts w:cs="Times New Roman" w:eastAsiaTheme="minorEastAsia"/>
        </w:rPr>
        <w:t>、管制原则具体见表3.2-4。</w:t>
      </w:r>
    </w:p>
    <w:p>
      <w:pPr>
        <w:pStyle w:val="137"/>
        <w:spacing w:before="48"/>
      </w:pPr>
      <w:r>
        <w:t>表3.2-4                       主体功能区概况</w:t>
      </w:r>
    </w:p>
    <w:tbl>
      <w:tblPr>
        <w:tblStyle w:val="40"/>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309"/>
        <w:gridCol w:w="232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36"/>
            </w:pPr>
            <w:r>
              <w:t>类型</w:t>
            </w:r>
          </w:p>
        </w:tc>
        <w:tc>
          <w:tcPr>
            <w:tcW w:w="1276" w:type="dxa"/>
            <w:vAlign w:val="center"/>
          </w:tcPr>
          <w:p>
            <w:pPr>
              <w:pStyle w:val="136"/>
            </w:pPr>
            <w:r>
              <w:t>名称</w:t>
            </w:r>
          </w:p>
        </w:tc>
        <w:tc>
          <w:tcPr>
            <w:tcW w:w="2268" w:type="dxa"/>
            <w:vAlign w:val="center"/>
          </w:tcPr>
          <w:p>
            <w:pPr>
              <w:pStyle w:val="136"/>
            </w:pPr>
            <w:r>
              <w:t>功能定位</w:t>
            </w:r>
          </w:p>
        </w:tc>
        <w:tc>
          <w:tcPr>
            <w:tcW w:w="4110" w:type="dxa"/>
            <w:vAlign w:val="center"/>
          </w:tcPr>
          <w:p>
            <w:pPr>
              <w:pStyle w:val="136"/>
            </w:pPr>
            <w:r>
              <w:t>开发管制原则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136"/>
            </w:pPr>
            <w:r>
              <w:t>限制开发区域（重点生态功能区）</w:t>
            </w:r>
          </w:p>
        </w:tc>
        <w:tc>
          <w:tcPr>
            <w:tcW w:w="1276" w:type="dxa"/>
            <w:vAlign w:val="center"/>
          </w:tcPr>
          <w:p>
            <w:pPr>
              <w:pStyle w:val="136"/>
            </w:pPr>
            <w:r>
              <w:t>准噶尔东部荒漠草原生态功能区</w:t>
            </w:r>
          </w:p>
        </w:tc>
        <w:tc>
          <w:tcPr>
            <w:tcW w:w="2268" w:type="dxa"/>
            <w:vAlign w:val="center"/>
          </w:tcPr>
          <w:p>
            <w:pPr>
              <w:pStyle w:val="136"/>
            </w:pPr>
            <w:r>
              <w:t>生态安全的主体区域，全疆乃至全国重要的生态功能区，人与自然和谐相处的生态文明区。</w:t>
            </w:r>
          </w:p>
        </w:tc>
        <w:tc>
          <w:tcPr>
            <w:tcW w:w="4110" w:type="dxa"/>
            <w:vAlign w:val="center"/>
          </w:tcPr>
          <w:p>
            <w:pPr>
              <w:pStyle w:val="136"/>
              <w:jc w:val="both"/>
            </w:pPr>
            <w:r>
              <w:t>对各类开发活动严格控制，尽可能减少对生态系统的干扰，不得损害生态系统的稳定和完整性。开发矿产资源、发展适宜产业和建设基础设施，都要控制在尽可能小的空间范围之内。节约高效利用水资源，保护水环境，提高水质量。</w:t>
            </w:r>
          </w:p>
        </w:tc>
      </w:tr>
    </w:tbl>
    <w:p>
      <w:pPr>
        <w:ind w:firstLine="480"/>
        <w:rPr>
          <w:rFonts w:cs="Times New Roman"/>
        </w:rPr>
      </w:pPr>
    </w:p>
    <w:p>
      <w:pPr>
        <w:ind w:firstLine="480"/>
        <w:rPr>
          <w:rFonts w:cs="Times New Roman"/>
        </w:rPr>
      </w:pPr>
      <w:r>
        <w:rPr>
          <w:rFonts w:cs="Times New Roman"/>
        </w:rPr>
        <w:t>本次代尔昆代水库工程建设任务为开发利用水资源，工程主体设计在坝后布置了生态放水管，水库调度运行提出p=85%来水频率，年泄放生态水量83.44万m</w:t>
      </w:r>
      <w:r>
        <w:rPr>
          <w:rFonts w:cs="Times New Roman"/>
          <w:vertAlign w:val="superscript"/>
        </w:rPr>
        <w:t>3</w:t>
      </w:r>
      <w:r>
        <w:rPr>
          <w:rFonts w:cs="Times New Roman"/>
        </w:rPr>
        <w:t>，本次工程环境影响评价提出适当扩大生态放水管设计规模，使其能下泄30%生态流量，优化水库调度运行，近期按流域综合规划环评要求增加坝址处下泄的生态水量，使其不少于124.13万m</w:t>
      </w:r>
      <w:r>
        <w:rPr>
          <w:rFonts w:cs="Times New Roman"/>
          <w:vertAlign w:val="superscript"/>
        </w:rPr>
        <w:t>3</w:t>
      </w:r>
      <w:r>
        <w:rPr>
          <w:rFonts w:cs="Times New Roman"/>
        </w:rPr>
        <w:t>；响应了主体功能区划在保护河流生态的基础上有序开发水能资源要求。</w:t>
      </w:r>
    </w:p>
    <w:p>
      <w:pPr>
        <w:ind w:firstLine="480"/>
        <w:rPr>
          <w:rFonts w:cs="Times New Roman"/>
        </w:rPr>
      </w:pPr>
      <w:r>
        <w:rPr>
          <w:rFonts w:cs="Times New Roman"/>
        </w:rPr>
        <w:t>本工程占地规模有限，并非大规模高强度的工业化城镇化开发项目，为生态功能限制开发区允许适度建设内容。据现场调查工程影响河段无集中分布的河谷林草，亦无鱼类资源，</w:t>
      </w:r>
      <w:r>
        <w:rPr>
          <w:rFonts w:hint="eastAsia" w:cs="Times New Roman"/>
          <w:lang w:eastAsia="zh-CN"/>
        </w:rPr>
        <w:t>占用地区植被</w:t>
      </w:r>
      <w:r>
        <w:rPr>
          <w:rFonts w:cs="Times New Roman"/>
        </w:rPr>
        <w:t>以荒漠草原植被为主，工程占地范围小，工程供水对象为既有城镇人畜饮用和生态林灌溉补水，不增加土地资源开发，因此本工程建设不会对区域生态系统的稳定性和完整性产生明显不利影响，在对扰动区采取植被恢复措施、水土保持治理方案后，工程建设不会损害区域生态系统稳定性和完整性。</w:t>
      </w:r>
    </w:p>
    <w:p>
      <w:pPr>
        <w:ind w:firstLine="480"/>
        <w:rPr>
          <w:rFonts w:cs="Times New Roman"/>
        </w:rPr>
      </w:pPr>
      <w:r>
        <w:rPr>
          <w:rFonts w:cs="Times New Roman"/>
        </w:rPr>
        <w:t>代尔昆代水库工程供水对象用水量、用水效率均符合现行最严格水资源管理制度要求，工程本身不排放水污染物，本次评价提出在水库投入运行后，须按饮用水水源地规划审批要求，</w:t>
      </w:r>
      <w:r>
        <w:rPr>
          <w:rFonts w:hint="eastAsia" w:cs="Times New Roman"/>
          <w:lang w:eastAsia="zh-CN"/>
        </w:rPr>
        <w:t>将</w:t>
      </w:r>
      <w:r>
        <w:rPr>
          <w:rFonts w:cs="Times New Roman"/>
        </w:rPr>
        <w:t>引水口及其附近汇水范围划为饮用水源保护区进行管理，以保障用水水质，在落实相关管理要求后，本工程建设符合主体功能区划节约高效利用水资源，保护水环境开发管制原则。</w:t>
      </w:r>
    </w:p>
    <w:p>
      <w:pPr>
        <w:ind w:firstLine="480"/>
        <w:rPr>
          <w:rFonts w:cs="Times New Roman"/>
        </w:rPr>
      </w:pPr>
      <w:r>
        <w:rPr>
          <w:rFonts w:cs="Times New Roman"/>
        </w:rPr>
        <w:t>综上，工程任务、布局、水库运行等符合《新疆主体功能区规划》关于水资源利用的要求。水库工程为生态功能限制开发区允许适度建设内容，加强限制开发区环境保护、水土保持、生态修复、水源管理措施后，代尔昆代水库建设总体上符合主体功能区划。</w:t>
      </w:r>
    </w:p>
    <w:p>
      <w:pPr>
        <w:pStyle w:val="62"/>
        <w:rPr>
          <w:rFonts w:cs="Times New Roman"/>
        </w:rPr>
      </w:pPr>
      <w:r>
        <w:rPr>
          <w:rFonts w:cs="Times New Roman"/>
        </w:rPr>
        <w:t>3.2.5.2 与水环境功能区规划的符合性分析</w:t>
      </w:r>
    </w:p>
    <w:p>
      <w:pPr>
        <w:ind w:firstLine="480"/>
        <w:rPr>
          <w:rFonts w:cs="Times New Roman"/>
        </w:rPr>
      </w:pPr>
      <w:r>
        <w:rPr>
          <w:rFonts w:cs="Times New Roman"/>
        </w:rPr>
        <w:t>《中国新疆水环境功能区划》、</w:t>
      </w:r>
      <w:r>
        <w:rPr>
          <w:rFonts w:cs="Times New Roman"/>
          <w:lang w:val="zh-CN"/>
        </w:rPr>
        <w:t>《新疆维吾尔自治区“三线一单”生态环境分区管控方案》（新政发〔2021〕18号）均</w:t>
      </w:r>
      <w:r>
        <w:rPr>
          <w:rFonts w:cs="Times New Roman"/>
        </w:rPr>
        <w:t>未对代尔昆代郭勒河进行水环境功能区划。现状该河无地表水资源开发利用，地表水水质良好，可达到Ⅱ类，代尔昆代水库建成后</w:t>
      </w:r>
      <w:r>
        <w:rPr>
          <w:rFonts w:hint="eastAsia" w:cs="Times New Roman"/>
          <w:lang w:eastAsia="zh-CN"/>
        </w:rPr>
        <w:t>将</w:t>
      </w:r>
      <w:r>
        <w:rPr>
          <w:rFonts w:cs="Times New Roman"/>
        </w:rPr>
        <w:t>承担人畜供水任务，因此确定工程涉及河段水质目标保持Ⅱ类水不下降。</w:t>
      </w:r>
    </w:p>
    <w:p>
      <w:pPr>
        <w:ind w:firstLine="480"/>
        <w:rPr>
          <w:rFonts w:cs="Times New Roman"/>
        </w:rPr>
      </w:pPr>
      <w:r>
        <w:rPr>
          <w:rFonts w:cs="Times New Roman"/>
        </w:rPr>
        <w:t>本工程建设对水质的主要影响源为施工期的生产废水和施工人员生活污水，以及运行期管理人员产生的少量生活污水。工程施工期砂石料加工系统废水采用絮凝沉淀法处理后回用；混凝土拌和废水采用沉淀+砂滤工艺处理后回用；机械清洗废水经除油沉淀后回用于机械或零部件的再次冲洗，施工期与运行期生活污水采用一体化成套污水处理设施，处理后的水夏季用于荒漠草场灌溉。采取以上废污水处理措施后可保证废污水不进入河道对河流水质产生影响。</w:t>
      </w:r>
    </w:p>
    <w:p>
      <w:pPr>
        <w:ind w:firstLine="480"/>
        <w:rPr>
          <w:rFonts w:cs="Times New Roman"/>
        </w:rPr>
      </w:pPr>
      <w:r>
        <w:rPr>
          <w:rFonts w:cs="Times New Roman"/>
        </w:rPr>
        <w:t>另外，本次评价预测分析了工程实施后代尔昆代郭勒河水库下游河段因水文情势变化、入河污染源变化诱发的水质变化；预测分析结果表明，工程建成后，河流水质能够维持Ⅱ类水不下降，不会对下游河流水质产生影响。</w:t>
      </w:r>
    </w:p>
    <w:p>
      <w:pPr>
        <w:ind w:firstLine="480"/>
        <w:rPr>
          <w:rFonts w:cs="Times New Roman"/>
        </w:rPr>
      </w:pPr>
      <w:r>
        <w:rPr>
          <w:rFonts w:cs="Times New Roman"/>
        </w:rPr>
        <w:t>综上，在做好工程施工期废污水和运行期生活污水处置的前提下，本工程建设可以满足相关河段水环境功能区划水环境保护要求。</w:t>
      </w:r>
    </w:p>
    <w:p>
      <w:pPr>
        <w:pStyle w:val="62"/>
        <w:rPr>
          <w:rFonts w:cs="Times New Roman"/>
        </w:rPr>
      </w:pPr>
      <w:r>
        <w:rPr>
          <w:rFonts w:cs="Times New Roman"/>
        </w:rPr>
        <w:t>3.2.5.3 与生态环境功能区规划的符合性分析</w:t>
      </w:r>
    </w:p>
    <w:p>
      <w:pPr>
        <w:ind w:firstLine="480"/>
        <w:rPr>
          <w:rFonts w:cs="Times New Roman" w:eastAsiaTheme="minorEastAsia"/>
          <w:szCs w:val="24"/>
          <w:lang w:val="zh-CN"/>
        </w:rPr>
      </w:pPr>
      <w:r>
        <w:rPr>
          <w:rFonts w:cs="Times New Roman" w:eastAsiaTheme="minorEastAsia"/>
          <w:szCs w:val="24"/>
          <w:lang w:val="zh-CN"/>
        </w:rPr>
        <w:t>（1）全国生态功能区划</w:t>
      </w:r>
    </w:p>
    <w:p>
      <w:pPr>
        <w:ind w:firstLine="480"/>
        <w:rPr>
          <w:rFonts w:cs="Times New Roman" w:eastAsiaTheme="minorEastAsia"/>
          <w:szCs w:val="24"/>
          <w:lang w:val="zh-CN"/>
        </w:rPr>
      </w:pPr>
      <w:r>
        <w:rPr>
          <w:rFonts w:cs="Times New Roman" w:eastAsiaTheme="minorEastAsia"/>
          <w:szCs w:val="24"/>
          <w:lang w:val="zh-CN"/>
        </w:rPr>
        <w:t>根据《全国生态功能区划（修编版）》，规划范围涉及东天山水源涵养区，不涉及区划中确定的63个重要生态功能区。东天山水源涵养区生态功能定位为水源涵养；主要生态问题是：人类活动干扰强度大；生态系统结构单一，生态系统质量低，水源涵养功能衰退；森林资源过度开发、天然草原过度放牧等导致植被破坏、水土流失与土地沙化严重；湿地萎缩、面积减少；冰川后退，雪线上升。生态保护主要措施为：对重要水源涵养区建立生态功能保护区，加强对水源涵养区的保护与管理，严格保护具有重要水源涵养功能的自然植被，限制或禁止各种损害生态系统水源涵养功能的经济社会活动和生产方式，如无序采矿、毁林开荒、湿地和草地开垦、过度放牧、道路建设等；继续加强生态保护与恢复，恢复与重建水源涵养区森林、草地、湿地等生态系统，提高生态系统的水源涵养能力，坚持自然恢复为主，严格限制在水源涵养区大规模人工造林；控制水污染，减轻水污染负荷，禁止导致水体污染的产业发展，开展生态清洁小流域的建设。</w:t>
      </w:r>
    </w:p>
    <w:p>
      <w:pPr>
        <w:ind w:firstLine="480"/>
        <w:rPr>
          <w:rFonts w:cs="Times New Roman" w:eastAsiaTheme="minorEastAsia"/>
          <w:szCs w:val="24"/>
          <w:lang w:val="zh-CN"/>
        </w:rPr>
      </w:pPr>
      <w:r>
        <w:rPr>
          <w:rFonts w:cs="Times New Roman" w:eastAsiaTheme="minorEastAsia"/>
          <w:szCs w:val="24"/>
          <w:lang w:val="zh-CN"/>
        </w:rPr>
        <w:t>代尔昆代水库工程为基础水利设施建设项目，不属于东天山水源涵养区明确限制或禁止的项目。工程运行期间不存在入河污染物排放问题，基本不会对河流水质产生影响；工程位于喀尔里克山北坡低中山区，区域植被以稀疏的山地草原为主，无森林、冰川等，工程建设产生的淹没、占地</w:t>
      </w:r>
      <w:r>
        <w:rPr>
          <w:rFonts w:hint="eastAsia" w:cs="Times New Roman" w:eastAsiaTheme="minorEastAsia"/>
          <w:szCs w:val="24"/>
          <w:lang w:val="zh-CN"/>
        </w:rPr>
        <w:t>将</w:t>
      </w:r>
      <w:r>
        <w:rPr>
          <w:rFonts w:cs="Times New Roman" w:eastAsiaTheme="minorEastAsia"/>
          <w:szCs w:val="24"/>
          <w:lang w:val="zh-CN"/>
        </w:rPr>
        <w:t>占压少量山地草原植被，但占地面积有限，且占地内</w:t>
      </w:r>
      <w:r>
        <w:rPr>
          <w:rFonts w:hint="eastAsia" w:cs="Times New Roman" w:eastAsiaTheme="minorEastAsia"/>
          <w:szCs w:val="24"/>
          <w:lang w:val="zh-CN"/>
        </w:rPr>
        <w:t>植被盖度</w:t>
      </w:r>
      <w:r>
        <w:rPr>
          <w:rFonts w:cs="Times New Roman" w:eastAsiaTheme="minorEastAsia"/>
          <w:szCs w:val="24"/>
          <w:lang w:val="zh-CN"/>
        </w:rPr>
        <w:t>较低，对区域草场资源的影响极小，不会降低区域水源涵养生态功能。环评阶段提出工程实施过程中应优化施工组织设计，严格控制占地面积，限制施工扰动范围，在施工结束后及时采取植被恢复、水土保持措施，尽可能减少对区域天然植被的破坏。</w:t>
      </w:r>
    </w:p>
    <w:p>
      <w:pPr>
        <w:ind w:firstLine="480"/>
        <w:rPr>
          <w:rFonts w:cs="Times New Roman" w:eastAsiaTheme="minorEastAsia"/>
          <w:szCs w:val="24"/>
          <w:lang w:val="zh-CN"/>
        </w:rPr>
      </w:pPr>
      <w:r>
        <w:rPr>
          <w:rFonts w:cs="Times New Roman" w:eastAsiaTheme="minorEastAsia"/>
          <w:szCs w:val="24"/>
          <w:lang w:val="zh-CN"/>
        </w:rPr>
        <w:t>综合以上分析，在采取植被恢复、水土保持等措施的基础上，工程建设不会对东天山水源涵养区生态功能产生明显影响，亦不会加剧区域现有主要生态问题。</w:t>
      </w:r>
    </w:p>
    <w:p>
      <w:pPr>
        <w:tabs>
          <w:tab w:val="right" w:leader="dot" w:pos="8302"/>
        </w:tabs>
        <w:autoSpaceDE w:val="0"/>
        <w:autoSpaceDN w:val="0"/>
        <w:adjustRightInd w:val="0"/>
        <w:ind w:firstLine="480"/>
        <w:textAlignment w:val="baseline"/>
        <w:rPr>
          <w:rFonts w:cs="Times New Roman" w:eastAsiaTheme="minorEastAsia"/>
          <w:kern w:val="0"/>
          <w:szCs w:val="20"/>
        </w:rPr>
      </w:pPr>
      <w:r>
        <w:rPr>
          <w:rFonts w:cs="Times New Roman" w:eastAsiaTheme="minorEastAsia"/>
          <w:kern w:val="0"/>
          <w:szCs w:val="20"/>
        </w:rPr>
        <w:t>（2）新疆生态功能区划</w:t>
      </w:r>
    </w:p>
    <w:p>
      <w:pPr>
        <w:tabs>
          <w:tab w:val="right" w:leader="dot" w:pos="8302"/>
        </w:tabs>
        <w:autoSpaceDE w:val="0"/>
        <w:autoSpaceDN w:val="0"/>
        <w:adjustRightInd w:val="0"/>
        <w:ind w:firstLine="480"/>
        <w:textAlignment w:val="baseline"/>
        <w:rPr>
          <w:rFonts w:cs="Times New Roman" w:eastAsiaTheme="minorEastAsia"/>
          <w:kern w:val="0"/>
          <w:szCs w:val="20"/>
        </w:rPr>
      </w:pPr>
      <w:r>
        <w:rPr>
          <w:rFonts w:cs="Times New Roman" w:eastAsiaTheme="minorEastAsia"/>
          <w:kern w:val="0"/>
          <w:szCs w:val="20"/>
        </w:rPr>
        <w:t>根据《新疆生态功能区划》生态功能区划分级，</w:t>
      </w:r>
      <w:r>
        <w:rPr>
          <w:rFonts w:cs="Times New Roman" w:eastAsiaTheme="minorEastAsia"/>
          <w:kern w:val="0"/>
          <w:szCs w:val="24"/>
        </w:rPr>
        <w:t>代尔昆代水库工程</w:t>
      </w:r>
      <w:r>
        <w:rPr>
          <w:rFonts w:cs="Times New Roman" w:eastAsiaTheme="minorEastAsia"/>
          <w:kern w:val="0"/>
          <w:szCs w:val="20"/>
        </w:rPr>
        <w:t>项目区被划入天山山地温性草原、森林生态区--天山北坡针叶林、草甸水源涵养及草原牧业生态亚区--巴里坤、伊吾盆地绿洲农业及山地草原牧业生态功能区。项目区生态功能区划基本情况见表3.2-5。</w:t>
      </w:r>
    </w:p>
    <w:p>
      <w:pPr>
        <w:pStyle w:val="137"/>
        <w:spacing w:before="48"/>
      </w:pPr>
      <w:r>
        <w:t>表3.2-5                   项目区生态功能区划</w:t>
      </w:r>
    </w:p>
    <w:tbl>
      <w:tblPr>
        <w:tblStyle w:val="40"/>
        <w:tblW w:w="4971" w:type="pct"/>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02"/>
        <w:gridCol w:w="6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2"/>
          </w:tcPr>
          <w:p>
            <w:pPr>
              <w:pStyle w:val="136"/>
            </w:pPr>
            <w:r>
              <w:t>功能区名称：巴里坤、伊吾盆地绿洲农业及山地草原牧业生态功能区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5" w:type="pct"/>
            <w:vAlign w:val="center"/>
          </w:tcPr>
          <w:p>
            <w:pPr>
              <w:pStyle w:val="136"/>
            </w:pPr>
            <w:r>
              <w:t>生态服务功能</w:t>
            </w:r>
          </w:p>
        </w:tc>
        <w:tc>
          <w:tcPr>
            <w:tcW w:w="3435" w:type="pct"/>
          </w:tcPr>
          <w:p>
            <w:pPr>
              <w:pStyle w:val="136"/>
            </w:pPr>
            <w:r>
              <w:t>农畜产品生产、土壤保持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5" w:type="pct"/>
            <w:vAlign w:val="center"/>
          </w:tcPr>
          <w:p>
            <w:pPr>
              <w:pStyle w:val="136"/>
            </w:pPr>
            <w:r>
              <w:t>主要生态环境问题</w:t>
            </w:r>
          </w:p>
        </w:tc>
        <w:tc>
          <w:tcPr>
            <w:tcW w:w="3435" w:type="pct"/>
          </w:tcPr>
          <w:p>
            <w:pPr>
              <w:pStyle w:val="136"/>
            </w:pPr>
            <w:r>
              <w:t>草原退化、湖泊与湿地萎缩、森林过伐、农田土壤盐渍化、毁草开荒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5" w:type="pct"/>
            <w:vAlign w:val="center"/>
          </w:tcPr>
          <w:p>
            <w:pPr>
              <w:pStyle w:val="136"/>
            </w:pPr>
            <w:r>
              <w:t>生态敏感因子敏感程度</w:t>
            </w:r>
          </w:p>
        </w:tc>
        <w:tc>
          <w:tcPr>
            <w:tcW w:w="3435" w:type="pct"/>
          </w:tcPr>
          <w:p>
            <w:pPr>
              <w:pStyle w:val="136"/>
            </w:pPr>
            <w:r>
              <w:t>生物多样性及其生境高度敏感，土壤侵蚀极度敏感，土壤沙化轻度敏感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5" w:type="pct"/>
            <w:vAlign w:val="center"/>
          </w:tcPr>
          <w:p>
            <w:pPr>
              <w:pStyle w:val="136"/>
            </w:pPr>
            <w:r>
              <w:t>保护目标</w:t>
            </w:r>
          </w:p>
        </w:tc>
        <w:tc>
          <w:tcPr>
            <w:tcW w:w="3435" w:type="pct"/>
          </w:tcPr>
          <w:p>
            <w:pPr>
              <w:pStyle w:val="136"/>
            </w:pPr>
            <w:r>
              <w:t>保护基本农田、保护森林和草原、保护湖泊和湿地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5" w:type="pct"/>
            <w:vAlign w:val="center"/>
          </w:tcPr>
          <w:p>
            <w:pPr>
              <w:pStyle w:val="136"/>
            </w:pPr>
            <w:r>
              <w:t>保护措施</w:t>
            </w:r>
          </w:p>
        </w:tc>
        <w:tc>
          <w:tcPr>
            <w:tcW w:w="3435" w:type="pct"/>
          </w:tcPr>
          <w:p>
            <w:pPr>
              <w:pStyle w:val="136"/>
            </w:pPr>
            <w:r>
              <w:t>节水灌溉、草原减牧、森林禁伐、防治土壤盐渍化、退耕还草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5" w:type="pct"/>
            <w:vAlign w:val="center"/>
          </w:tcPr>
          <w:p>
            <w:pPr>
              <w:pStyle w:val="136"/>
            </w:pPr>
            <w:r>
              <w:t>发展方向</w:t>
            </w:r>
          </w:p>
        </w:tc>
        <w:tc>
          <w:tcPr>
            <w:tcW w:w="3435" w:type="pct"/>
          </w:tcPr>
          <w:p>
            <w:pPr>
              <w:pStyle w:val="136"/>
            </w:pPr>
            <w:r>
              <w:t>发展节水农业，建成东疆牧业及有机食品生产基地</w:t>
            </w:r>
          </w:p>
        </w:tc>
      </w:tr>
    </w:tbl>
    <w:p>
      <w:pPr>
        <w:spacing w:line="240" w:lineRule="auto"/>
        <w:ind w:firstLine="420"/>
        <w:rPr>
          <w:rFonts w:cs="Times New Roman"/>
          <w:sz w:val="21"/>
          <w:szCs w:val="21"/>
        </w:rPr>
      </w:pPr>
    </w:p>
    <w:p>
      <w:pPr>
        <w:tabs>
          <w:tab w:val="right" w:leader="dot" w:pos="8302"/>
        </w:tabs>
        <w:snapToGrid w:val="0"/>
        <w:ind w:firstLine="480"/>
        <w:rPr>
          <w:rFonts w:cs="Times New Roman" w:eastAsiaTheme="minorEastAsia"/>
        </w:rPr>
      </w:pPr>
      <w:r>
        <w:rPr>
          <w:rFonts w:cs="Times New Roman" w:eastAsiaTheme="minorEastAsia"/>
        </w:rPr>
        <w:t>代尔昆代水库工程</w:t>
      </w:r>
      <w:r>
        <w:rPr>
          <w:rFonts w:hint="eastAsia" w:cs="Times New Roman" w:eastAsiaTheme="minorEastAsia"/>
          <w:lang w:eastAsia="zh-CN"/>
        </w:rPr>
        <w:t>位</w:t>
      </w:r>
      <w:r>
        <w:rPr>
          <w:rFonts w:cs="Times New Roman" w:eastAsiaTheme="minorEastAsia"/>
        </w:rPr>
        <w:t>于喀尔里克山北坡低中山区，区域植被以稀疏的山地草原为主，无森林、基本农田、湖泊等，工程建设产生的淹没、占地</w:t>
      </w:r>
      <w:r>
        <w:rPr>
          <w:rFonts w:hint="eastAsia" w:cs="Times New Roman" w:eastAsiaTheme="minorEastAsia"/>
          <w:lang w:eastAsia="zh-CN"/>
        </w:rPr>
        <w:t>将</w:t>
      </w:r>
      <w:r>
        <w:rPr>
          <w:rFonts w:cs="Times New Roman" w:eastAsiaTheme="minorEastAsia"/>
        </w:rPr>
        <w:t>占压少量山地草原植被，但占地面积有限，且占地内</w:t>
      </w:r>
      <w:r>
        <w:rPr>
          <w:rFonts w:hint="eastAsia" w:cs="Times New Roman" w:eastAsiaTheme="minorEastAsia"/>
          <w:lang w:eastAsia="zh-CN"/>
        </w:rPr>
        <w:t>植被盖度</w:t>
      </w:r>
      <w:r>
        <w:rPr>
          <w:rFonts w:cs="Times New Roman" w:eastAsiaTheme="minorEastAsia"/>
        </w:rPr>
        <w:t>较低，对区域草场资源的影响极小，不会降低区域农畜产品生产、土壤保持生态服务功能。环评阶段提出工程实施过程中应优化施工组织设计，严格控制占地面积，限制施工扰动范围，在施工结束后及时采取植被恢复、水土保持措施，尽可能减少对区域草原植被的破坏</w:t>
      </w:r>
      <w:r>
        <w:rPr>
          <w:rFonts w:cs="Times New Roman" w:eastAsiaTheme="minorEastAsia"/>
          <w:szCs w:val="24"/>
        </w:rPr>
        <w:t>。</w:t>
      </w:r>
    </w:p>
    <w:p>
      <w:pPr>
        <w:tabs>
          <w:tab w:val="left" w:pos="1498"/>
          <w:tab w:val="right" w:leader="dot" w:pos="8302"/>
        </w:tabs>
        <w:autoSpaceDE w:val="0"/>
        <w:autoSpaceDN w:val="0"/>
        <w:ind w:firstLine="480"/>
        <w:textAlignment w:val="baseline"/>
        <w:rPr>
          <w:rFonts w:cs="Times New Roman" w:eastAsiaTheme="minorEastAsia"/>
        </w:rPr>
      </w:pPr>
      <w:r>
        <w:rPr>
          <w:rFonts w:cs="Times New Roman" w:eastAsiaTheme="minorEastAsia"/>
        </w:rPr>
        <w:t>总体来看，</w:t>
      </w:r>
      <w:r>
        <w:rPr>
          <w:rFonts w:cs="Times New Roman" w:eastAsiaTheme="minorEastAsia"/>
          <w:kern w:val="0"/>
          <w:szCs w:val="20"/>
        </w:rPr>
        <w:t>工程建设</w:t>
      </w:r>
      <w:r>
        <w:rPr>
          <w:rFonts w:hint="eastAsia" w:cs="Times New Roman" w:eastAsiaTheme="minorEastAsia"/>
          <w:kern w:val="0"/>
          <w:szCs w:val="20"/>
          <w:lang w:eastAsia="zh-CN"/>
        </w:rPr>
        <w:t>将</w:t>
      </w:r>
      <w:r>
        <w:rPr>
          <w:rFonts w:cs="Times New Roman" w:eastAsiaTheme="minorEastAsia"/>
          <w:kern w:val="0"/>
          <w:szCs w:val="20"/>
        </w:rPr>
        <w:t>可能对涉及区</w:t>
      </w:r>
      <w:r>
        <w:rPr>
          <w:rFonts w:cs="Times New Roman" w:eastAsiaTheme="minorEastAsia"/>
        </w:rPr>
        <w:t>域草原植被产生一定不利影响，但影响极为有限，在采取植被恢复、水土保持等措施的基础上，工程建设不会对巴里坤、伊吾盆地绿洲农业及山地草原牧业生态功能区生态服务功能产生明显影响，亦不会加剧区域现有主要生态问题，符合本区生态功能区划管控要求。</w:t>
      </w:r>
    </w:p>
    <w:p>
      <w:pPr>
        <w:tabs>
          <w:tab w:val="left" w:pos="1498"/>
          <w:tab w:val="right" w:leader="dot" w:pos="8302"/>
        </w:tabs>
        <w:autoSpaceDE w:val="0"/>
        <w:autoSpaceDN w:val="0"/>
        <w:ind w:firstLine="480"/>
        <w:textAlignment w:val="baseline"/>
        <w:rPr>
          <w:rFonts w:cs="Times New Roman" w:eastAsiaTheme="minorEastAsia"/>
          <w:color w:val="FF0000"/>
        </w:rPr>
      </w:pPr>
    </w:p>
    <w:p>
      <w:pPr>
        <w:pStyle w:val="3"/>
        <w:rPr>
          <w:rFonts w:cs="Times New Roman"/>
        </w:rPr>
      </w:pPr>
      <w:bookmarkStart w:id="74" w:name="_Toc181381605"/>
      <w:r>
        <w:rPr>
          <w:rFonts w:cs="Times New Roman"/>
        </w:rPr>
        <w:t>3.3 工程方案环境合理性分析</w:t>
      </w:r>
      <w:bookmarkEnd w:id="74"/>
    </w:p>
    <w:p>
      <w:pPr>
        <w:pStyle w:val="4"/>
        <w:rPr>
          <w:rFonts w:cs="Times New Roman"/>
        </w:rPr>
      </w:pPr>
      <w:r>
        <w:rPr>
          <w:rFonts w:cs="Times New Roman"/>
        </w:rPr>
        <w:t>3.3.1 坝址选址环境合理性分析</w:t>
      </w:r>
    </w:p>
    <w:p>
      <w:pPr>
        <w:ind w:firstLine="480"/>
        <w:rPr>
          <w:rFonts w:cs="Times New Roman"/>
        </w:rPr>
      </w:pPr>
      <w:r>
        <w:rPr>
          <w:rFonts w:cs="Times New Roman"/>
        </w:rPr>
        <w:t>本阶段，主体设计提出了上、中、下3个坝址方案进行比较，其中上坝址位于出山口以上7.0km处，中坝址位于出山口以上6.5km处，下坝址位于出山口以上6.2km处，最终推荐中坝址。</w:t>
      </w:r>
    </w:p>
    <w:p>
      <w:pPr>
        <w:ind w:firstLine="480"/>
        <w:rPr>
          <w:rFonts w:cs="Times New Roman"/>
        </w:rPr>
      </w:pPr>
      <w:r>
        <w:rPr>
          <w:rFonts w:cs="Times New Roman"/>
        </w:rPr>
        <w:t>从环境角度对上中下三个坝址选址方案进行比选，具体见表3.3-1。</w:t>
      </w:r>
    </w:p>
    <w:p>
      <w:pPr>
        <w:ind w:firstLine="480"/>
        <w:rPr>
          <w:rFonts w:cs="Times New Roman"/>
        </w:rPr>
      </w:pPr>
      <w:r>
        <w:rPr>
          <w:rFonts w:cs="Times New Roman"/>
        </w:rPr>
        <w:t>经比选，上中下三个坝址均涉及东天山水源涵养与生物多样性维护生态保护红线区，但影响差别不大；三个坝址对河流水文情势、主要生态环境等影响程度均无明显差别，因此，同意主体工程设计推荐的中坝址方案。</w:t>
      </w:r>
    </w:p>
    <w:p>
      <w:pPr>
        <w:ind w:firstLine="480"/>
        <w:rPr>
          <w:rFonts w:cs="Times New Roman"/>
        </w:rPr>
        <w:sectPr>
          <w:headerReference r:id="rId13" w:type="first"/>
          <w:footerReference r:id="rId16" w:type="first"/>
          <w:headerReference r:id="rId11" w:type="default"/>
          <w:footerReference r:id="rId14" w:type="default"/>
          <w:headerReference r:id="rId12" w:type="even"/>
          <w:footerReference r:id="rId15" w:type="even"/>
          <w:pgSz w:w="11906" w:h="16838"/>
          <w:pgMar w:top="1418" w:right="1559" w:bottom="1418" w:left="1559" w:header="851" w:footer="992" w:gutter="0"/>
          <w:cols w:space="425" w:num="1"/>
          <w:docGrid w:linePitch="312" w:charSpace="0"/>
        </w:sectPr>
      </w:pPr>
    </w:p>
    <w:p>
      <w:pPr>
        <w:pStyle w:val="137"/>
        <w:spacing w:before="48"/>
      </w:pPr>
      <w:r>
        <w:t>表3.3-1                                代尔昆代水库坝址比选方案环境比选表</w:t>
      </w:r>
    </w:p>
    <w:tbl>
      <w:tblPr>
        <w:tblStyle w:val="1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3"/>
        <w:gridCol w:w="269"/>
        <w:gridCol w:w="544"/>
        <w:gridCol w:w="3567"/>
        <w:gridCol w:w="3597"/>
        <w:gridCol w:w="3570"/>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5" w:type="pct"/>
            <w:vMerge w:val="restart"/>
            <w:vAlign w:val="center"/>
          </w:tcPr>
          <w:p>
            <w:pPr>
              <w:pStyle w:val="136"/>
              <w:rPr>
                <w:kern w:val="0"/>
              </w:rPr>
            </w:pPr>
            <w:r>
              <w:rPr>
                <w:kern w:val="0"/>
              </w:rPr>
              <w:t>序号</w:t>
            </w:r>
          </w:p>
        </w:tc>
        <w:tc>
          <w:tcPr>
            <w:tcW w:w="295" w:type="pct"/>
            <w:gridSpan w:val="2"/>
            <w:vMerge w:val="restart"/>
            <w:vAlign w:val="center"/>
          </w:tcPr>
          <w:p>
            <w:pPr>
              <w:pStyle w:val="136"/>
              <w:rPr>
                <w:kern w:val="0"/>
              </w:rPr>
            </w:pPr>
            <w:r>
              <w:rPr>
                <w:kern w:val="0"/>
              </w:rPr>
              <w:t>比选项目</w:t>
            </w:r>
          </w:p>
        </w:tc>
        <w:tc>
          <w:tcPr>
            <w:tcW w:w="3909" w:type="pct"/>
            <w:gridSpan w:val="3"/>
            <w:vAlign w:val="center"/>
          </w:tcPr>
          <w:p>
            <w:pPr>
              <w:pStyle w:val="136"/>
              <w:rPr>
                <w:kern w:val="0"/>
              </w:rPr>
            </w:pPr>
            <w:r>
              <w:rPr>
                <w:kern w:val="0"/>
              </w:rPr>
              <w:t>场址名称</w:t>
            </w:r>
          </w:p>
        </w:tc>
        <w:tc>
          <w:tcPr>
            <w:tcW w:w="711" w:type="pct"/>
            <w:vMerge w:val="restart"/>
            <w:vAlign w:val="center"/>
          </w:tcPr>
          <w:p>
            <w:pPr>
              <w:pStyle w:val="136"/>
              <w:rPr>
                <w:kern w:val="0"/>
              </w:rPr>
            </w:pPr>
            <w:r>
              <w:rPr>
                <w:kern w:val="0"/>
              </w:rPr>
              <w:t>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5" w:type="pct"/>
            <w:vMerge w:val="continue"/>
            <w:textDirection w:val="tbRlV"/>
            <w:vAlign w:val="center"/>
          </w:tcPr>
          <w:p>
            <w:pPr>
              <w:pStyle w:val="136"/>
              <w:rPr>
                <w:kern w:val="0"/>
              </w:rPr>
            </w:pPr>
          </w:p>
        </w:tc>
        <w:tc>
          <w:tcPr>
            <w:tcW w:w="295" w:type="pct"/>
            <w:gridSpan w:val="2"/>
            <w:vMerge w:val="continue"/>
            <w:vAlign w:val="center"/>
          </w:tcPr>
          <w:p>
            <w:pPr>
              <w:pStyle w:val="136"/>
              <w:rPr>
                <w:kern w:val="0"/>
              </w:rPr>
            </w:pPr>
          </w:p>
        </w:tc>
        <w:tc>
          <w:tcPr>
            <w:tcW w:w="1299" w:type="pct"/>
            <w:vAlign w:val="center"/>
          </w:tcPr>
          <w:p>
            <w:pPr>
              <w:pStyle w:val="136"/>
              <w:rPr>
                <w:kern w:val="0"/>
              </w:rPr>
            </w:pPr>
            <w:r>
              <w:rPr>
                <w:kern w:val="0"/>
              </w:rPr>
              <w:t>上坝址</w:t>
            </w:r>
          </w:p>
        </w:tc>
        <w:tc>
          <w:tcPr>
            <w:tcW w:w="1310" w:type="pct"/>
            <w:vAlign w:val="center"/>
          </w:tcPr>
          <w:p>
            <w:pPr>
              <w:pStyle w:val="136"/>
              <w:rPr>
                <w:kern w:val="0"/>
              </w:rPr>
            </w:pPr>
            <w:r>
              <w:rPr>
                <w:kern w:val="0"/>
              </w:rPr>
              <w:t>中坝址</w:t>
            </w:r>
          </w:p>
        </w:tc>
        <w:tc>
          <w:tcPr>
            <w:tcW w:w="1299" w:type="pct"/>
            <w:vAlign w:val="center"/>
          </w:tcPr>
          <w:p>
            <w:pPr>
              <w:pStyle w:val="136"/>
              <w:rPr>
                <w:kern w:val="0"/>
              </w:rPr>
            </w:pPr>
            <w:r>
              <w:rPr>
                <w:kern w:val="0"/>
              </w:rPr>
              <w:t>下坝址</w:t>
            </w:r>
          </w:p>
        </w:tc>
        <w:tc>
          <w:tcPr>
            <w:tcW w:w="711" w:type="pct"/>
            <w:vMerge w:val="continue"/>
            <w:vAlign w:val="center"/>
          </w:tcPr>
          <w:p>
            <w:pPr>
              <w:pStyle w:val="136"/>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 w:type="pct"/>
            <w:vAlign w:val="center"/>
          </w:tcPr>
          <w:p>
            <w:pPr>
              <w:pStyle w:val="136"/>
              <w:rPr>
                <w:kern w:val="0"/>
              </w:rPr>
            </w:pPr>
            <w:r>
              <w:rPr>
                <w:kern w:val="0"/>
              </w:rPr>
              <w:t>1</w:t>
            </w:r>
          </w:p>
        </w:tc>
        <w:tc>
          <w:tcPr>
            <w:tcW w:w="295" w:type="pct"/>
            <w:gridSpan w:val="2"/>
            <w:vAlign w:val="center"/>
          </w:tcPr>
          <w:p>
            <w:pPr>
              <w:pStyle w:val="136"/>
              <w:rPr>
                <w:kern w:val="0"/>
              </w:rPr>
            </w:pPr>
            <w:r>
              <w:rPr>
                <w:kern w:val="0"/>
              </w:rPr>
              <w:t>工程概况</w:t>
            </w:r>
          </w:p>
        </w:tc>
        <w:tc>
          <w:tcPr>
            <w:tcW w:w="1299" w:type="pct"/>
            <w:vAlign w:val="center"/>
          </w:tcPr>
          <w:p>
            <w:pPr>
              <w:pStyle w:val="136"/>
              <w:jc w:val="both"/>
              <w:rPr>
                <w:kern w:val="0"/>
              </w:rPr>
            </w:pPr>
            <w:r>
              <w:rPr>
                <w:kern w:val="0"/>
              </w:rPr>
              <w:t>碾压砼重力坝，坝长：142m，坝高67.12m，正常蓄水：2000.66m，相应库容：252.4万m³。建筑物投资：10144.45万元，上坝路投资：1631.63万元，输电线路及管线投资：935万元，占地投资：410.17万元，可比投资：13121.25万元。</w:t>
            </w:r>
          </w:p>
        </w:tc>
        <w:tc>
          <w:tcPr>
            <w:tcW w:w="1310" w:type="pct"/>
            <w:vAlign w:val="center"/>
          </w:tcPr>
          <w:p>
            <w:pPr>
              <w:pStyle w:val="136"/>
              <w:jc w:val="both"/>
              <w:rPr>
                <w:kern w:val="0"/>
              </w:rPr>
            </w:pPr>
            <w:r>
              <w:rPr>
                <w:kern w:val="0"/>
              </w:rPr>
              <w:t>碾压砼重力坝，坝长：195m，坝高63.93m，正常蓄水：1981.85m，相应库容：252.4万m³。建筑物投资：10748.66万元，上坝路投资：890.41万元，输电线路及管线投资：780.00万元，占地投资：424.75万元，可比投资：12843.82万元。</w:t>
            </w:r>
          </w:p>
        </w:tc>
        <w:tc>
          <w:tcPr>
            <w:tcW w:w="1299" w:type="pct"/>
            <w:vAlign w:val="center"/>
          </w:tcPr>
          <w:p>
            <w:pPr>
              <w:pStyle w:val="136"/>
              <w:jc w:val="both"/>
              <w:rPr>
                <w:kern w:val="0"/>
              </w:rPr>
            </w:pPr>
            <w:r>
              <w:rPr>
                <w:kern w:val="0"/>
              </w:rPr>
              <w:t>碾压砼重力坝，坝长：266m，坝高67.3m，正常蓄水：1973.02m，相应库容：252.4万m³。建筑物投资：14741.90万元，上坝路投资：700.31万元，输电线路及管线投资：706.50万元，占地投资：448.05万元，可比投资：16596.76万元。</w:t>
            </w:r>
          </w:p>
        </w:tc>
        <w:tc>
          <w:tcPr>
            <w:tcW w:w="711" w:type="pct"/>
            <w:vAlign w:val="center"/>
          </w:tcPr>
          <w:p>
            <w:pPr>
              <w:pStyle w:val="136"/>
              <w:rPr>
                <w:kern w:val="0"/>
              </w:rPr>
            </w:pPr>
            <w:r>
              <w:rPr>
                <w:kern w:val="0"/>
              </w:rPr>
              <w:t>场址位置基本相同；</w:t>
            </w:r>
          </w:p>
          <w:p>
            <w:pPr>
              <w:pStyle w:val="136"/>
              <w:rPr>
                <w:kern w:val="0"/>
              </w:rPr>
            </w:pPr>
            <w:r>
              <w:rPr>
                <w:kern w:val="0"/>
              </w:rPr>
              <w:t>相同坝型情况下，中坝址投资最少。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 w:type="pct"/>
            <w:vAlign w:val="center"/>
          </w:tcPr>
          <w:p>
            <w:pPr>
              <w:pStyle w:val="136"/>
              <w:rPr>
                <w:kern w:val="0"/>
              </w:rPr>
            </w:pPr>
            <w:r>
              <w:rPr>
                <w:kern w:val="0"/>
              </w:rPr>
              <w:t>2</w:t>
            </w:r>
          </w:p>
        </w:tc>
        <w:tc>
          <w:tcPr>
            <w:tcW w:w="295" w:type="pct"/>
            <w:gridSpan w:val="2"/>
            <w:vAlign w:val="center"/>
          </w:tcPr>
          <w:p>
            <w:pPr>
              <w:pStyle w:val="136"/>
              <w:rPr>
                <w:kern w:val="0"/>
              </w:rPr>
            </w:pPr>
            <w:r>
              <w:rPr>
                <w:kern w:val="0"/>
              </w:rPr>
              <w:t>环境概况</w:t>
            </w:r>
          </w:p>
        </w:tc>
        <w:tc>
          <w:tcPr>
            <w:tcW w:w="1299" w:type="pct"/>
            <w:vAlign w:val="center"/>
          </w:tcPr>
          <w:p>
            <w:pPr>
              <w:pStyle w:val="136"/>
              <w:rPr>
                <w:kern w:val="0"/>
              </w:rPr>
            </w:pPr>
            <w:r>
              <w:rPr>
                <w:kern w:val="0"/>
              </w:rPr>
              <w:t>位于代尔昆代郭勒河上游峡谷，位于出山口以上7.0km处，河道呈“U”型，河谷狭窄，现代河床宽28m，库盘较小；</w:t>
            </w:r>
            <w:r>
              <w:rPr>
                <w:rFonts w:hint="eastAsia"/>
                <w:kern w:val="0"/>
                <w:lang w:eastAsia="zh-CN"/>
              </w:rPr>
              <w:t>占用地区植被</w:t>
            </w:r>
            <w:r>
              <w:rPr>
                <w:kern w:val="0"/>
              </w:rPr>
              <w:t>主要以荒漠植被为主，覆</w:t>
            </w:r>
            <w:r>
              <w:rPr>
                <w:rFonts w:hint="eastAsia"/>
                <w:kern w:val="0"/>
                <w:lang w:eastAsia="zh-CN"/>
              </w:rPr>
              <w:t>植盖度</w:t>
            </w:r>
            <w:r>
              <w:rPr>
                <w:kern w:val="0"/>
              </w:rPr>
              <w:t>在10%～30%，无保护动植物分布，为重要物种的重要生境分布；无鱼类分布； 工程区涉及天山水源涵养与生物多样性维护生态保护红线及天山北坡国家级重点防护敏感区。</w:t>
            </w:r>
          </w:p>
        </w:tc>
        <w:tc>
          <w:tcPr>
            <w:tcW w:w="1310" w:type="pct"/>
            <w:vAlign w:val="center"/>
          </w:tcPr>
          <w:p>
            <w:pPr>
              <w:pStyle w:val="136"/>
              <w:rPr>
                <w:kern w:val="0"/>
              </w:rPr>
            </w:pPr>
            <w:r>
              <w:rPr>
                <w:kern w:val="0"/>
              </w:rPr>
              <w:t>位于代尔昆代郭勒河上游峡谷，位于出山口以上6.5km处；河谷类型为“U”型谷，谷底宽度59.00m，库盘较上坝址大，南北走向；</w:t>
            </w:r>
          </w:p>
          <w:p>
            <w:pPr>
              <w:pStyle w:val="136"/>
              <w:rPr>
                <w:kern w:val="0"/>
              </w:rPr>
            </w:pPr>
            <w:r>
              <w:rPr>
                <w:kern w:val="0"/>
              </w:rPr>
              <w:t>工程区环境概况同上坝址。</w:t>
            </w:r>
          </w:p>
        </w:tc>
        <w:tc>
          <w:tcPr>
            <w:tcW w:w="1299" w:type="pct"/>
            <w:vAlign w:val="center"/>
          </w:tcPr>
          <w:p>
            <w:pPr>
              <w:pStyle w:val="136"/>
              <w:rPr>
                <w:kern w:val="0"/>
              </w:rPr>
            </w:pPr>
            <w:r>
              <w:rPr>
                <w:kern w:val="0"/>
              </w:rPr>
              <w:t>位于代尔昆代郭勒河上游峡谷，位于出山口以上6.2km处；河谷类型为“U”型谷，谷底宽度73.00m，库盘相对最大，该段流域无控制性工程，处于未开发状态；</w:t>
            </w:r>
          </w:p>
          <w:p>
            <w:pPr>
              <w:pStyle w:val="136"/>
              <w:rPr>
                <w:kern w:val="0"/>
              </w:rPr>
            </w:pPr>
            <w:r>
              <w:rPr>
                <w:kern w:val="0"/>
              </w:rPr>
              <w:t>工程区环境概况同上坝址。</w:t>
            </w:r>
          </w:p>
        </w:tc>
        <w:tc>
          <w:tcPr>
            <w:tcW w:w="711" w:type="pct"/>
            <w:vAlign w:val="center"/>
          </w:tcPr>
          <w:p>
            <w:pPr>
              <w:pStyle w:val="136"/>
              <w:rPr>
                <w:kern w:val="0"/>
              </w:rPr>
            </w:pPr>
            <w:r>
              <w:rPr>
                <w:kern w:val="0"/>
              </w:rPr>
              <w:t>上、中、下坝址所处环境概况基本相同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 w:type="pct"/>
            <w:vMerge w:val="restart"/>
            <w:vAlign w:val="center"/>
          </w:tcPr>
          <w:p>
            <w:pPr>
              <w:pStyle w:val="136"/>
              <w:rPr>
                <w:kern w:val="0"/>
              </w:rPr>
            </w:pPr>
            <w:r>
              <w:rPr>
                <w:kern w:val="0"/>
              </w:rPr>
              <w:t>3</w:t>
            </w:r>
          </w:p>
          <w:p>
            <w:pPr>
              <w:pStyle w:val="136"/>
              <w:rPr>
                <w:kern w:val="0"/>
              </w:rPr>
            </w:pPr>
          </w:p>
        </w:tc>
        <w:tc>
          <w:tcPr>
            <w:tcW w:w="98" w:type="pct"/>
            <w:vMerge w:val="restart"/>
            <w:vAlign w:val="center"/>
          </w:tcPr>
          <w:p>
            <w:pPr>
              <w:pStyle w:val="136"/>
              <w:rPr>
                <w:kern w:val="0"/>
              </w:rPr>
            </w:pPr>
            <w:r>
              <w:rPr>
                <w:kern w:val="0"/>
              </w:rPr>
              <w:t>环境比选</w:t>
            </w:r>
          </w:p>
        </w:tc>
        <w:tc>
          <w:tcPr>
            <w:tcW w:w="198" w:type="pct"/>
            <w:vAlign w:val="center"/>
          </w:tcPr>
          <w:p>
            <w:pPr>
              <w:pStyle w:val="136"/>
              <w:rPr>
                <w:kern w:val="0"/>
              </w:rPr>
            </w:pPr>
            <w:r>
              <w:rPr>
                <w:kern w:val="0"/>
              </w:rPr>
              <w:t>工程淹没及占地</w:t>
            </w:r>
          </w:p>
        </w:tc>
        <w:tc>
          <w:tcPr>
            <w:tcW w:w="1299" w:type="pct"/>
            <w:vAlign w:val="center"/>
          </w:tcPr>
          <w:p>
            <w:pPr>
              <w:pStyle w:val="136"/>
              <w:rPr>
                <w:kern w:val="0"/>
              </w:rPr>
            </w:pPr>
            <w:r>
              <w:rPr>
                <w:kern w:val="0"/>
              </w:rPr>
              <w:t>正常蓄水位淹没面积为25.5hm</w:t>
            </w:r>
            <w:r>
              <w:rPr>
                <w:kern w:val="0"/>
                <w:vertAlign w:val="superscript"/>
              </w:rPr>
              <w:t>2</w:t>
            </w:r>
            <w:r>
              <w:rPr>
                <w:kern w:val="0"/>
              </w:rPr>
              <w:t>，占地类型：荒漠草地、水域。</w:t>
            </w:r>
          </w:p>
        </w:tc>
        <w:tc>
          <w:tcPr>
            <w:tcW w:w="1310" w:type="pct"/>
            <w:vAlign w:val="center"/>
          </w:tcPr>
          <w:p>
            <w:pPr>
              <w:pStyle w:val="136"/>
              <w:rPr>
                <w:kern w:val="0"/>
              </w:rPr>
            </w:pPr>
            <w:r>
              <w:rPr>
                <w:kern w:val="0"/>
              </w:rPr>
              <w:t>正常蓄水位淹没面积为19.36hm</w:t>
            </w:r>
            <w:r>
              <w:rPr>
                <w:kern w:val="0"/>
                <w:vertAlign w:val="superscript"/>
              </w:rPr>
              <w:t>2</w:t>
            </w:r>
            <w:r>
              <w:rPr>
                <w:kern w:val="0"/>
              </w:rPr>
              <w:t>，占地类型：荒漠草地、水域。</w:t>
            </w:r>
          </w:p>
        </w:tc>
        <w:tc>
          <w:tcPr>
            <w:tcW w:w="1299" w:type="pct"/>
            <w:vAlign w:val="center"/>
          </w:tcPr>
          <w:p>
            <w:pPr>
              <w:pStyle w:val="136"/>
              <w:rPr>
                <w:kern w:val="0"/>
              </w:rPr>
            </w:pPr>
            <w:r>
              <w:rPr>
                <w:kern w:val="0"/>
              </w:rPr>
              <w:t>正常蓄水位淹没面积为22.79hm</w:t>
            </w:r>
            <w:r>
              <w:rPr>
                <w:kern w:val="0"/>
                <w:vertAlign w:val="superscript"/>
              </w:rPr>
              <w:t>2</w:t>
            </w:r>
            <w:r>
              <w:rPr>
                <w:kern w:val="0"/>
              </w:rPr>
              <w:t>，占地类型：荒漠草地、水域</w:t>
            </w:r>
          </w:p>
        </w:tc>
        <w:tc>
          <w:tcPr>
            <w:tcW w:w="711" w:type="pct"/>
            <w:vAlign w:val="center"/>
          </w:tcPr>
          <w:p>
            <w:pPr>
              <w:pStyle w:val="136"/>
              <w:rPr>
                <w:kern w:val="0"/>
              </w:rPr>
            </w:pPr>
            <w:r>
              <w:rPr>
                <w:kern w:val="0"/>
              </w:rPr>
              <w:t>占地类型相同，上坝址的水库淹没面积最大。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 w:type="pct"/>
            <w:vMerge w:val="continue"/>
            <w:vAlign w:val="center"/>
          </w:tcPr>
          <w:p>
            <w:pPr>
              <w:pStyle w:val="136"/>
              <w:rPr>
                <w:kern w:val="0"/>
              </w:rPr>
            </w:pPr>
          </w:p>
        </w:tc>
        <w:tc>
          <w:tcPr>
            <w:tcW w:w="98" w:type="pct"/>
            <w:vMerge w:val="continue"/>
            <w:vAlign w:val="center"/>
          </w:tcPr>
          <w:p>
            <w:pPr>
              <w:pStyle w:val="136"/>
              <w:rPr>
                <w:kern w:val="0"/>
              </w:rPr>
            </w:pPr>
          </w:p>
        </w:tc>
        <w:tc>
          <w:tcPr>
            <w:tcW w:w="198" w:type="pct"/>
            <w:vAlign w:val="center"/>
          </w:tcPr>
          <w:p>
            <w:pPr>
              <w:pStyle w:val="136"/>
              <w:rPr>
                <w:kern w:val="0"/>
              </w:rPr>
            </w:pPr>
            <w:r>
              <w:rPr>
                <w:kern w:val="0"/>
              </w:rPr>
              <w:t>敏感目标</w:t>
            </w:r>
          </w:p>
        </w:tc>
        <w:tc>
          <w:tcPr>
            <w:tcW w:w="1299" w:type="pct"/>
            <w:vAlign w:val="center"/>
          </w:tcPr>
          <w:p>
            <w:pPr>
              <w:pStyle w:val="136"/>
              <w:rPr>
                <w:kern w:val="0"/>
              </w:rPr>
            </w:pPr>
            <w:r>
              <w:rPr>
                <w:kern w:val="0"/>
              </w:rPr>
              <w:t>大坝及淹没区位于天山水源涵养与生物多样性维护生态保护红线范围内；无保护动植物，非重要栖息地。</w:t>
            </w:r>
          </w:p>
        </w:tc>
        <w:tc>
          <w:tcPr>
            <w:tcW w:w="1310" w:type="pct"/>
            <w:vAlign w:val="center"/>
          </w:tcPr>
          <w:p>
            <w:pPr>
              <w:pStyle w:val="136"/>
              <w:rPr>
                <w:kern w:val="0"/>
              </w:rPr>
            </w:pPr>
            <w:r>
              <w:rPr>
                <w:kern w:val="0"/>
              </w:rPr>
              <w:t>大坝及淹没区位于天山水源涵养与生物多样性维护生态保护红线范围内；无保护动植物，非重要栖息地。</w:t>
            </w:r>
          </w:p>
        </w:tc>
        <w:tc>
          <w:tcPr>
            <w:tcW w:w="1299" w:type="pct"/>
            <w:vAlign w:val="center"/>
          </w:tcPr>
          <w:p>
            <w:pPr>
              <w:pStyle w:val="136"/>
              <w:rPr>
                <w:kern w:val="0"/>
              </w:rPr>
            </w:pPr>
            <w:r>
              <w:rPr>
                <w:kern w:val="0"/>
              </w:rPr>
              <w:t>仅水库部分淹没区位于天山水源涵养与生物多样性维护生态保护红线范围内；无保护动植物，非重要栖息地。</w:t>
            </w:r>
          </w:p>
        </w:tc>
        <w:tc>
          <w:tcPr>
            <w:tcW w:w="711" w:type="pct"/>
            <w:vAlign w:val="center"/>
          </w:tcPr>
          <w:p>
            <w:pPr>
              <w:pStyle w:val="136"/>
              <w:rPr>
                <w:kern w:val="0"/>
              </w:rPr>
            </w:pPr>
            <w:r>
              <w:rPr>
                <w:kern w:val="0"/>
              </w:rPr>
              <w:t>从占用生态保护红线角度，下坝址占用较少，较优。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 w:type="pct"/>
            <w:vMerge w:val="continue"/>
            <w:vAlign w:val="center"/>
          </w:tcPr>
          <w:p>
            <w:pPr>
              <w:pStyle w:val="136"/>
              <w:rPr>
                <w:kern w:val="0"/>
              </w:rPr>
            </w:pPr>
          </w:p>
        </w:tc>
        <w:tc>
          <w:tcPr>
            <w:tcW w:w="98" w:type="pct"/>
            <w:vMerge w:val="continue"/>
            <w:vAlign w:val="center"/>
          </w:tcPr>
          <w:p>
            <w:pPr>
              <w:pStyle w:val="136"/>
              <w:rPr>
                <w:kern w:val="0"/>
              </w:rPr>
            </w:pPr>
          </w:p>
        </w:tc>
        <w:tc>
          <w:tcPr>
            <w:tcW w:w="198" w:type="pct"/>
            <w:vAlign w:val="center"/>
          </w:tcPr>
          <w:p>
            <w:pPr>
              <w:pStyle w:val="136"/>
              <w:rPr>
                <w:kern w:val="0"/>
              </w:rPr>
            </w:pPr>
            <w:r>
              <w:rPr>
                <w:kern w:val="0"/>
              </w:rPr>
              <w:t>水文情势变化河段</w:t>
            </w:r>
          </w:p>
        </w:tc>
        <w:tc>
          <w:tcPr>
            <w:tcW w:w="1299" w:type="pct"/>
            <w:vAlign w:val="center"/>
          </w:tcPr>
          <w:p>
            <w:pPr>
              <w:pStyle w:val="136"/>
              <w:rPr>
                <w:kern w:val="0"/>
              </w:rPr>
            </w:pPr>
            <w:r>
              <w:rPr>
                <w:kern w:val="0"/>
              </w:rPr>
              <w:t>回水线长1460m，回水面积16.66万m</w:t>
            </w:r>
            <w:r>
              <w:rPr>
                <w:kern w:val="0"/>
                <w:vertAlign w:val="superscript"/>
              </w:rPr>
              <w:t>2</w:t>
            </w:r>
            <w:r>
              <w:rPr>
                <w:kern w:val="0"/>
              </w:rPr>
              <w:t>；</w:t>
            </w:r>
          </w:p>
          <w:p>
            <w:pPr>
              <w:pStyle w:val="136"/>
              <w:rPr>
                <w:kern w:val="0"/>
              </w:rPr>
            </w:pPr>
            <w:r>
              <w:rPr>
                <w:kern w:val="0"/>
              </w:rPr>
              <w:t>坝址距河口约7km，坝址下游除汛期6、7、8月有地表明流可至出水口外，其余月份基本无明流；</w:t>
            </w:r>
          </w:p>
          <w:p>
            <w:pPr>
              <w:pStyle w:val="136"/>
              <w:rPr>
                <w:kern w:val="0"/>
              </w:rPr>
            </w:pPr>
            <w:r>
              <w:rPr>
                <w:kern w:val="0"/>
              </w:rPr>
              <w:t>年供水量359.57万m</w:t>
            </w:r>
            <w:r>
              <w:rPr>
                <w:kern w:val="0"/>
                <w:vertAlign w:val="superscript"/>
              </w:rPr>
              <w:t>3</w:t>
            </w:r>
            <w:r>
              <w:rPr>
                <w:kern w:val="0"/>
              </w:rPr>
              <w:t>，导致坝址下泄水量减少。</w:t>
            </w:r>
          </w:p>
        </w:tc>
        <w:tc>
          <w:tcPr>
            <w:tcW w:w="1310" w:type="pct"/>
            <w:vAlign w:val="center"/>
          </w:tcPr>
          <w:p>
            <w:pPr>
              <w:pStyle w:val="136"/>
              <w:rPr>
                <w:kern w:val="0"/>
              </w:rPr>
            </w:pPr>
            <w:r>
              <w:rPr>
                <w:kern w:val="0"/>
              </w:rPr>
              <w:t>回水线长1270m，回水面积18.37万m</w:t>
            </w:r>
            <w:r>
              <w:rPr>
                <w:kern w:val="0"/>
                <w:vertAlign w:val="superscript"/>
              </w:rPr>
              <w:t>2</w:t>
            </w:r>
            <w:r>
              <w:rPr>
                <w:kern w:val="0"/>
              </w:rPr>
              <w:t>；</w:t>
            </w:r>
          </w:p>
          <w:p>
            <w:pPr>
              <w:pStyle w:val="136"/>
              <w:rPr>
                <w:kern w:val="0"/>
              </w:rPr>
            </w:pPr>
            <w:r>
              <w:rPr>
                <w:kern w:val="0"/>
              </w:rPr>
              <w:t>坝址距河口约6.5km，坝址下游除汛期6、7、8月有地表明流可至出水口外，其余月份基本无明流；</w:t>
            </w:r>
          </w:p>
          <w:p>
            <w:pPr>
              <w:pStyle w:val="136"/>
              <w:rPr>
                <w:kern w:val="0"/>
              </w:rPr>
            </w:pPr>
            <w:r>
              <w:rPr>
                <w:kern w:val="0"/>
              </w:rPr>
              <w:t>年供水量及影响程度同上坝址。</w:t>
            </w:r>
          </w:p>
        </w:tc>
        <w:tc>
          <w:tcPr>
            <w:tcW w:w="1299" w:type="pct"/>
            <w:vAlign w:val="center"/>
          </w:tcPr>
          <w:p>
            <w:pPr>
              <w:pStyle w:val="136"/>
              <w:rPr>
                <w:kern w:val="0"/>
              </w:rPr>
            </w:pPr>
            <w:r>
              <w:rPr>
                <w:kern w:val="0"/>
              </w:rPr>
              <w:t>回水线长1260m，回水面积19.54万m</w:t>
            </w:r>
            <w:r>
              <w:rPr>
                <w:kern w:val="0"/>
                <w:vertAlign w:val="superscript"/>
              </w:rPr>
              <w:t>2</w:t>
            </w:r>
            <w:r>
              <w:rPr>
                <w:kern w:val="0"/>
              </w:rPr>
              <w:t>；</w:t>
            </w:r>
          </w:p>
          <w:p>
            <w:pPr>
              <w:pStyle w:val="136"/>
              <w:rPr>
                <w:kern w:val="0"/>
              </w:rPr>
            </w:pPr>
            <w:r>
              <w:rPr>
                <w:kern w:val="0"/>
              </w:rPr>
              <w:t>坝址距河口约6.1km，坝址下游除汛期7、8月份有少量明流至出水口，河长约6.1km，常年无明流。</w:t>
            </w:r>
          </w:p>
          <w:p>
            <w:pPr>
              <w:pStyle w:val="136"/>
              <w:rPr>
                <w:kern w:val="0"/>
              </w:rPr>
            </w:pPr>
            <w:r>
              <w:rPr>
                <w:kern w:val="0"/>
              </w:rPr>
              <w:t>年供水量及影响程度同上坝址。</w:t>
            </w:r>
          </w:p>
        </w:tc>
        <w:tc>
          <w:tcPr>
            <w:tcW w:w="711" w:type="pct"/>
            <w:vAlign w:val="center"/>
          </w:tcPr>
          <w:p>
            <w:pPr>
              <w:pStyle w:val="136"/>
              <w:rPr>
                <w:kern w:val="0"/>
              </w:rPr>
            </w:pPr>
            <w:r>
              <w:rPr>
                <w:kern w:val="0"/>
              </w:rPr>
              <w:t>上中下三个坝址对水文情势影响程度相差不大。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 w:type="pct"/>
            <w:vMerge w:val="continue"/>
            <w:vAlign w:val="center"/>
          </w:tcPr>
          <w:p>
            <w:pPr>
              <w:pStyle w:val="136"/>
              <w:rPr>
                <w:kern w:val="0"/>
              </w:rPr>
            </w:pPr>
          </w:p>
        </w:tc>
        <w:tc>
          <w:tcPr>
            <w:tcW w:w="98" w:type="pct"/>
            <w:vMerge w:val="restart"/>
            <w:vAlign w:val="center"/>
          </w:tcPr>
          <w:p>
            <w:pPr>
              <w:pStyle w:val="136"/>
              <w:rPr>
                <w:kern w:val="0"/>
              </w:rPr>
            </w:pPr>
          </w:p>
        </w:tc>
        <w:tc>
          <w:tcPr>
            <w:tcW w:w="198" w:type="pct"/>
            <w:vAlign w:val="center"/>
          </w:tcPr>
          <w:p>
            <w:pPr>
              <w:pStyle w:val="136"/>
              <w:rPr>
                <w:kern w:val="0"/>
              </w:rPr>
            </w:pPr>
            <w:r>
              <w:rPr>
                <w:kern w:val="0"/>
              </w:rPr>
              <w:t>水土流失</w:t>
            </w:r>
          </w:p>
        </w:tc>
        <w:tc>
          <w:tcPr>
            <w:tcW w:w="1299" w:type="pct"/>
            <w:vAlign w:val="center"/>
          </w:tcPr>
          <w:p>
            <w:pPr>
              <w:pStyle w:val="136"/>
              <w:rPr>
                <w:kern w:val="0"/>
              </w:rPr>
            </w:pPr>
            <w:r>
              <w:rPr>
                <w:kern w:val="0"/>
              </w:rPr>
              <w:t>土石方开挖：17.7万m</w:t>
            </w:r>
            <w:r>
              <w:rPr>
                <w:kern w:val="0"/>
                <w:vertAlign w:val="superscript"/>
              </w:rPr>
              <w:t>3</w:t>
            </w:r>
            <w:r>
              <w:rPr>
                <w:kern w:val="0"/>
              </w:rPr>
              <w:t>，石方洞挖2.08万m</w:t>
            </w:r>
            <w:r>
              <w:rPr>
                <w:kern w:val="0"/>
                <w:vertAlign w:val="superscript"/>
              </w:rPr>
              <w:t>3</w:t>
            </w:r>
            <w:r>
              <w:rPr>
                <w:kern w:val="0"/>
              </w:rPr>
              <w:t>。</w:t>
            </w:r>
          </w:p>
        </w:tc>
        <w:tc>
          <w:tcPr>
            <w:tcW w:w="1310" w:type="pct"/>
            <w:vAlign w:val="center"/>
          </w:tcPr>
          <w:p>
            <w:pPr>
              <w:pStyle w:val="136"/>
              <w:rPr>
                <w:kern w:val="0"/>
              </w:rPr>
            </w:pPr>
            <w:r>
              <w:rPr>
                <w:kern w:val="0"/>
              </w:rPr>
              <w:t>土石方开挖：20.9万m</w:t>
            </w:r>
            <w:r>
              <w:rPr>
                <w:kern w:val="0"/>
                <w:vertAlign w:val="superscript"/>
              </w:rPr>
              <w:t>3</w:t>
            </w:r>
            <w:r>
              <w:rPr>
                <w:kern w:val="0"/>
              </w:rPr>
              <w:t>，石方洞挖2.42万m</w:t>
            </w:r>
            <w:r>
              <w:rPr>
                <w:kern w:val="0"/>
                <w:vertAlign w:val="superscript"/>
              </w:rPr>
              <w:t>3</w:t>
            </w:r>
            <w:r>
              <w:rPr>
                <w:kern w:val="0"/>
              </w:rPr>
              <w:t>。</w:t>
            </w:r>
          </w:p>
        </w:tc>
        <w:tc>
          <w:tcPr>
            <w:tcW w:w="1299" w:type="pct"/>
            <w:vAlign w:val="center"/>
          </w:tcPr>
          <w:p>
            <w:pPr>
              <w:pStyle w:val="136"/>
              <w:rPr>
                <w:kern w:val="0"/>
              </w:rPr>
            </w:pPr>
            <w:r>
              <w:rPr>
                <w:kern w:val="0"/>
              </w:rPr>
              <w:t>土石方开挖：31.92万m</w:t>
            </w:r>
            <w:r>
              <w:rPr>
                <w:kern w:val="0"/>
                <w:vertAlign w:val="superscript"/>
              </w:rPr>
              <w:t>3</w:t>
            </w:r>
            <w:r>
              <w:rPr>
                <w:kern w:val="0"/>
              </w:rPr>
              <w:t>，石方洞挖2.08万m</w:t>
            </w:r>
            <w:r>
              <w:rPr>
                <w:kern w:val="0"/>
                <w:vertAlign w:val="superscript"/>
              </w:rPr>
              <w:t>3</w:t>
            </w:r>
            <w:r>
              <w:rPr>
                <w:kern w:val="0"/>
              </w:rPr>
              <w:t>。</w:t>
            </w:r>
          </w:p>
        </w:tc>
        <w:tc>
          <w:tcPr>
            <w:tcW w:w="711" w:type="pct"/>
            <w:vAlign w:val="center"/>
          </w:tcPr>
          <w:p>
            <w:pPr>
              <w:pStyle w:val="136"/>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 w:type="pct"/>
            <w:vMerge w:val="continue"/>
            <w:vAlign w:val="center"/>
          </w:tcPr>
          <w:p>
            <w:pPr>
              <w:pStyle w:val="136"/>
              <w:rPr>
                <w:kern w:val="0"/>
              </w:rPr>
            </w:pPr>
          </w:p>
        </w:tc>
        <w:tc>
          <w:tcPr>
            <w:tcW w:w="98" w:type="pct"/>
            <w:vMerge w:val="continue"/>
            <w:vAlign w:val="center"/>
          </w:tcPr>
          <w:p>
            <w:pPr>
              <w:pStyle w:val="136"/>
              <w:rPr>
                <w:kern w:val="0"/>
              </w:rPr>
            </w:pPr>
          </w:p>
        </w:tc>
        <w:tc>
          <w:tcPr>
            <w:tcW w:w="198" w:type="pct"/>
            <w:vAlign w:val="center"/>
          </w:tcPr>
          <w:p>
            <w:pPr>
              <w:pStyle w:val="136"/>
              <w:rPr>
                <w:kern w:val="0"/>
              </w:rPr>
            </w:pPr>
            <w:r>
              <w:rPr>
                <w:kern w:val="0"/>
              </w:rPr>
              <w:t>生态影响、环境保护</w:t>
            </w:r>
          </w:p>
        </w:tc>
        <w:tc>
          <w:tcPr>
            <w:tcW w:w="1299" w:type="pct"/>
            <w:vAlign w:val="center"/>
          </w:tcPr>
          <w:p>
            <w:pPr>
              <w:pStyle w:val="136"/>
              <w:rPr>
                <w:kern w:val="0"/>
              </w:rPr>
            </w:pPr>
            <w:r>
              <w:rPr>
                <w:kern w:val="0"/>
              </w:rPr>
              <w:t>生态保护红线方面，水库工程占地面积39.8hm</w:t>
            </w:r>
            <w:r>
              <w:rPr>
                <w:kern w:val="0"/>
                <w:vertAlign w:val="superscript"/>
              </w:rPr>
              <w:t>2</w:t>
            </w:r>
            <w:r>
              <w:rPr>
                <w:kern w:val="0"/>
              </w:rPr>
              <w:t>（不含淹没区），全部占用东天山水源涵养与生物多样性维护生态保护红线区，压占面积39.8hm</w:t>
            </w:r>
            <w:r>
              <w:rPr>
                <w:kern w:val="0"/>
                <w:vertAlign w:val="superscript"/>
              </w:rPr>
              <w:t>2</w:t>
            </w:r>
            <w:r>
              <w:rPr>
                <w:kern w:val="0"/>
              </w:rPr>
              <w:t>（不含淹没区）；淹没区面积25.5hm</w:t>
            </w:r>
            <w:r>
              <w:rPr>
                <w:kern w:val="0"/>
                <w:vertAlign w:val="superscript"/>
              </w:rPr>
              <w:t>2</w:t>
            </w:r>
            <w:r>
              <w:rPr>
                <w:kern w:val="0"/>
              </w:rPr>
              <w:t>，全部位于东天山水源涵养与生物多样性维护生态保护红线区内。水库工程区和淹没区总体占用生态保护红线区面积最大（含淹没区）。陆生生态方面，水库工程区和淹没区总体占用面积65.3hm</w:t>
            </w:r>
            <w:r>
              <w:rPr>
                <w:kern w:val="0"/>
                <w:vertAlign w:val="superscript"/>
              </w:rPr>
              <w:t>2</w:t>
            </w:r>
            <w:r>
              <w:rPr>
                <w:kern w:val="0"/>
              </w:rPr>
              <w:t xml:space="preserve">，生物损失量相对最大；工程开挖量最大，弃土场占地面积最大，环境破坏相对最大； </w:t>
            </w:r>
          </w:p>
        </w:tc>
        <w:tc>
          <w:tcPr>
            <w:tcW w:w="1310" w:type="pct"/>
            <w:vAlign w:val="center"/>
          </w:tcPr>
          <w:p>
            <w:pPr>
              <w:pStyle w:val="136"/>
              <w:rPr>
                <w:kern w:val="0"/>
              </w:rPr>
            </w:pPr>
            <w:r>
              <w:rPr>
                <w:kern w:val="0"/>
              </w:rPr>
              <w:t>生态保护红线方面，水库工程占地面积38.898hm</w:t>
            </w:r>
            <w:r>
              <w:rPr>
                <w:kern w:val="0"/>
                <w:vertAlign w:val="superscript"/>
              </w:rPr>
              <w:t>2</w:t>
            </w:r>
            <w:r>
              <w:rPr>
                <w:kern w:val="0"/>
              </w:rPr>
              <w:t>（不含淹没区），部分占用东天山水源涵养与生物多样性维护生态保护红线区，压占面积9.345hm</w:t>
            </w:r>
            <w:r>
              <w:rPr>
                <w:kern w:val="0"/>
                <w:vertAlign w:val="superscript"/>
              </w:rPr>
              <w:t>2</w:t>
            </w:r>
            <w:r>
              <w:rPr>
                <w:kern w:val="0"/>
              </w:rPr>
              <w:t>（不含淹没区）；淹没区面积23.25hm</w:t>
            </w:r>
            <w:r>
              <w:rPr>
                <w:kern w:val="0"/>
                <w:vertAlign w:val="superscript"/>
              </w:rPr>
              <w:t>2</w:t>
            </w:r>
            <w:r>
              <w:rPr>
                <w:kern w:val="0"/>
              </w:rPr>
              <w:t>，全部位于东天山水源涵养与生物多样性维护生态保护红线区内。水库工程区和淹没区总体占用生态保护红线区面积相对较小（含淹没区）。陆生生态方面，水库工程区和淹没区总体占用面积62.148hm</w:t>
            </w:r>
            <w:r>
              <w:rPr>
                <w:kern w:val="0"/>
                <w:vertAlign w:val="superscript"/>
              </w:rPr>
              <w:t>2</w:t>
            </w:r>
            <w:r>
              <w:rPr>
                <w:kern w:val="0"/>
              </w:rPr>
              <w:t>，自然植被覆</w:t>
            </w:r>
            <w:r>
              <w:rPr>
                <w:rFonts w:hint="eastAsia"/>
                <w:kern w:val="0"/>
                <w:lang w:eastAsia="zh-CN"/>
              </w:rPr>
              <w:t>植盖度</w:t>
            </w:r>
            <w:r>
              <w:rPr>
                <w:kern w:val="0"/>
              </w:rPr>
              <w:t>约35%，生物损失量相对最小。工程开挖量最小，弃土场占地面积相对最小，环境破坏相对最小；</w:t>
            </w:r>
          </w:p>
        </w:tc>
        <w:tc>
          <w:tcPr>
            <w:tcW w:w="1299" w:type="pct"/>
            <w:vAlign w:val="center"/>
          </w:tcPr>
          <w:p>
            <w:pPr>
              <w:pStyle w:val="136"/>
              <w:rPr>
                <w:kern w:val="0"/>
              </w:rPr>
            </w:pPr>
            <w:r>
              <w:rPr>
                <w:kern w:val="0"/>
              </w:rPr>
              <w:t>生态保护红线方面，水库淹没区面积22.79hm</w:t>
            </w:r>
            <w:r>
              <w:rPr>
                <w:kern w:val="0"/>
                <w:vertAlign w:val="superscript"/>
              </w:rPr>
              <w:t>2</w:t>
            </w:r>
            <w:r>
              <w:rPr>
                <w:kern w:val="0"/>
              </w:rPr>
              <w:t>，占用东天山水源涵养与生物多样性维护生态保护红线区，占用生态保护红线区面积相对最小（含淹没区）。陆生生态方面，水库工程区和淹没区总体占用面积63.29hm</w:t>
            </w:r>
            <w:r>
              <w:rPr>
                <w:kern w:val="0"/>
                <w:vertAlign w:val="superscript"/>
              </w:rPr>
              <w:t>2</w:t>
            </w:r>
            <w:r>
              <w:rPr>
                <w:kern w:val="0"/>
              </w:rPr>
              <w:t xml:space="preserve">，生物损失量相对较小。工程开挖量相对较小，弃土场占地面积相对较小，环境破坏相对较小； </w:t>
            </w:r>
          </w:p>
        </w:tc>
        <w:tc>
          <w:tcPr>
            <w:tcW w:w="711" w:type="pct"/>
            <w:vAlign w:val="center"/>
          </w:tcPr>
          <w:p>
            <w:pPr>
              <w:pStyle w:val="136"/>
              <w:rPr>
                <w:kern w:val="0"/>
              </w:rPr>
            </w:pPr>
            <w:r>
              <w:rPr>
                <w:kern w:val="0"/>
              </w:rPr>
              <w:t>上中下三个坝址产生的主要生态环境影响程度相差不大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gridSpan w:val="3"/>
            <w:vAlign w:val="center"/>
          </w:tcPr>
          <w:p>
            <w:pPr>
              <w:pStyle w:val="136"/>
              <w:rPr>
                <w:kern w:val="0"/>
              </w:rPr>
            </w:pPr>
            <w:r>
              <w:rPr>
                <w:kern w:val="0"/>
              </w:rPr>
              <w:t>比选结果</w:t>
            </w:r>
          </w:p>
        </w:tc>
        <w:tc>
          <w:tcPr>
            <w:tcW w:w="4620" w:type="pct"/>
            <w:gridSpan w:val="4"/>
            <w:vAlign w:val="center"/>
          </w:tcPr>
          <w:p>
            <w:pPr>
              <w:pStyle w:val="136"/>
              <w:rPr>
                <w:kern w:val="0"/>
              </w:rPr>
            </w:pPr>
            <w:r>
              <w:rPr>
                <w:kern w:val="0"/>
              </w:rPr>
              <w:t>同意主体工程设计推荐的中坝址方案。</w:t>
            </w:r>
          </w:p>
        </w:tc>
      </w:tr>
    </w:tbl>
    <w:p>
      <w:pPr>
        <w:ind w:firstLine="480"/>
        <w:rPr>
          <w:rFonts w:cs="Times New Roman"/>
        </w:rPr>
      </w:pPr>
    </w:p>
    <w:p>
      <w:pPr>
        <w:ind w:firstLine="480"/>
        <w:rPr>
          <w:rFonts w:cs="Times New Roman"/>
          <w:bCs/>
        </w:rPr>
        <w:sectPr>
          <w:headerReference r:id="rId19" w:type="first"/>
          <w:footerReference r:id="rId22" w:type="first"/>
          <w:headerReference r:id="rId17" w:type="default"/>
          <w:footerReference r:id="rId20" w:type="default"/>
          <w:headerReference r:id="rId18" w:type="even"/>
          <w:footerReference r:id="rId21" w:type="even"/>
          <w:pgSz w:w="16838" w:h="11906" w:orient="landscape"/>
          <w:pgMar w:top="1418" w:right="1559" w:bottom="1418" w:left="1559" w:header="851" w:footer="992" w:gutter="0"/>
          <w:cols w:space="425" w:num="1"/>
          <w:docGrid w:linePitch="312" w:charSpace="0"/>
        </w:sectPr>
      </w:pPr>
    </w:p>
    <w:p>
      <w:pPr>
        <w:pStyle w:val="4"/>
        <w:rPr>
          <w:rFonts w:cs="Times New Roman"/>
        </w:rPr>
      </w:pPr>
      <w:r>
        <w:rPr>
          <w:rFonts w:cs="Times New Roman"/>
        </w:rPr>
        <w:t>3.3.2 水资源配置方案合理性分析</w:t>
      </w:r>
    </w:p>
    <w:p>
      <w:pPr>
        <w:pStyle w:val="62"/>
        <w:rPr>
          <w:rFonts w:cs="Times New Roman"/>
        </w:rPr>
      </w:pPr>
      <w:r>
        <w:rPr>
          <w:rFonts w:cs="Times New Roman"/>
        </w:rPr>
        <w:t>3.3.2.1 水资源利用</w:t>
      </w:r>
    </w:p>
    <w:p>
      <w:pPr>
        <w:ind w:firstLine="480"/>
        <w:rPr>
          <w:rFonts w:cs="Times New Roman"/>
        </w:rPr>
      </w:pPr>
      <w:r>
        <w:rPr>
          <w:rFonts w:cs="Times New Roman"/>
        </w:rPr>
        <w:t>（1）代尔昆代郭勒河水资源开发利用背景</w:t>
      </w:r>
    </w:p>
    <w:p>
      <w:pPr>
        <w:ind w:firstLine="480"/>
        <w:rPr>
          <w:rFonts w:cs="Times New Roman"/>
        </w:rPr>
      </w:pPr>
      <w:r>
        <w:rPr>
          <w:rFonts w:cs="Times New Roman"/>
        </w:rPr>
        <w:t>伊吾县地处东疆干旱地区，县域内矿产资源丰富，而水资源十分贫乏，地表水主要集中在伊吾盆地四周山区，系东天山和莫钦乌拉山山水形成的一些季节性河流，水量小、流段短、渗漏大，多数河流未出山就渗入地下，因此北部平原区水资源及其匮乏，随着地区经济社会发展尤其是北部淖毛湖区矿产资源开发，导致县域经济发展速度较快，随之而来的是经济社会发展需水要求与水资源供需之间的矛盾日益突出。</w:t>
      </w:r>
    </w:p>
    <w:p>
      <w:pPr>
        <w:ind w:firstLine="480"/>
        <w:rPr>
          <w:rFonts w:cs="Times New Roman"/>
        </w:rPr>
      </w:pPr>
      <w:r>
        <w:rPr>
          <w:rFonts w:cs="Times New Roman"/>
        </w:rPr>
        <w:t>代尔昆代水库工程供水范围为伊吾县淖毛湖镇区域，现状该区域主要供水水源为伊吾河流域地表水以及区域地下水，通过峡沟水库调蓄供水，主要用水户为淖毛湖区域人畜饮水、淖毛湖灌区、苇子峡灌区、伊吾工业园区。</w:t>
      </w:r>
    </w:p>
    <w:p>
      <w:pPr>
        <w:ind w:firstLine="48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hint="eastAsia" w:ascii="宋体" w:hAnsi="宋体" w:cs="宋体"/>
        </w:rPr>
        <w:t>①</w:t>
      </w:r>
      <w:r>
        <w:rPr>
          <w:rFonts w:cs="Times New Roman"/>
        </w:rPr>
        <w:fldChar w:fldCharType="end"/>
      </w:r>
      <w:r>
        <w:rPr>
          <w:rFonts w:cs="Times New Roman"/>
        </w:rPr>
        <w:t>现状伊吾县淖毛湖镇区域供需水存在问题</w:t>
      </w:r>
    </w:p>
    <w:p>
      <w:pPr>
        <w:ind w:firstLine="480"/>
        <w:rPr>
          <w:rFonts w:cs="Times New Roman"/>
        </w:rPr>
      </w:pPr>
      <w:r>
        <w:rPr>
          <w:rFonts w:cs="Times New Roman"/>
        </w:rPr>
        <w:t>根据主体设计，现状年2020年淖毛湖镇区域各业总需水量为：4924.24万m</w:t>
      </w:r>
      <w:r>
        <w:rPr>
          <w:rFonts w:cs="Times New Roman"/>
          <w:vertAlign w:val="superscript"/>
        </w:rPr>
        <w:t>3</w:t>
      </w:r>
      <w:r>
        <w:rPr>
          <w:rFonts w:cs="Times New Roman"/>
        </w:rPr>
        <w:t>，其中生活需水量151.5万m</w:t>
      </w:r>
      <w:r>
        <w:rPr>
          <w:rFonts w:cs="Times New Roman"/>
          <w:vertAlign w:val="superscript"/>
        </w:rPr>
        <w:t>3</w:t>
      </w:r>
      <w:r>
        <w:rPr>
          <w:rFonts w:cs="Times New Roman"/>
        </w:rPr>
        <w:t>、农业需水量1118.22万m</w:t>
      </w:r>
      <w:r>
        <w:rPr>
          <w:rFonts w:cs="Times New Roman"/>
          <w:vertAlign w:val="superscript"/>
        </w:rPr>
        <w:t>3</w:t>
      </w:r>
      <w:r>
        <w:rPr>
          <w:rFonts w:cs="Times New Roman"/>
        </w:rPr>
        <w:t>、工业需水量2100万m</w:t>
      </w:r>
      <w:r>
        <w:rPr>
          <w:rFonts w:cs="Times New Roman"/>
          <w:vertAlign w:val="superscript"/>
        </w:rPr>
        <w:t>3</w:t>
      </w:r>
      <w:r>
        <w:rPr>
          <w:rFonts w:cs="Times New Roman"/>
        </w:rPr>
        <w:t>。2020年伊吾河来水偏丰，通过峡沟水库调蓄，淖毛湖镇区域实际供水量4821.40万m</w:t>
      </w:r>
      <w:r>
        <w:rPr>
          <w:rFonts w:cs="Times New Roman"/>
          <w:vertAlign w:val="superscript"/>
        </w:rPr>
        <w:t>3</w:t>
      </w:r>
      <w:r>
        <w:rPr>
          <w:rFonts w:cs="Times New Roman"/>
        </w:rPr>
        <w:t>，其中地表水供水量3934.04万m</w:t>
      </w:r>
      <w:r>
        <w:rPr>
          <w:rFonts w:cs="Times New Roman"/>
          <w:vertAlign w:val="superscript"/>
        </w:rPr>
        <w:t>3</w:t>
      </w:r>
      <w:r>
        <w:rPr>
          <w:rFonts w:cs="Times New Roman"/>
        </w:rPr>
        <w:t>、地下水供水量887.36万m</w:t>
      </w:r>
      <w:r>
        <w:rPr>
          <w:rFonts w:cs="Times New Roman"/>
          <w:vertAlign w:val="superscript"/>
        </w:rPr>
        <w:t>3</w:t>
      </w:r>
      <w:r>
        <w:rPr>
          <w:rFonts w:cs="Times New Roman"/>
        </w:rPr>
        <w:t>，无法充分满足镇区各业用水需水。因资源性缺水加之供水能力不足，镇区地表水供水量尚未达到用水总量控制指标，淖毛湖镇区仍有990.96万m</w:t>
      </w:r>
      <w:r>
        <w:rPr>
          <w:rFonts w:cs="Times New Roman"/>
          <w:vertAlign w:val="superscript"/>
        </w:rPr>
        <w:t>3</w:t>
      </w:r>
      <w:r>
        <w:rPr>
          <w:rFonts w:cs="Times New Roman"/>
        </w:rPr>
        <w:t>地表水可用指标，地下水用水量已超2020年控制指标305.06万m</w:t>
      </w:r>
      <w:r>
        <w:rPr>
          <w:rFonts w:cs="Times New Roman"/>
          <w:vertAlign w:val="superscript"/>
        </w:rPr>
        <w:t>3</w:t>
      </w:r>
      <w:r>
        <w:rPr>
          <w:rFonts w:cs="Times New Roman"/>
        </w:rPr>
        <w:t>。</w:t>
      </w:r>
    </w:p>
    <w:p>
      <w:pPr>
        <w:ind w:firstLine="480"/>
        <w:rPr>
          <w:rFonts w:cs="Times New Roman"/>
        </w:rPr>
      </w:pPr>
      <w:r>
        <w:rPr>
          <w:rFonts w:cs="Times New Roman"/>
        </w:rPr>
        <w:t>近年来，随着伊吾县尤其是淖毛湖区域的经济不断发展，人口不断增加，尤其是旅游季节和哈密瓜成熟采摘季节，流动人口达到3万人，致使生活用水量增加；灌溉季节5～9月淖毛湖区域各业争水严重，季节性供需矛盾日益突出。而伊吾河水资源承载能力有限，峡沟水库调蓄能力亦不足，无法保证淖毛湖区域5～9月各业用水需求，致使农业和公益林通过超指标抽取地下水补充灌溉。</w:t>
      </w:r>
    </w:p>
    <w:p>
      <w:pPr>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设计水平年伊吾县淖毛湖镇区域供需水分析</w:t>
      </w:r>
    </w:p>
    <w:p>
      <w:pPr>
        <w:ind w:firstLine="480"/>
        <w:rPr>
          <w:rFonts w:cs="Times New Roman"/>
        </w:rPr>
      </w:pPr>
      <w:r>
        <w:rPr>
          <w:rFonts w:cs="Times New Roman"/>
        </w:rPr>
        <w:t>设计水平年2030年，淖毛湖镇工业需水采用外调水供给，农业用水和生活用水由本地水供给。</w:t>
      </w:r>
    </w:p>
    <w:p>
      <w:pPr>
        <w:ind w:firstLine="480"/>
        <w:rPr>
          <w:rFonts w:cs="Times New Roman"/>
        </w:rPr>
      </w:pPr>
      <w:r>
        <w:rPr>
          <w:rFonts w:cs="Times New Roman"/>
        </w:rPr>
        <w:t>2030年淖毛湖镇农业灌溉面积保持不变，增加公益林、防护林灌溉面积808亩，总灌溉面积由76301亩增加为77109亩；为了降低地下水开采量使其满足三条红线地下水用水总量指标，调整地表水控制灌溉面积由现状年30469亩增加为60609亩，地下水控制灌溉面积由45832亩减少为16500亩；地表水控制灌溉面积增加意味着需地表水供水</w:t>
      </w:r>
      <w:r>
        <w:rPr>
          <w:rFonts w:hint="eastAsia" w:cs="Times New Roman"/>
          <w:lang w:eastAsia="zh-CN"/>
        </w:rPr>
        <w:t>将</w:t>
      </w:r>
      <w:r>
        <w:rPr>
          <w:rFonts w:cs="Times New Roman"/>
        </w:rPr>
        <w:t>增加，加之公益林、防护林灌溉面积有所增加，镇区农业需水量由现状1118.22万m</w:t>
      </w:r>
      <w:r>
        <w:rPr>
          <w:rFonts w:cs="Times New Roman"/>
          <w:vertAlign w:val="superscript"/>
        </w:rPr>
        <w:t>3</w:t>
      </w:r>
      <w:r>
        <w:rPr>
          <w:rFonts w:cs="Times New Roman"/>
        </w:rPr>
        <w:t>增为2216.05万m</w:t>
      </w:r>
      <w:r>
        <w:rPr>
          <w:rFonts w:cs="Times New Roman"/>
          <w:vertAlign w:val="superscript"/>
        </w:rPr>
        <w:t>3</w:t>
      </w:r>
      <w:r>
        <w:rPr>
          <w:rFonts w:cs="Times New Roman"/>
        </w:rPr>
        <w:t>；设计水平年，随着人口增加、居民生活水平提高，生活需水量由现状151.5万m</w:t>
      </w:r>
      <w:r>
        <w:rPr>
          <w:rFonts w:cs="Times New Roman"/>
          <w:vertAlign w:val="superscript"/>
        </w:rPr>
        <w:t>3</w:t>
      </w:r>
      <w:r>
        <w:rPr>
          <w:rFonts w:cs="Times New Roman"/>
        </w:rPr>
        <w:t>增加为466.8万m</w:t>
      </w:r>
      <w:r>
        <w:rPr>
          <w:rFonts w:cs="Times New Roman"/>
          <w:vertAlign w:val="superscript"/>
        </w:rPr>
        <w:t>3</w:t>
      </w:r>
      <w:r>
        <w:rPr>
          <w:rFonts w:cs="Times New Roman"/>
        </w:rPr>
        <w:t>；设计水平年，镇区农业用水和生活用水量皆明显增加，因工业用水不再使用本地水，淖毛湖镇区域总需水量由现状年4924.24万m</w:t>
      </w:r>
      <w:r>
        <w:rPr>
          <w:rFonts w:cs="Times New Roman"/>
          <w:vertAlign w:val="superscript"/>
        </w:rPr>
        <w:t>3</w:t>
      </w:r>
      <w:r>
        <w:rPr>
          <w:rFonts w:cs="Times New Roman"/>
        </w:rPr>
        <w:t>，减少为3255.77万m</w:t>
      </w:r>
      <w:r>
        <w:rPr>
          <w:rFonts w:cs="Times New Roman"/>
          <w:vertAlign w:val="superscript"/>
        </w:rPr>
        <w:t>3</w:t>
      </w:r>
      <w:r>
        <w:rPr>
          <w:rFonts w:cs="Times New Roman"/>
        </w:rPr>
        <w:t>。</w:t>
      </w:r>
    </w:p>
    <w:p>
      <w:pPr>
        <w:ind w:firstLine="480"/>
        <w:rPr>
          <w:rFonts w:cs="Times New Roman"/>
        </w:rPr>
      </w:pPr>
      <w:r>
        <w:rPr>
          <w:rFonts w:cs="Times New Roman"/>
        </w:rPr>
        <w:t>设计水平年2030年，镇区需水总量明显减少，在按最严格水资源管理制度减少地下水开采量至582.3万m</w:t>
      </w:r>
      <w:r>
        <w:rPr>
          <w:rFonts w:cs="Times New Roman"/>
          <w:vertAlign w:val="superscript"/>
        </w:rPr>
        <w:t>3</w:t>
      </w:r>
      <w:r>
        <w:rPr>
          <w:rFonts w:cs="Times New Roman"/>
        </w:rPr>
        <w:t>控制指标后，地表水需水量2673.47万m</w:t>
      </w:r>
      <w:r>
        <w:rPr>
          <w:rFonts w:cs="Times New Roman"/>
          <w:vertAlign w:val="superscript"/>
        </w:rPr>
        <w:t>3</w:t>
      </w:r>
      <w:r>
        <w:rPr>
          <w:rFonts w:cs="Times New Roman"/>
        </w:rPr>
        <w:t>，且85%集中在灌溉期5～9月，现状淖毛湖镇地表水供水水源仅为伊吾河峡沟水库。</w:t>
      </w:r>
    </w:p>
    <w:p>
      <w:pPr>
        <w:ind w:firstLine="480"/>
        <w:rPr>
          <w:rFonts w:cs="Times New Roman"/>
        </w:rPr>
      </w:pPr>
      <w:r>
        <w:rPr>
          <w:rFonts w:cs="Times New Roman"/>
        </w:rPr>
        <w:t>伊吾河峡沟水库坝址断面多年平均年径流量6588万m</w:t>
      </w:r>
      <w:r>
        <w:rPr>
          <w:rFonts w:cs="Times New Roman"/>
          <w:vertAlign w:val="superscript"/>
        </w:rPr>
        <w:t>3</w:t>
      </w:r>
      <w:r>
        <w:rPr>
          <w:rFonts w:cs="Times New Roman"/>
        </w:rPr>
        <w:t>，峡沟水库是伊吾河控制性调蓄工程，水库总库容964.51万m</w:t>
      </w:r>
      <w:r>
        <w:rPr>
          <w:rFonts w:cs="Times New Roman"/>
          <w:vertAlign w:val="superscript"/>
        </w:rPr>
        <w:t>3</w:t>
      </w:r>
      <w:r>
        <w:rPr>
          <w:rFonts w:cs="Times New Roman"/>
        </w:rPr>
        <w:t>，兴利库容565.3万m</w:t>
      </w:r>
      <w:r>
        <w:rPr>
          <w:rFonts w:cs="Times New Roman"/>
          <w:vertAlign w:val="superscript"/>
        </w:rPr>
        <w:t>3</w:t>
      </w:r>
      <w:r>
        <w:rPr>
          <w:rFonts w:cs="Times New Roman"/>
        </w:rPr>
        <w:t>，死库容为129.27万m</w:t>
      </w:r>
      <w:r>
        <w:rPr>
          <w:rFonts w:cs="Times New Roman"/>
          <w:vertAlign w:val="superscript"/>
        </w:rPr>
        <w:t>3</w:t>
      </w:r>
      <w:r>
        <w:rPr>
          <w:rFonts w:cs="Times New Roman"/>
        </w:rPr>
        <w:t>，是一座具有工业供水、农业灌溉、防洪、生态保护等多目标综合利用的水利枢纽。经平衡分析：P=85%来水频率伊吾河可供水量3721.45万m³，受峡沟水库调蓄能力限制，冬季有余水1108.72万m</w:t>
      </w:r>
      <w:r>
        <w:rPr>
          <w:rFonts w:cs="Times New Roman"/>
          <w:vertAlign w:val="superscript"/>
        </w:rPr>
        <w:t>3</w:t>
      </w:r>
      <w:r>
        <w:rPr>
          <w:rFonts w:cs="Times New Roman"/>
        </w:rPr>
        <w:t>，灌溉季节缺水184.91万m</w:t>
      </w:r>
      <w:r>
        <w:rPr>
          <w:rFonts w:cs="Times New Roman"/>
          <w:vertAlign w:val="superscript"/>
        </w:rPr>
        <w:t>3</w:t>
      </w:r>
      <w:r>
        <w:rPr>
          <w:rFonts w:cs="Times New Roman"/>
        </w:rPr>
        <w:t>；P=95%来水频率伊吾河可供水量3395.55万m³，受峡沟水库调蓄能力限制，冬季有余水1025.12万m</w:t>
      </w:r>
      <w:r>
        <w:rPr>
          <w:rFonts w:cs="Times New Roman"/>
          <w:vertAlign w:val="superscript"/>
        </w:rPr>
        <w:t>3</w:t>
      </w:r>
      <w:r>
        <w:rPr>
          <w:rFonts w:cs="Times New Roman"/>
        </w:rPr>
        <w:t>，灌溉季节缺水424.22万m</w:t>
      </w:r>
      <w:r>
        <w:rPr>
          <w:rFonts w:cs="Times New Roman"/>
          <w:vertAlign w:val="superscript"/>
        </w:rPr>
        <w:t>3</w:t>
      </w:r>
      <w:r>
        <w:rPr>
          <w:rFonts w:cs="Times New Roman"/>
        </w:rPr>
        <w:t>。</w:t>
      </w:r>
    </w:p>
    <w:p>
      <w:pPr>
        <w:ind w:firstLine="480"/>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hint="eastAsia" w:ascii="宋体" w:hAnsi="宋体" w:cs="宋体"/>
        </w:rPr>
        <w:t>③</w:t>
      </w:r>
      <w:r>
        <w:rPr>
          <w:rFonts w:cs="Times New Roman"/>
        </w:rPr>
        <w:fldChar w:fldCharType="end"/>
      </w:r>
      <w:r>
        <w:rPr>
          <w:rFonts w:cs="Times New Roman"/>
        </w:rPr>
        <w:t>小结</w:t>
      </w:r>
    </w:p>
    <w:p>
      <w:pPr>
        <w:ind w:firstLine="480"/>
        <w:rPr>
          <w:rFonts w:cs="Times New Roman"/>
        </w:rPr>
      </w:pPr>
      <w:r>
        <w:rPr>
          <w:rFonts w:cs="Times New Roman"/>
        </w:rPr>
        <w:t>综上分析，现状淖毛湖镇工业快速发展，农业和城镇化稳步发展，社会经济用水量需求迅速增加，而伊吾河水资源承载能力有限，镇区通过超采地下水保障社会经济发展，水资源供需矛盾突出；设计水平年，工业用水量及其增长采用外调水供给，灌区</w:t>
      </w:r>
      <w:r>
        <w:rPr>
          <w:rFonts w:hint="eastAsia" w:cs="Times New Roman"/>
          <w:lang w:eastAsia="zh-CN"/>
        </w:rPr>
        <w:t>将</w:t>
      </w:r>
      <w:r>
        <w:rPr>
          <w:rFonts w:cs="Times New Roman"/>
        </w:rPr>
        <w:t>停止超量开采地下水，随着农业和城镇化继续发展，淖毛湖镇农业和生活用地表水需水量增加，加之峡沟水库调蓄能力不足，淖毛湖灌区供需矛盾仍然存在，灌溉季节性缺水明显，灌溉保证率偏低。为保障淖毛湖镇社会经济可持续发展，提高灌溉保证率，伊吾县人民政府选择开发利用代尔昆代郭勒流域山区河段地表水资源，缓解水资源供需矛盾。</w:t>
      </w:r>
    </w:p>
    <w:p>
      <w:pPr>
        <w:ind w:firstLine="480"/>
        <w:rPr>
          <w:rFonts w:cs="Times New Roman"/>
        </w:rPr>
      </w:pPr>
      <w:r>
        <w:rPr>
          <w:rFonts w:cs="Times New Roman"/>
        </w:rPr>
        <w:t>（2）代尔昆代郭勒河水资源开发利用量</w:t>
      </w:r>
    </w:p>
    <w:p>
      <w:pPr>
        <w:ind w:firstLine="480"/>
        <w:rPr>
          <w:rFonts w:cs="Times New Roman"/>
        </w:rPr>
      </w:pPr>
      <w:r>
        <w:rPr>
          <w:rFonts w:cs="Times New Roman"/>
        </w:rPr>
        <w:t>代尔昆代郭勒河属于季节性山溪河流，流域南部山区降水量相对丰富，受地形影响在山谷中逐渐汇集，在低山区河段形成明流，随后在出山口之前又潜入广袤的山前戈壁区，部分潜流在下马崖乡政府一带洼地区与相邻山区潜流相汇出露被引用于下马崖乡农业灌溉，河流尾闾最终消失于茫茫戈壁，现状流域地表水资源未开发利用。</w:t>
      </w:r>
    </w:p>
    <w:p>
      <w:pPr>
        <w:ind w:firstLine="480"/>
        <w:rPr>
          <w:rFonts w:cs="Times New Roman"/>
        </w:rPr>
      </w:pPr>
      <w:r>
        <w:rPr>
          <w:rFonts w:cs="Times New Roman"/>
        </w:rPr>
        <w:t>代尔昆代郭勒河流程短、流量不稳，山区明流河段水质良好，据现场调查流域内无鱼类资源，拟开发河段及其下游河谷无集中连片河谷林草分布，河水主要生态功能为维持河流基本形态，补给下游戈壁区地下水。</w:t>
      </w:r>
    </w:p>
    <w:p>
      <w:pPr>
        <w:ind w:firstLine="480"/>
        <w:rPr>
          <w:rFonts w:cs="Times New Roman"/>
        </w:rPr>
      </w:pPr>
      <w:r>
        <w:rPr>
          <w:rFonts w:cs="Times New Roman"/>
        </w:rPr>
        <w:t>据分析，伊吾河P=95%来水频率，淖毛湖镇灌溉季节缺水424.22万m</w:t>
      </w:r>
      <w:r>
        <w:rPr>
          <w:rFonts w:cs="Times New Roman"/>
          <w:vertAlign w:val="superscript"/>
        </w:rPr>
        <w:t>3</w:t>
      </w:r>
      <w:r>
        <w:rPr>
          <w:rFonts w:cs="Times New Roman"/>
        </w:rPr>
        <w:t>，代尔昆代水库坝址处多年平均水资源量834万m</w:t>
      </w:r>
      <w:r>
        <w:rPr>
          <w:rFonts w:cs="Times New Roman"/>
          <w:vertAlign w:val="superscript"/>
        </w:rPr>
        <w:t>3</w:t>
      </w:r>
      <w:r>
        <w:rPr>
          <w:rFonts w:cs="Times New Roman"/>
        </w:rPr>
        <w:t>；主体设计在水资源配置时，考虑淖毛湖镇用水需求的同时，预留了生态维护水量，设计利用其中359.57万m</w:t>
      </w:r>
      <w:r>
        <w:rPr>
          <w:rFonts w:cs="Times New Roman"/>
          <w:vertAlign w:val="superscript"/>
        </w:rPr>
        <w:t>3</w:t>
      </w:r>
      <w:r>
        <w:rPr>
          <w:rFonts w:cs="Times New Roman"/>
        </w:rPr>
        <w:t>（P=95%来水频率）补给淖毛湖镇人畜、公益林用水，使代尔昆代郭勒河水资源利用率增为43%，水库工程供水后，多年平均仍有474.43万m</w:t>
      </w:r>
      <w:r>
        <w:rPr>
          <w:rFonts w:cs="Times New Roman"/>
          <w:vertAlign w:val="superscript"/>
        </w:rPr>
        <w:t>3</w:t>
      </w:r>
      <w:r>
        <w:rPr>
          <w:rFonts w:cs="Times New Roman"/>
        </w:rPr>
        <w:t>下泄河道，下泄水量主要集中在汛期，可维持河流基本形态，继续补给下游戈壁区地下水。</w:t>
      </w:r>
    </w:p>
    <w:p>
      <w:pPr>
        <w:ind w:firstLine="480"/>
        <w:rPr>
          <w:rFonts w:cs="Times New Roman"/>
        </w:rPr>
      </w:pPr>
      <w:r>
        <w:rPr>
          <w:rFonts w:cs="Times New Roman"/>
        </w:rPr>
        <w:t>2022年11月，为保障当地社会经济发展用水需求，伊吾县人民政府对县域内各河用水控制指标进行了优化调整，上报了《关于代尔昆代郭勒河用水指标调整的函》，哈密市水利局复函，同意对代尔昆代郭勒河用水指标调整，分别</w:t>
      </w:r>
      <w:r>
        <w:rPr>
          <w:rFonts w:hint="eastAsia" w:cs="Times New Roman"/>
          <w:lang w:eastAsia="zh-CN"/>
        </w:rPr>
        <w:t>将</w:t>
      </w:r>
      <w:r>
        <w:rPr>
          <w:rFonts w:cs="Times New Roman"/>
        </w:rPr>
        <w:t>县域内用水指标尚有富裕的吐尔干沟河的337万m</w:t>
      </w:r>
      <w:r>
        <w:rPr>
          <w:rFonts w:cs="Times New Roman"/>
          <w:vertAlign w:val="superscript"/>
        </w:rPr>
        <w:t>3</w:t>
      </w:r>
      <w:r>
        <w:rPr>
          <w:rFonts w:cs="Times New Roman"/>
        </w:rPr>
        <w:t>、石门沟河的22.5万m</w:t>
      </w:r>
      <w:r>
        <w:rPr>
          <w:rFonts w:cs="Times New Roman"/>
          <w:vertAlign w:val="superscript"/>
        </w:rPr>
        <w:t>3</w:t>
      </w:r>
      <w:r>
        <w:rPr>
          <w:rFonts w:cs="Times New Roman"/>
        </w:rPr>
        <w:t>，共计360万m</w:t>
      </w:r>
      <w:r>
        <w:rPr>
          <w:rFonts w:cs="Times New Roman"/>
          <w:vertAlign w:val="superscript"/>
        </w:rPr>
        <w:t>3</w:t>
      </w:r>
      <w:r>
        <w:rPr>
          <w:rFonts w:cs="Times New Roman"/>
        </w:rPr>
        <w:t>用水量指标调整至代尔昆代郭勒河，因此代尔昆代水库配置使用水量在调整后该河水用水量指标内。</w:t>
      </w:r>
    </w:p>
    <w:p>
      <w:pPr>
        <w:pStyle w:val="62"/>
        <w:rPr>
          <w:rFonts w:cs="Times New Roman"/>
        </w:rPr>
      </w:pPr>
      <w:r>
        <w:rPr>
          <w:rFonts w:cs="Times New Roman"/>
        </w:rPr>
        <w:t>3.3.2.2 代尔昆代水库坝址断面生态流量环境合理性分析</w:t>
      </w:r>
    </w:p>
    <w:p>
      <w:pPr>
        <w:ind w:firstLine="480"/>
        <w:rPr>
          <w:rFonts w:cs="Times New Roman"/>
        </w:rPr>
      </w:pPr>
      <w:r>
        <w:rPr>
          <w:rFonts w:cs="Times New Roman"/>
        </w:rPr>
        <w:t>（1）代尔昆代郭勒河敏感目标分布</w:t>
      </w:r>
    </w:p>
    <w:p>
      <w:pPr>
        <w:ind w:firstLine="480"/>
        <w:rPr>
          <w:rFonts w:cs="Times New Roman"/>
        </w:rPr>
      </w:pPr>
      <w:r>
        <w:rPr>
          <w:rFonts w:hint="eastAsia" w:ascii="宋体" w:hAnsi="宋体" w:cs="宋体"/>
        </w:rPr>
        <w:t>①</w:t>
      </w:r>
      <w:r>
        <w:rPr>
          <w:rFonts w:cs="Times New Roman"/>
        </w:rPr>
        <w:t>河流径流及流程特性</w:t>
      </w:r>
    </w:p>
    <w:p>
      <w:pPr>
        <w:ind w:firstLine="480"/>
        <w:rPr>
          <w:rFonts w:cs="Times New Roman"/>
        </w:rPr>
      </w:pPr>
      <w:r>
        <w:rPr>
          <w:rFonts w:cs="Times New Roman"/>
        </w:rPr>
        <w:t>代尔昆代郭勒河流域总面积1412km</w:t>
      </w:r>
      <w:r>
        <w:rPr>
          <w:rFonts w:cs="Times New Roman"/>
          <w:vertAlign w:val="superscript"/>
        </w:rPr>
        <w:t>2</w:t>
      </w:r>
      <w:r>
        <w:rPr>
          <w:rFonts w:cs="Times New Roman"/>
        </w:rPr>
        <w:t>，河长总计约142km。根据河流沿线地貌特征等，代尔昆代郭勒河可分为上中下游三段，其中出山口以上河段为上游，河长约18km，流域面积约86.9km</w:t>
      </w:r>
      <w:r>
        <w:rPr>
          <w:rFonts w:cs="Times New Roman"/>
          <w:vertAlign w:val="superscript"/>
        </w:rPr>
        <w:t>2</w:t>
      </w:r>
      <w:r>
        <w:rPr>
          <w:rFonts w:cs="Times New Roman"/>
        </w:rPr>
        <w:t>；代尔昆代水库即位于该河段，水库坝址距下游出山口断面约6km，坝址断面年均径流量834万m</w:t>
      </w:r>
      <w:r>
        <w:rPr>
          <w:rFonts w:cs="Times New Roman"/>
          <w:vertAlign w:val="superscript"/>
        </w:rPr>
        <w:t>3</w:t>
      </w:r>
      <w:r>
        <w:rPr>
          <w:rFonts w:cs="Times New Roman"/>
        </w:rPr>
        <w:t>、年均流量0.26m</w:t>
      </w:r>
      <w:r>
        <w:rPr>
          <w:rFonts w:cs="Times New Roman"/>
          <w:vertAlign w:val="superscript"/>
        </w:rPr>
        <w:t>3</w:t>
      </w:r>
      <w:r>
        <w:rPr>
          <w:rFonts w:cs="Times New Roman"/>
        </w:rPr>
        <w:t>/s；出山口至下游下马崖乡附近铁道线路之间河段为中游河段，河长约47km，期间无支流汇入，处于径流损失区，河道常年无地表径流，河水以地下潜流形式向下游排泄，部分地下潜流以泉的形式在下马崖乡与周边区域山沟潜流相汇后出露并用于下马崖乡农业灌溉；下马崖乡附近铁道线路以下代尔昆代郭勒河河道为下游河段，河长约77km，该河段亦无支流汇入，同处于径流损失区，河道常年无地表径流，河水以地下潜流形式向下游排泄。</w:t>
      </w:r>
    </w:p>
    <w:p>
      <w:pPr>
        <w:ind w:firstLine="480"/>
        <w:rPr>
          <w:rFonts w:cs="Times New Roman"/>
        </w:rPr>
      </w:pPr>
      <w:r>
        <w:rPr>
          <w:rFonts w:cs="Times New Roman"/>
        </w:rPr>
        <w:t>代尔昆代郭勒河主要由季节性融雪水、夏季降雨补给为主，同时基岩裂隙水也具有一定补给作用。由于补给源不稳定且补给量小，加之河床覆盖层以第四系卵砾石为主，下渗严重，山区河段（上游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山区河段地表明流因水量小，呈现明显归槽现象，河道水面宽度1m左右，水深基本不超10m；平原区河段（中下游河段）几乎无地表明流，仅汛期，当代尔昆代郭勒河发生洪水时，由于河流的坡降大，区域产生的融雪洪水或暴雨洪水往往洪量少流速大，地表明流可流出山口断面，但很快会消散于下马崖戈壁。</w:t>
      </w:r>
    </w:p>
    <w:p>
      <w:pPr>
        <w:ind w:firstLine="480"/>
        <w:rPr>
          <w:rFonts w:cs="Times New Roman"/>
        </w:rPr>
      </w:pPr>
      <w:r>
        <w:rPr>
          <w:rFonts w:cs="Times New Roman"/>
        </w:rPr>
        <w:t>结合现场调查，代尔昆代水库坝址断面存在地表明流主要集中在6、7、8月，其他月份坝址断面基本均无地表明流，仅在发生融雪或暴雨天气时，可能形成短期地表明流。</w:t>
      </w:r>
    </w:p>
    <w:p>
      <w:pPr>
        <w:ind w:firstLine="480"/>
        <w:rPr>
          <w:rFonts w:cs="Times New Roman"/>
        </w:rPr>
      </w:pPr>
      <w:r>
        <w:rPr>
          <w:rFonts w:hint="eastAsia" w:ascii="宋体" w:hAnsi="宋体" w:cs="宋体"/>
        </w:rPr>
        <w:t>②</w:t>
      </w:r>
      <w:r>
        <w:rPr>
          <w:rFonts w:cs="Times New Roman"/>
        </w:rPr>
        <w:t>敏感目标分布</w:t>
      </w:r>
    </w:p>
    <w:p>
      <w:pPr>
        <w:ind w:firstLine="480"/>
        <w:rPr>
          <w:rFonts w:cs="Times New Roman"/>
        </w:rPr>
      </w:pPr>
      <w:r>
        <w:rPr>
          <w:rFonts w:cs="Times New Roman"/>
        </w:rPr>
        <w:t>受制于代尔昆代郭勒河冬季封冻、水量小且流程短等综合影响，结合现场调查，代尔昆代郭勒河无鱼类分布；代尔昆代郭勒河山区河段尤其是坝址及以下山区河段，无河谷林分布，仅在河道两岸阶地上分布少量旱生荒漠植被，通过降水或地下水即可维持生长，对河道径流无特殊需求。</w:t>
      </w:r>
    </w:p>
    <w:p>
      <w:pPr>
        <w:ind w:firstLine="480"/>
        <w:rPr>
          <w:rFonts w:cs="Times New Roman"/>
        </w:rPr>
      </w:pPr>
      <w:r>
        <w:rPr>
          <w:rFonts w:cs="Times New Roman"/>
        </w:rPr>
        <w:t>代尔昆代郭勒河全河无工业、城镇、农业等污染源入河，仅有少量放牧形成的牧业面源，根据水质现状调查，代尔昆代郭勒河水质较好。</w:t>
      </w:r>
    </w:p>
    <w:p>
      <w:pPr>
        <w:ind w:firstLine="480"/>
        <w:rPr>
          <w:rFonts w:cs="Times New Roman"/>
        </w:rPr>
      </w:pPr>
      <w:r>
        <w:rPr>
          <w:rFonts w:hint="eastAsia" w:ascii="宋体" w:hAnsi="宋体" w:cs="宋体"/>
        </w:rPr>
        <w:t>③</w:t>
      </w:r>
      <w:r>
        <w:rPr>
          <w:rFonts w:cs="Times New Roman"/>
        </w:rPr>
        <w:t>生态流量确定</w:t>
      </w:r>
    </w:p>
    <w:p>
      <w:pPr>
        <w:ind w:firstLine="480"/>
        <w:rPr>
          <w:rFonts w:cs="Times New Roman"/>
        </w:rPr>
      </w:pPr>
      <w:r>
        <w:rPr>
          <w:rFonts w:cs="Times New Roman"/>
        </w:rPr>
        <w:t>根据代尔昆代郭勒河径流及流程特点，结合敏感目标分析，本次评价认为，代尔昆代水库坝址下泄生态流量，主要作用体现在维持一定河流流程，补给地下水。</w:t>
      </w:r>
    </w:p>
    <w:p>
      <w:pPr>
        <w:ind w:firstLine="480"/>
        <w:rPr>
          <w:rFonts w:cs="Times New Roman"/>
        </w:rPr>
      </w:pPr>
      <w:r>
        <w:rPr>
          <w:rFonts w:cs="Times New Roman"/>
        </w:rPr>
        <w:t>代尔昆代郭勒河属于季节性河流，流域多年平均径流量834万m</w:t>
      </w:r>
      <w:r>
        <w:rPr>
          <w:rFonts w:cs="Times New Roman"/>
          <w:vertAlign w:val="superscript"/>
        </w:rPr>
        <w:t>3</w:t>
      </w:r>
      <w:r>
        <w:rPr>
          <w:rFonts w:cs="Times New Roman"/>
        </w:rPr>
        <w:t>，多年平均流量0.26m</w:t>
      </w:r>
      <w:r>
        <w:rPr>
          <w:rFonts w:cs="Times New Roman"/>
          <w:vertAlign w:val="superscript"/>
        </w:rPr>
        <w:t>3</w:t>
      </w:r>
      <w:r>
        <w:rPr>
          <w:rFonts w:cs="Times New Roman"/>
        </w:rPr>
        <w:t>/s。流域规划阶段，哈密市水利局根据《新疆内陆河湖基本生态水量（流量）确定技术指南（试行）》，结合流域特点，确定代尔昆代流域基本生态水量保证率取85%，下泄基本生态水量合计120.74万m</w:t>
      </w:r>
      <w:r>
        <w:rPr>
          <w:rFonts w:cs="Times New Roman"/>
          <w:vertAlign w:val="superscript"/>
        </w:rPr>
        <w:t>3</w:t>
      </w:r>
      <w:r>
        <w:rPr>
          <w:rFonts w:cs="Times New Roman"/>
        </w:rPr>
        <w:t>，为多年平均径流量的14.47%，并取得哈密市生态环境局同意，详见附件《关于对＜关于征求伊吾县代尔昆代郭勒河流域生态基流相关事宜意见建议的函＞复函》。</w:t>
      </w:r>
    </w:p>
    <w:p>
      <w:pPr>
        <w:ind w:firstLine="480"/>
        <w:rPr>
          <w:rFonts w:cs="Times New Roman"/>
        </w:rPr>
      </w:pPr>
      <w:r>
        <w:rPr>
          <w:rFonts w:cs="Times New Roman"/>
        </w:rPr>
        <w:t>流域规划环评阶段，根据代尔昆代水库径流调节计算，对生态流量进行细化提出，确定代尔昆代流域基本生态水量保证率仍为85%，生态流量的总量为124.13万m</w:t>
      </w:r>
      <w:r>
        <w:rPr>
          <w:rFonts w:cs="Times New Roman"/>
          <w:vertAlign w:val="superscript"/>
        </w:rPr>
        <w:t>3</w:t>
      </w:r>
      <w:r>
        <w:rPr>
          <w:rFonts w:cs="Times New Roman"/>
        </w:rPr>
        <w:t>，具体过程为：1～5月、10～12月代尔昆代水库坝址断面下泄生态流量不低于多年平均流量的10%；6月、9月下泄生态流量不低于多年平均流量的19%；汛期7月、8月下泄生态流量不低于多年平均流量的30%。</w:t>
      </w:r>
    </w:p>
    <w:p>
      <w:pPr>
        <w:ind w:firstLine="480"/>
        <w:rPr>
          <w:rFonts w:cs="Times New Roman"/>
        </w:rPr>
      </w:pPr>
      <w:r>
        <w:rPr>
          <w:rFonts w:cs="Times New Roman"/>
        </w:rPr>
        <w:t>综合以上分析，考虑代尔昆代郭勒河径流及流程特点，结合敏感目标分析以及流域规划及规划环评要求，本次评价提出，代尔昆代水库应按照流域规划环评提出的生态流量要求，确定水库坝址断面生态流量。</w:t>
      </w:r>
    </w:p>
    <w:p>
      <w:pPr>
        <w:ind w:firstLine="480"/>
        <w:rPr>
          <w:rFonts w:cs="Times New Roman"/>
        </w:rPr>
      </w:pPr>
      <w:r>
        <w:rPr>
          <w:rFonts w:hint="eastAsia" w:ascii="宋体" w:hAnsi="宋体" w:cs="宋体"/>
        </w:rPr>
        <w:t>④</w:t>
      </w:r>
      <w:r>
        <w:rPr>
          <w:rFonts w:cs="Times New Roman"/>
        </w:rPr>
        <w:t>满足程度评价及优化建议</w:t>
      </w:r>
    </w:p>
    <w:p>
      <w:pPr>
        <w:ind w:firstLine="480"/>
        <w:rPr>
          <w:rFonts w:cs="Times New Roman"/>
        </w:rPr>
      </w:pPr>
      <w:r>
        <w:rPr>
          <w:rFonts w:cs="Times New Roman"/>
        </w:rPr>
        <w:t>根据可研阶段主体设计，可研阶段代尔昆代水库坝址断面生态流量保证率为p=85%，坝址断面各月下泄生态流量按照多年平均流量的10%控制，年下泄水量83.44万m</w:t>
      </w:r>
      <w:r>
        <w:rPr>
          <w:rFonts w:cs="Times New Roman"/>
          <w:vertAlign w:val="superscript"/>
        </w:rPr>
        <w:t>3</w:t>
      </w:r>
      <w:r>
        <w:rPr>
          <w:rFonts w:cs="Times New Roman"/>
        </w:rPr>
        <w:t>。</w:t>
      </w:r>
    </w:p>
    <w:p>
      <w:pPr>
        <w:ind w:firstLine="480"/>
        <w:rPr>
          <w:rFonts w:cs="Times New Roman"/>
        </w:rPr>
      </w:pPr>
      <w:r>
        <w:rPr>
          <w:rFonts w:cs="Times New Roman"/>
        </w:rPr>
        <w:t>经对比分析，可研阶段代尔昆代水库坝址断面生态流量下泄要求不符合流域规划环评。</w:t>
      </w:r>
    </w:p>
    <w:p>
      <w:pPr>
        <w:ind w:firstLine="480"/>
        <w:rPr>
          <w:rFonts w:cs="Times New Roman"/>
        </w:rPr>
      </w:pPr>
      <w:r>
        <w:rPr>
          <w:rFonts w:cs="Times New Roman"/>
        </w:rPr>
        <w:t>本次评价提出，下阶段优化代尔昆代水库规模论证及调度运行，重点确保生态流量年下泄总量符合流域规划环评阶段生态流量下泄总量124.13万m</w:t>
      </w:r>
      <w:r>
        <w:rPr>
          <w:rFonts w:cs="Times New Roman"/>
          <w:vertAlign w:val="superscript"/>
        </w:rPr>
        <w:t>3</w:t>
      </w:r>
      <w:r>
        <w:rPr>
          <w:rFonts w:cs="Times New Roman"/>
        </w:rPr>
        <w:t>的要求，其次水库坝址断面各月生态流量下泄尽可能符合流域规划环评提出的生态流量泄放过程。</w:t>
      </w:r>
    </w:p>
    <w:p>
      <w:pPr>
        <w:ind w:firstLine="480"/>
        <w:rPr>
          <w:rFonts w:cs="Times New Roman"/>
        </w:rPr>
      </w:pPr>
      <w:r>
        <w:rPr>
          <w:rFonts w:cs="Times New Roman"/>
        </w:rPr>
        <w:t>严格落实流域规划环评要求，项目实施过程中，通过提高淖毛湖区域各业用水效率，加强中水回用，以降低地区用水总量，从而适当减少代尔昆代水库向淖毛湖区域供水，确保代尔昆代水库生态流量下泄过程及总量符合流域规划环评要求。</w:t>
      </w:r>
    </w:p>
    <w:p>
      <w:pPr>
        <w:ind w:firstLine="480"/>
        <w:rPr>
          <w:rFonts w:cs="Times New Roman"/>
        </w:rPr>
      </w:pPr>
      <w:r>
        <w:rPr>
          <w:rFonts w:cs="Times New Roman"/>
        </w:rPr>
        <w:t>可研阶段，主体设计拟通过放水管泄放生态流量及供水，放水管布设在导流隧洞底部，其管道末端阀井内布置了生态放水管（DN200mm、设计流量0.068m</w:t>
      </w:r>
      <w:r>
        <w:rPr>
          <w:rFonts w:cs="Times New Roman"/>
          <w:vertAlign w:val="superscript"/>
        </w:rPr>
        <w:t>3</w:t>
      </w:r>
      <w:r>
        <w:rPr>
          <w:rFonts w:cs="Times New Roman"/>
        </w:rPr>
        <w:t>/s），经复核生态放水管设计流量偏小无法泄放30%生态流量。本次工程环评提出，适当扩大生态放水管设计规模，使其能下泄30%生态流量。</w:t>
      </w:r>
    </w:p>
    <w:p>
      <w:pPr>
        <w:pStyle w:val="62"/>
        <w:rPr>
          <w:rFonts w:cs="Times New Roman"/>
        </w:rPr>
      </w:pPr>
      <w:r>
        <w:rPr>
          <w:rFonts w:cs="Times New Roman"/>
        </w:rPr>
        <w:t>3.3.2.3 综合结论</w:t>
      </w:r>
    </w:p>
    <w:p>
      <w:pPr>
        <w:ind w:firstLine="480"/>
        <w:rPr>
          <w:rFonts w:cs="Times New Roman"/>
        </w:rPr>
      </w:pPr>
      <w:r>
        <w:rPr>
          <w:rFonts w:cs="Times New Roman"/>
        </w:rPr>
        <w:t>本阶段代尔昆代水库水资源配置方案，遵循了最严格水资源管理规定。通过用水总量控制，至设计水平年2030年，代尔昆代水库</w:t>
      </w:r>
      <w:r>
        <w:rPr>
          <w:rFonts w:hint="eastAsia" w:cs="Times New Roman"/>
          <w:lang w:eastAsia="zh-CN"/>
        </w:rPr>
        <w:t>将</w:t>
      </w:r>
      <w:r>
        <w:rPr>
          <w:rFonts w:cs="Times New Roman"/>
        </w:rPr>
        <w:t>向淖毛湖镇供水359.57万m</w:t>
      </w:r>
      <w:r>
        <w:rPr>
          <w:rFonts w:cs="Times New Roman"/>
          <w:vertAlign w:val="superscript"/>
        </w:rPr>
        <w:t>3</w:t>
      </w:r>
      <w:r>
        <w:rPr>
          <w:rFonts w:cs="Times New Roman"/>
        </w:rPr>
        <w:t>，包括生活供水量218万m</w:t>
      </w:r>
      <w:r>
        <w:rPr>
          <w:rFonts w:cs="Times New Roman"/>
          <w:vertAlign w:val="superscript"/>
        </w:rPr>
        <w:t>3</w:t>
      </w:r>
      <w:r>
        <w:rPr>
          <w:rFonts w:cs="Times New Roman"/>
        </w:rPr>
        <w:t>（5～9月）、灌溉供水量141.57万m</w:t>
      </w:r>
      <w:r>
        <w:rPr>
          <w:rFonts w:cs="Times New Roman"/>
          <w:vertAlign w:val="superscript"/>
        </w:rPr>
        <w:t>3</w:t>
      </w:r>
      <w:r>
        <w:rPr>
          <w:rFonts w:cs="Times New Roman"/>
        </w:rPr>
        <w:t>。工程建设可缓解淖毛湖镇地下水超采问题，改善季节性缺水严重的现状，提高镇区社会经济用水保证率。</w:t>
      </w:r>
    </w:p>
    <w:p>
      <w:pPr>
        <w:ind w:firstLine="480"/>
        <w:rPr>
          <w:rFonts w:cs="Times New Roman"/>
        </w:rPr>
      </w:pPr>
      <w:r>
        <w:rPr>
          <w:rFonts w:cs="Times New Roman"/>
        </w:rPr>
        <w:t>代尔昆代水库工程调度运行在进行社会经济供水的同时，考虑下泄一定生态流量用于维护流域生态系统，经分析，在落实规划环评及本次项目环评提出的生态基流下泄量后，工程建设运行对河流基本形态、下游戈壁区地下水影响不明显，流域生态系统可基本维持现状。</w:t>
      </w:r>
    </w:p>
    <w:p>
      <w:pPr>
        <w:ind w:firstLine="480"/>
        <w:rPr>
          <w:rFonts w:cs="Times New Roman"/>
        </w:rPr>
      </w:pPr>
      <w:r>
        <w:rPr>
          <w:rFonts w:cs="Times New Roman"/>
        </w:rPr>
        <w:t>综上，从环境保护角度分析，本工程水资源配置方案基本合理。</w:t>
      </w:r>
    </w:p>
    <w:p>
      <w:pPr>
        <w:pStyle w:val="4"/>
        <w:rPr>
          <w:rFonts w:cs="Times New Roman"/>
        </w:rPr>
      </w:pPr>
      <w:r>
        <w:rPr>
          <w:rFonts w:cs="Times New Roman"/>
        </w:rPr>
        <w:t>3.3.3 施工规划环境合理性分析</w:t>
      </w:r>
    </w:p>
    <w:p>
      <w:pPr>
        <w:pStyle w:val="62"/>
        <w:rPr>
          <w:rFonts w:cs="Times New Roman"/>
        </w:rPr>
      </w:pPr>
      <w:r>
        <w:rPr>
          <w:rFonts w:cs="Times New Roman"/>
        </w:rPr>
        <w:t>3.3.3.1 施工总布置合理性分析</w:t>
      </w:r>
    </w:p>
    <w:p>
      <w:pPr>
        <w:ind w:firstLine="480"/>
        <w:rPr>
          <w:rFonts w:cs="Times New Roman"/>
        </w:rPr>
      </w:pPr>
      <w:r>
        <w:rPr>
          <w:rFonts w:cs="Times New Roman"/>
        </w:rPr>
        <w:t>代尔昆代水库位于代尔昆代郭勒河上游中低山河段区，为点状工程；从便于生产生活、易于管理、减少施工工程量的角度出发，施工生产生活设施采取分散与集中、临时与永久相结合的布置形式。根据各分部工程特点、场地和交通条件等，工程施工划分为主体工程施工区、砂石料加工系统及混凝土生产系统区，施工管理和生活营地区，施工风、水、电供应及交通围绕上述工区布置，一方面便于施工管理，另一方面有利于污废水等污染物的收集和处理。本工程施工临建设施及施工营地所处区域不涉及生态保护红线及其他各类敏感区；施工管理及生活区总占地面积为12000m</w:t>
      </w:r>
      <w:r>
        <w:rPr>
          <w:rFonts w:cs="Times New Roman"/>
          <w:vertAlign w:val="superscript"/>
        </w:rPr>
        <w:t>2</w:t>
      </w:r>
      <w:r>
        <w:rPr>
          <w:rFonts w:cs="Times New Roman"/>
        </w:rPr>
        <w:t>，占地范围内均为荒漠草地，植被覆</w:t>
      </w:r>
      <w:r>
        <w:rPr>
          <w:rFonts w:hint="eastAsia" w:cs="Times New Roman"/>
          <w:lang w:eastAsia="zh-CN"/>
        </w:rPr>
        <w:t>植盖度</w:t>
      </w:r>
      <w:r>
        <w:rPr>
          <w:rFonts w:cs="Times New Roman"/>
        </w:rPr>
        <w:t>介于10%～30%，施工临建设施造成的生物量损失较小：占地区未发现保护植物分布，无保护鸟类营巢，未见大型兽类栖息活动，仅偶见啮齿目动物活动觅食，不涉及重要物种的重要生境分布。由于施工临建设施占用区分布的动植物适生生境分布广泛，施工活动不会对其生存栖息</w:t>
      </w:r>
      <w:r>
        <w:rPr>
          <w:rFonts w:hint="eastAsia" w:cs="Times New Roman"/>
          <w:lang w:eastAsia="zh-CN"/>
        </w:rPr>
        <w:t>地</w:t>
      </w:r>
      <w:r>
        <w:rPr>
          <w:rFonts w:cs="Times New Roman"/>
        </w:rPr>
        <w:t>产生明显不利影响。</w:t>
      </w:r>
    </w:p>
    <w:p>
      <w:pPr>
        <w:ind w:firstLine="480"/>
        <w:rPr>
          <w:rFonts w:cs="Times New Roman"/>
        </w:rPr>
      </w:pPr>
      <w:r>
        <w:rPr>
          <w:rFonts w:cs="Times New Roman"/>
        </w:rPr>
        <w:t>根据施工需要，本工程共布设3处料场（其中一处为外购料场）、2处弃渣场、3处临时料堆放场、1处砂石加工系统、2处混凝土拌和系统、1处机械修配停放场、1处来临时生活区。由于工程所在地为山区，受限于地形，各施工区自上而下布置在坝址下游约1km左右两岸I、II、III级阶地上。各施工区较为集中设置，其中施工管理生活区，布置在坝址下游左岸Ⅲ级阶地处，距河道约338m，高峰期施工人数总计310人，占地面积1.2hm</w:t>
      </w:r>
      <w:r>
        <w:rPr>
          <w:rFonts w:cs="Times New Roman"/>
          <w:vertAlign w:val="superscript"/>
        </w:rPr>
        <w:t>2</w:t>
      </w:r>
      <w:r>
        <w:rPr>
          <w:rFonts w:cs="Times New Roman"/>
        </w:rPr>
        <w:t>，离施工厂区较近；向下为仓库，油库储运系统区及加工厂区：综合仓库、综合加工厂相邻布置，布置在坝址下游1km左岸Ⅱ级阶地处，分别距河道约206m，占地面积0.25hm</w:t>
      </w:r>
      <w:r>
        <w:rPr>
          <w:rFonts w:cs="Times New Roman"/>
          <w:vertAlign w:val="superscript"/>
        </w:rPr>
        <w:t>2</w:t>
      </w:r>
      <w:r>
        <w:rPr>
          <w:rFonts w:cs="Times New Roman"/>
        </w:rPr>
        <w:t>，距河道约183m，占地面积0.3hm</w:t>
      </w:r>
      <w:r>
        <w:rPr>
          <w:rFonts w:cs="Times New Roman"/>
          <w:vertAlign w:val="superscript"/>
        </w:rPr>
        <w:t>2</w:t>
      </w:r>
      <w:r>
        <w:rPr>
          <w:rFonts w:cs="Times New Roman"/>
        </w:rPr>
        <w:t>，油库布置在坝址下游有岸I级阶地上，距河道约80m；再向下为施工工厂区，自上向下相邻依次为综合修配厂、砼拌和系统、砂石加工系统，依次布置在坝址下游1km左岸Ⅰ级阶地处，分别距离河道约85m，占地面积0.15hm</w:t>
      </w:r>
      <w:r>
        <w:rPr>
          <w:rFonts w:cs="Times New Roman"/>
          <w:vertAlign w:val="superscript"/>
        </w:rPr>
        <w:t>2</w:t>
      </w:r>
      <w:r>
        <w:rPr>
          <w:rFonts w:cs="Times New Roman"/>
        </w:rPr>
        <w:t>、距离河道约90m，占地面积1.0hm</w:t>
      </w:r>
      <w:r>
        <w:rPr>
          <w:rFonts w:cs="Times New Roman"/>
          <w:vertAlign w:val="superscript"/>
        </w:rPr>
        <w:t>2</w:t>
      </w:r>
      <w:r>
        <w:rPr>
          <w:rFonts w:cs="Times New Roman"/>
        </w:rPr>
        <w:t>、距离河道约93m，占地面积1.0hm</w:t>
      </w:r>
      <w:r>
        <w:rPr>
          <w:rFonts w:cs="Times New Roman"/>
          <w:vertAlign w:val="superscript"/>
        </w:rPr>
        <w:t>2</w:t>
      </w:r>
      <w:r>
        <w:rPr>
          <w:rFonts w:cs="Times New Roman"/>
        </w:rPr>
        <w:t>。此外，弃料及利用料堆放区共设置1个永久弃渣场和1个临时弃渣场，3个临时料堆放场，其中1号弃渣场设置在坝址下游约1.5km左岸Ⅳ级阶地上，距离河道约408m，为永久弃渣场、2号弃渣场布设在坝址下游1km左、右岸C2料场覆坑处（料场面积内)，距河道距离约10～50m，为临时弃渣堆放场、3个临时料堆放场均布设在坝址下游1km左岸C2料场处（料场面积内），距河道约10～50m。各施工区域距离河道较近，若施工期间废污水处置不当存在排入代尔昆代郭勒河的可能性。施工结束后施工临时生活区改建为永久管理区，永临结合布置既避免了重复建设，又减少了工程施工临时占地面积，符合环境保护要求。</w:t>
      </w:r>
    </w:p>
    <w:p>
      <w:pPr>
        <w:ind w:firstLine="480"/>
        <w:rPr>
          <w:rFonts w:cs="Times New Roman"/>
        </w:rPr>
      </w:pPr>
      <w:r>
        <w:rPr>
          <w:rFonts w:cs="Times New Roman"/>
        </w:rPr>
        <w:t>综上分析，本工程施工布置不可避免的破坏地表植被，同时，但受工程区地形条件限制，施工活动仍存在生产废水及生活污水进入代尔昆代郭勒河的可能；本次环评提出应优化施工组织设计，一施工生产生活设施应尽量避开保护植物集中分布区，施工期加强植被保护，后期进行植被恢复和补偿；二由于工程所处河段为Ⅱ类水体，因此砂石料加工、混凝土拌和站系统废水应达标处理后回用于生产，生活污水达标处理后用于周边荒漠草场浇灌，均不得入河；并要加强施工人员教育、严格管理、建立惩罚制度，确保不对工程附近代尔昆代郭勒河水体产生不良影响。在采取相应保护措施的前提下，本工程施工布置基本合理。</w:t>
      </w:r>
    </w:p>
    <w:p>
      <w:pPr>
        <w:pStyle w:val="62"/>
        <w:rPr>
          <w:rFonts w:cs="Times New Roman"/>
        </w:rPr>
      </w:pPr>
      <w:r>
        <w:rPr>
          <w:rFonts w:cs="Times New Roman"/>
        </w:rPr>
        <w:t>3.3.3.2 料场规划环境合理性分析</w:t>
      </w:r>
    </w:p>
    <w:p>
      <w:pPr>
        <w:ind w:firstLine="480"/>
        <w:rPr>
          <w:rFonts w:cs="Times New Roman"/>
        </w:rPr>
      </w:pPr>
      <w:r>
        <w:rPr>
          <w:rFonts w:cs="Times New Roman"/>
        </w:rPr>
        <w:t>工程建设所需混凝土骨料均优先使用工程开挖料及临近河床开挖料，所需混凝土粗细骨料可选择从当地商品料场外购（料场至工程区有公路相通，交通较为方便，平均运距31km）。</w:t>
      </w:r>
    </w:p>
    <w:p>
      <w:pPr>
        <w:ind w:firstLine="480"/>
        <w:rPr>
          <w:rFonts w:cs="Times New Roman"/>
        </w:rPr>
      </w:pPr>
      <w:r>
        <w:rPr>
          <w:rFonts w:cs="Times New Roman"/>
        </w:rPr>
        <w:t>本工程共布设3个料场，包括两个工程区料场（C1、C2）和1个外购料场（C3）。其中C1料场位于坝址区、C2料场位于坝址下游1.5km左右两岸I级阶地上、C3料场为外购料场，位于伊吾县东郊，距离坝址31.0km。采取充分利用开挖弃料，可减少料场开采面积，从源头上降低开采活动扰动和破坏原地貌和植被，同时减少弃渣量，进而减少占压破坏植被。料场合理性分析见表3.3-2。</w:t>
      </w:r>
    </w:p>
    <w:p>
      <w:pPr>
        <w:pStyle w:val="137"/>
        <w:spacing w:before="62"/>
      </w:pPr>
      <w:r>
        <w:t>表3.3-2                    工程料场合理性分析表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512"/>
        <w:gridCol w:w="1210"/>
        <w:gridCol w:w="1254"/>
        <w:gridCol w:w="2950"/>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3" w:type="pct"/>
            <w:gridSpan w:val="2"/>
            <w:vAlign w:val="center"/>
          </w:tcPr>
          <w:p>
            <w:pPr>
              <w:pStyle w:val="136"/>
            </w:pPr>
            <w:r>
              <w:t>类型</w:t>
            </w:r>
          </w:p>
        </w:tc>
        <w:tc>
          <w:tcPr>
            <w:tcW w:w="672" w:type="pct"/>
            <w:vAlign w:val="center"/>
          </w:tcPr>
          <w:p>
            <w:pPr>
              <w:pStyle w:val="136"/>
            </w:pPr>
            <w:r>
              <w:t>料场位置</w:t>
            </w:r>
          </w:p>
        </w:tc>
        <w:tc>
          <w:tcPr>
            <w:tcW w:w="696" w:type="pct"/>
            <w:vAlign w:val="center"/>
          </w:tcPr>
          <w:p>
            <w:pPr>
              <w:pStyle w:val="136"/>
            </w:pPr>
            <w:r>
              <w:t>环境概况</w:t>
            </w:r>
          </w:p>
        </w:tc>
        <w:tc>
          <w:tcPr>
            <w:tcW w:w="1638" w:type="pct"/>
            <w:vAlign w:val="center"/>
          </w:tcPr>
          <w:p>
            <w:pPr>
              <w:pStyle w:val="136"/>
            </w:pPr>
            <w:r>
              <w:t>综合分析</w:t>
            </w:r>
          </w:p>
        </w:tc>
        <w:tc>
          <w:tcPr>
            <w:tcW w:w="1450" w:type="pct"/>
            <w:vAlign w:val="center"/>
          </w:tcPr>
          <w:p>
            <w:pPr>
              <w:pStyle w:val="136"/>
            </w:pPr>
            <w:r>
              <w:t>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59" w:type="pct"/>
            <w:vMerge w:val="restart"/>
            <w:vAlign w:val="center"/>
          </w:tcPr>
          <w:p>
            <w:pPr>
              <w:pStyle w:val="136"/>
            </w:pPr>
            <w:r>
              <w:t>碾压砼粗细骨料</w:t>
            </w:r>
          </w:p>
        </w:tc>
        <w:tc>
          <w:tcPr>
            <w:tcW w:w="284" w:type="pct"/>
            <w:vAlign w:val="center"/>
          </w:tcPr>
          <w:p>
            <w:pPr>
              <w:pStyle w:val="136"/>
            </w:pPr>
            <w:r>
              <w:t>C1</w:t>
            </w:r>
          </w:p>
        </w:tc>
        <w:tc>
          <w:tcPr>
            <w:tcW w:w="672" w:type="pct"/>
            <w:vAlign w:val="center"/>
          </w:tcPr>
          <w:p>
            <w:pPr>
              <w:pStyle w:val="136"/>
            </w:pPr>
            <w:r>
              <w:t>主要利用坝址开挖料，占地已计入坝址占地面积内</w:t>
            </w:r>
          </w:p>
        </w:tc>
        <w:tc>
          <w:tcPr>
            <w:tcW w:w="696" w:type="pct"/>
            <w:vMerge w:val="restart"/>
            <w:vAlign w:val="center"/>
          </w:tcPr>
          <w:p>
            <w:pPr>
              <w:pStyle w:val="136"/>
            </w:pPr>
            <w:r>
              <w:t>占地类型为荒漠草地，</w:t>
            </w:r>
            <w:r>
              <w:rPr>
                <w:rFonts w:hint="eastAsia"/>
                <w:lang w:eastAsia="zh-CN"/>
              </w:rPr>
              <w:t>植被盖度</w:t>
            </w:r>
            <w:r>
              <w:t>约10%；无居民点等敏感目标分布，也不在生态保护红线范围内。</w:t>
            </w:r>
          </w:p>
        </w:tc>
        <w:tc>
          <w:tcPr>
            <w:tcW w:w="1638" w:type="pct"/>
            <w:vMerge w:val="restart"/>
            <w:vAlign w:val="center"/>
          </w:tcPr>
          <w:p>
            <w:pPr>
              <w:pStyle w:val="136"/>
            </w:pPr>
            <w:r>
              <w:rPr>
                <w:rFonts w:hint="eastAsia" w:ascii="宋体" w:hAnsi="宋体" w:cs="宋体"/>
              </w:rPr>
              <w:t>①</w:t>
            </w:r>
            <w:r>
              <w:t>占地范围内无保护植物分布，未见保护鸟类营巢和大型野生动物栖息活动；</w:t>
            </w:r>
            <w:r>
              <w:rPr>
                <w:rFonts w:hint="eastAsia" w:ascii="宋体" w:hAnsi="宋体" w:cs="宋体"/>
              </w:rPr>
              <w:t>②</w:t>
            </w:r>
            <w:r>
              <w:t>施工期应严格控制各工区至料场道路行驶范围，禁止运输车辆随意碾压和扰动周边地表植被和土壤；开采活动环境影响主要为地表植被破坏、对区域景观影响以及施工期水土流失；应严格控制开采范围，严禁乱挖、乱堆、随意扰动周边区域。在采取相应保护措施的前提下，料场选址基本合理。</w:t>
            </w:r>
          </w:p>
        </w:tc>
        <w:tc>
          <w:tcPr>
            <w:tcW w:w="1450" w:type="pct"/>
            <w:vMerge w:val="restart"/>
            <w:vAlign w:val="center"/>
          </w:tcPr>
          <w:p>
            <w:pPr>
              <w:pStyle w:val="136"/>
            </w:pPr>
            <w:r>
              <w:t>应严格划定施工作业及运输区，严禁乱挖、乱堆，随意扰动周边区域；施工期间做好水土流失防护，并经常性洒水，施工结束后，</w:t>
            </w:r>
            <w:r>
              <w:rPr>
                <w:rFonts w:hint="eastAsia"/>
                <w:lang w:eastAsia="zh-CN"/>
              </w:rPr>
              <w:t>将</w:t>
            </w:r>
            <w:r>
              <w:t>部分表层无用层及筛分弃料及时回填取料坑，恢复料场开挖对区域地形地貌的影响；施工结束后，对料场进行土地平整等水土保持措施，使开采区域与周围环境协调一致。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259" w:type="pct"/>
            <w:vMerge w:val="continue"/>
            <w:tcBorders>
              <w:bottom w:val="single" w:color="auto" w:sz="4" w:space="0"/>
            </w:tcBorders>
            <w:vAlign w:val="center"/>
          </w:tcPr>
          <w:p>
            <w:pPr>
              <w:pStyle w:val="136"/>
            </w:pPr>
          </w:p>
        </w:tc>
        <w:tc>
          <w:tcPr>
            <w:tcW w:w="284" w:type="pct"/>
            <w:tcBorders>
              <w:bottom w:val="single" w:color="auto" w:sz="4" w:space="0"/>
            </w:tcBorders>
            <w:vAlign w:val="center"/>
          </w:tcPr>
          <w:p>
            <w:pPr>
              <w:pStyle w:val="136"/>
            </w:pPr>
            <w:r>
              <w:t>C2</w:t>
            </w:r>
          </w:p>
        </w:tc>
        <w:tc>
          <w:tcPr>
            <w:tcW w:w="672" w:type="pct"/>
            <w:tcBorders>
              <w:bottom w:val="single" w:color="auto" w:sz="4" w:space="0"/>
            </w:tcBorders>
            <w:vAlign w:val="center"/>
          </w:tcPr>
          <w:p>
            <w:pPr>
              <w:pStyle w:val="136"/>
            </w:pPr>
            <w:r>
              <w:t>坝址下游约1.5km左右两岸的I阶河床</w:t>
            </w:r>
          </w:p>
        </w:tc>
        <w:tc>
          <w:tcPr>
            <w:tcW w:w="696" w:type="pct"/>
            <w:vMerge w:val="continue"/>
            <w:tcBorders>
              <w:bottom w:val="single" w:color="auto" w:sz="4" w:space="0"/>
            </w:tcBorders>
            <w:vAlign w:val="center"/>
          </w:tcPr>
          <w:p>
            <w:pPr>
              <w:pStyle w:val="136"/>
            </w:pPr>
          </w:p>
        </w:tc>
        <w:tc>
          <w:tcPr>
            <w:tcW w:w="1638" w:type="pct"/>
            <w:vMerge w:val="continue"/>
            <w:tcBorders>
              <w:bottom w:val="single" w:color="auto" w:sz="4" w:space="0"/>
            </w:tcBorders>
            <w:vAlign w:val="center"/>
          </w:tcPr>
          <w:p>
            <w:pPr>
              <w:pStyle w:val="136"/>
            </w:pPr>
          </w:p>
        </w:tc>
        <w:tc>
          <w:tcPr>
            <w:tcW w:w="1450" w:type="pct"/>
            <w:vMerge w:val="continue"/>
            <w:tcBorders>
              <w:bottom w:val="single" w:color="auto" w:sz="4" w:space="0"/>
            </w:tcBorders>
            <w:vAlign w:val="center"/>
          </w:tcPr>
          <w:p>
            <w:pPr>
              <w:pStyle w:val="136"/>
            </w:pPr>
          </w:p>
        </w:tc>
      </w:tr>
    </w:tbl>
    <w:p>
      <w:pPr>
        <w:ind w:firstLine="480"/>
        <w:rPr>
          <w:rFonts w:cs="Times New Roman"/>
        </w:rPr>
      </w:pPr>
    </w:p>
    <w:p>
      <w:pPr>
        <w:ind w:firstLine="480"/>
        <w:rPr>
          <w:rFonts w:cs="Times New Roman"/>
        </w:rPr>
      </w:pPr>
      <w:r>
        <w:rPr>
          <w:rFonts w:cs="Times New Roman"/>
        </w:rPr>
        <w:t>由表3.3-2中分析可见，料场占地区内无相关保护植物，应尽量避免占用植被浓密处土地，施工结束后结合水土保持方案进行施工迹地平整和对荒漠植被进行适当补植等，做好施工结束后的综合治理，与周边环境协调一致，以减缓工程施工造成的生态环境和视觉景观影响。综上，工程料场在取得许可，做好施工期防护、后期恢复等措施后，基本符合环保要求。下阶段应进一步优化施工组织设计，尽量降低料场开挖面积，并优化施工时序。</w:t>
      </w:r>
    </w:p>
    <w:p>
      <w:pPr>
        <w:pStyle w:val="62"/>
        <w:rPr>
          <w:rFonts w:cs="Times New Roman"/>
        </w:rPr>
      </w:pPr>
      <w:r>
        <w:rPr>
          <w:rFonts w:cs="Times New Roman"/>
        </w:rPr>
        <w:t>3.3.3.3 渣场选址的环境合理性分析</w:t>
      </w:r>
    </w:p>
    <w:p>
      <w:pPr>
        <w:ind w:firstLine="480"/>
        <w:rPr>
          <w:rFonts w:cs="Times New Roman"/>
        </w:rPr>
      </w:pPr>
      <w:r>
        <w:rPr>
          <w:rFonts w:cs="Times New Roman"/>
        </w:rPr>
        <w:t>代尔昆代水库工程共设置1个永久弃渣场和1个临时弃渣场，3个临时料堆放场。各渣场环境合理性分析见表3.3-3。</w:t>
      </w:r>
    </w:p>
    <w:p>
      <w:pPr>
        <w:ind w:firstLine="480"/>
        <w:rPr>
          <w:rFonts w:cs="Times New Roman"/>
        </w:rPr>
      </w:pPr>
      <w:r>
        <w:rPr>
          <w:rFonts w:cs="Times New Roman"/>
        </w:rPr>
        <w:t>本工程本着合理利用现有资源，降低工程投资，减少工程弃渣对环境影响的原则，工程施工设计在对土石方开挖料的堆放与利用上，尽量多的利用开挖料填筑大坝、围堰和各建筑物的土石方回填，并应尽可能利用开挖渣料填筑施工道路、场地平整、料场覆坑等，有效减少了工程弃渣总量。在利用料堆放场与弃渣场的选择与布置上，</w:t>
      </w:r>
      <w:r>
        <w:rPr>
          <w:rFonts w:hint="eastAsia" w:cs="Times New Roman"/>
          <w:lang w:eastAsia="zh-CN"/>
        </w:rPr>
        <w:t>将</w:t>
      </w:r>
      <w:r>
        <w:rPr>
          <w:rFonts w:cs="Times New Roman"/>
        </w:rPr>
        <w:t>利用料堆放场与2#弃渣场结合布置，可减少工程临时占地面积及弃渣堆放占压对地表植被的破坏，符合环境保护要求。</w:t>
      </w:r>
    </w:p>
    <w:p>
      <w:pPr>
        <w:ind w:firstLine="480"/>
        <w:rPr>
          <w:rFonts w:cs="Times New Roman"/>
        </w:rPr>
      </w:pPr>
      <w:r>
        <w:rPr>
          <w:rFonts w:cs="Times New Roman"/>
        </w:rPr>
        <w:t>本工程开挖弃料后期多用于料场覆坑，覆坑面积约3.57万m</w:t>
      </w:r>
      <w:r>
        <w:rPr>
          <w:rFonts w:cs="Times New Roman"/>
          <w:vertAlign w:val="superscript"/>
        </w:rPr>
        <w:t>2</w:t>
      </w:r>
      <w:r>
        <w:rPr>
          <w:rFonts w:cs="Times New Roman"/>
        </w:rPr>
        <w:t>，计划覆坑填埋17.87万m</w:t>
      </w:r>
      <w:r>
        <w:rPr>
          <w:rFonts w:cs="Times New Roman"/>
          <w:vertAlign w:val="superscript"/>
        </w:rPr>
        <w:t>3</w:t>
      </w:r>
      <w:r>
        <w:rPr>
          <w:rFonts w:cs="Times New Roman"/>
        </w:rPr>
        <w:t>（松方）弃渣，其余运往坝轴线下游1.5km左岸Ⅳ级阶地处1号永久弃渣场，可堆放9.08万m</w:t>
      </w:r>
      <w:r>
        <w:rPr>
          <w:rFonts w:cs="Times New Roman"/>
          <w:vertAlign w:val="superscript"/>
        </w:rPr>
        <w:t>2</w:t>
      </w:r>
      <w:r>
        <w:rPr>
          <w:rFonts w:cs="Times New Roman"/>
        </w:rPr>
        <w:t>（松方）弃渣；该弃渣场位于河道左岸级阶地，地形较为平坦，弃渣过程中应利用天然地形集中堆放，平整，并做好挡渣，排水措施。</w:t>
      </w:r>
    </w:p>
    <w:p>
      <w:pPr>
        <w:ind w:firstLine="480"/>
        <w:rPr>
          <w:rFonts w:cs="Times New Roman"/>
        </w:rPr>
      </w:pPr>
      <w:r>
        <w:rPr>
          <w:rFonts w:cs="Times New Roman"/>
        </w:rPr>
        <w:t>其余临时弃渣场、堆料场，基本布置于河道两岸，洪水期可能受洪水冲刷影响，应严格按照设计堆放并进行拦挡防护，并在弃渣过程中，做好覆盖措施，避免受到大风暴雨天气的影响。</w:t>
      </w:r>
    </w:p>
    <w:p>
      <w:pPr>
        <w:ind w:firstLine="480"/>
        <w:rPr>
          <w:rFonts w:cs="Times New Roman"/>
        </w:rPr>
      </w:pPr>
      <w:r>
        <w:rPr>
          <w:rFonts w:cs="Times New Roman"/>
        </w:rPr>
        <w:t>据现场调查，各弃渣场及利用料堆放场占地区内均为生产力较低的荒漠草地，无当地居民的生产生活设施，附近亦无居民区等环境敏感目标分布。各弃渣场占地范围内无保护植物分布，未见保护鸟类营巢，未见大型兽类栖息活动，仅偶见啮齿目等小型动物活动觅食，由于此类动物适生生境分布广泛，堆渣不会对其生存栖息</w:t>
      </w:r>
      <w:r>
        <w:rPr>
          <w:rFonts w:hint="eastAsia" w:cs="Times New Roman"/>
          <w:lang w:eastAsia="zh-CN"/>
        </w:rPr>
        <w:t>地</w:t>
      </w:r>
      <w:r>
        <w:rPr>
          <w:rFonts w:cs="Times New Roman"/>
        </w:rPr>
        <w:t>产生明显不利影响。施工活动不可避免占压损坏一定数量植物，可通过后期土地平整、播撒草籽予以恢复。综上所述，工程弃渣场在做好施工期防护、后期恢复等措施后，符合环保要求。</w:t>
      </w:r>
    </w:p>
    <w:p>
      <w:pPr>
        <w:pStyle w:val="137"/>
        <w:spacing w:before="62"/>
      </w:pPr>
      <w:r>
        <w:t>表3.3-3                  工程渣场环境合理性分析表</w:t>
      </w:r>
    </w:p>
    <w:tbl>
      <w:tblPr>
        <w:tblStyle w:val="41"/>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1212"/>
        <w:gridCol w:w="1210"/>
        <w:gridCol w:w="1285"/>
        <w:gridCol w:w="2752"/>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vAlign w:val="center"/>
          </w:tcPr>
          <w:p>
            <w:pPr>
              <w:pStyle w:val="136"/>
            </w:pPr>
            <w:r>
              <w:t>类型</w:t>
            </w:r>
          </w:p>
        </w:tc>
        <w:tc>
          <w:tcPr>
            <w:tcW w:w="1323" w:type="pct"/>
            <w:gridSpan w:val="2"/>
            <w:vAlign w:val="center"/>
          </w:tcPr>
          <w:p>
            <w:pPr>
              <w:pStyle w:val="136"/>
            </w:pPr>
            <w:r>
              <w:t>弃渣场及位置</w:t>
            </w:r>
          </w:p>
        </w:tc>
        <w:tc>
          <w:tcPr>
            <w:tcW w:w="702" w:type="pct"/>
            <w:vAlign w:val="center"/>
          </w:tcPr>
          <w:p>
            <w:pPr>
              <w:pStyle w:val="136"/>
            </w:pPr>
            <w:r>
              <w:t>环境概况</w:t>
            </w:r>
          </w:p>
        </w:tc>
        <w:tc>
          <w:tcPr>
            <w:tcW w:w="1503" w:type="pct"/>
            <w:vAlign w:val="center"/>
          </w:tcPr>
          <w:p>
            <w:pPr>
              <w:pStyle w:val="136"/>
            </w:pPr>
            <w:r>
              <w:t>综合分析</w:t>
            </w:r>
          </w:p>
        </w:tc>
        <w:tc>
          <w:tcPr>
            <w:tcW w:w="1130" w:type="pct"/>
            <w:vAlign w:val="center"/>
          </w:tcPr>
          <w:p>
            <w:pPr>
              <w:pStyle w:val="136"/>
            </w:pPr>
            <w:r>
              <w:t>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vMerge w:val="restart"/>
            <w:vAlign w:val="center"/>
          </w:tcPr>
          <w:p>
            <w:pPr>
              <w:pStyle w:val="136"/>
            </w:pPr>
            <w:r>
              <w:t>弃渣场</w:t>
            </w:r>
          </w:p>
        </w:tc>
        <w:tc>
          <w:tcPr>
            <w:tcW w:w="662" w:type="pct"/>
            <w:vAlign w:val="center"/>
          </w:tcPr>
          <w:p>
            <w:pPr>
              <w:pStyle w:val="136"/>
            </w:pPr>
            <w:r>
              <w:t>1#弃渣场</w:t>
            </w:r>
          </w:p>
        </w:tc>
        <w:tc>
          <w:tcPr>
            <w:tcW w:w="661" w:type="pct"/>
            <w:vAlign w:val="center"/>
          </w:tcPr>
          <w:p>
            <w:pPr>
              <w:pStyle w:val="136"/>
              <w:jc w:val="both"/>
            </w:pPr>
            <w:r>
              <w:t>坝址1.5km下游左岸Ⅳ级阶地</w:t>
            </w:r>
          </w:p>
        </w:tc>
        <w:tc>
          <w:tcPr>
            <w:tcW w:w="702" w:type="pct"/>
            <w:vAlign w:val="center"/>
          </w:tcPr>
          <w:p>
            <w:pPr>
              <w:pStyle w:val="136"/>
              <w:jc w:val="both"/>
            </w:pPr>
            <w:r>
              <w:t>占地类型荒漠草地。</w:t>
            </w:r>
          </w:p>
        </w:tc>
        <w:tc>
          <w:tcPr>
            <w:tcW w:w="1503" w:type="pct"/>
            <w:vAlign w:val="center"/>
          </w:tcPr>
          <w:p>
            <w:pPr>
              <w:pStyle w:val="136"/>
              <w:jc w:val="both"/>
            </w:pPr>
            <w:r>
              <w:t>占地范围内无保护植物，未见保护鸟类营巢和大型野生动物栖息活动；</w:t>
            </w:r>
          </w:p>
          <w:p>
            <w:pPr>
              <w:pStyle w:val="136"/>
              <w:jc w:val="both"/>
            </w:pPr>
            <w:r>
              <w:rPr>
                <w:rFonts w:hint="eastAsia" w:ascii="宋体" w:hAnsi="宋体" w:cs="宋体"/>
              </w:rPr>
              <w:t>②</w:t>
            </w:r>
            <w:r>
              <w:t>位于河道两岸高阶地，开采期间不受洪水威胁；</w:t>
            </w:r>
          </w:p>
          <w:p>
            <w:pPr>
              <w:pStyle w:val="136"/>
              <w:jc w:val="both"/>
            </w:pPr>
            <w:r>
              <w:rPr>
                <w:rFonts w:hint="eastAsia" w:ascii="宋体" w:hAnsi="宋体" w:cs="宋体"/>
              </w:rPr>
              <w:t>③</w:t>
            </w:r>
            <w:r>
              <w:t>附近无交通干道，远离周边公共设施和居民点；</w:t>
            </w:r>
          </w:p>
          <w:p>
            <w:pPr>
              <w:pStyle w:val="136"/>
              <w:jc w:val="both"/>
            </w:pPr>
            <w:r>
              <w:rPr>
                <w:rFonts w:hint="eastAsia" w:ascii="宋体" w:hAnsi="宋体" w:cs="宋体"/>
              </w:rPr>
              <w:t>④</w:t>
            </w:r>
            <w:r>
              <w:t>不会加剧周边侵蚀，但需要做好挡碴，排水措施。</w:t>
            </w:r>
          </w:p>
        </w:tc>
        <w:tc>
          <w:tcPr>
            <w:tcW w:w="1130" w:type="pct"/>
            <w:vMerge w:val="restart"/>
            <w:vAlign w:val="center"/>
          </w:tcPr>
          <w:p>
            <w:pPr>
              <w:pStyle w:val="136"/>
              <w:jc w:val="both"/>
            </w:pPr>
            <w:r>
              <w:t>“先拦后弃”，严禁随意堆置，避免弃渣坍塌滑落入河，妨碍行洪、污染河水；</w:t>
            </w:r>
          </w:p>
          <w:p>
            <w:pPr>
              <w:pStyle w:val="136"/>
              <w:jc w:val="both"/>
            </w:pPr>
            <w:r>
              <w:rPr>
                <w:rFonts w:hint="eastAsia" w:ascii="宋体" w:hAnsi="宋体" w:cs="宋体"/>
              </w:rPr>
              <w:t>②</w:t>
            </w:r>
            <w:r>
              <w:t>施工期间做好弃渣防护，避免引发严重水土流失；</w:t>
            </w:r>
          </w:p>
          <w:p>
            <w:pPr>
              <w:pStyle w:val="136"/>
              <w:jc w:val="both"/>
            </w:pPr>
            <w:r>
              <w:rPr>
                <w:rFonts w:hint="eastAsia" w:ascii="宋体" w:hAnsi="宋体" w:cs="宋体"/>
              </w:rPr>
              <w:t>③</w:t>
            </w:r>
            <w:r>
              <w:t>做好拦挡及截排水措施，减少雨季坡面汇水影响；</w:t>
            </w:r>
          </w:p>
          <w:p>
            <w:pPr>
              <w:pStyle w:val="136"/>
              <w:jc w:val="both"/>
            </w:pPr>
            <w:r>
              <w:rPr>
                <w:rFonts w:hint="eastAsia" w:ascii="宋体" w:hAnsi="宋体" w:cs="宋体"/>
              </w:rPr>
              <w:t>④</w:t>
            </w:r>
            <w:r>
              <w:t>堆渣结束后进行土地平整，同时结合水保方案中的植物措施进行植被恢复，使其与周围景观协调一致。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vMerge w:val="continue"/>
            <w:vAlign w:val="center"/>
          </w:tcPr>
          <w:p>
            <w:pPr>
              <w:pStyle w:val="136"/>
            </w:pPr>
          </w:p>
        </w:tc>
        <w:tc>
          <w:tcPr>
            <w:tcW w:w="662" w:type="pct"/>
            <w:vAlign w:val="center"/>
          </w:tcPr>
          <w:p>
            <w:pPr>
              <w:pStyle w:val="136"/>
            </w:pPr>
            <w:r>
              <w:t>2#弃渣场</w:t>
            </w:r>
          </w:p>
        </w:tc>
        <w:tc>
          <w:tcPr>
            <w:tcW w:w="661" w:type="pct"/>
            <w:vMerge w:val="restart"/>
            <w:vAlign w:val="center"/>
          </w:tcPr>
          <w:p>
            <w:pPr>
              <w:pStyle w:val="136"/>
              <w:jc w:val="both"/>
            </w:pPr>
            <w:r>
              <w:t>坝址1.5km下游左、右岸C2料场处</w:t>
            </w:r>
          </w:p>
          <w:p>
            <w:pPr>
              <w:pStyle w:val="136"/>
              <w:jc w:val="both"/>
            </w:pPr>
            <w:r>
              <w:t>覆坑（料场面积内)</w:t>
            </w:r>
          </w:p>
        </w:tc>
        <w:tc>
          <w:tcPr>
            <w:tcW w:w="702" w:type="pct"/>
            <w:vMerge w:val="restart"/>
            <w:vAlign w:val="center"/>
          </w:tcPr>
          <w:p>
            <w:pPr>
              <w:pStyle w:val="136"/>
              <w:jc w:val="both"/>
            </w:pPr>
            <w:r>
              <w:t>临河型渣场、堆放场，占地类型为荒漠草地，植被覆</w:t>
            </w:r>
            <w:r>
              <w:rPr>
                <w:rFonts w:hint="eastAsia"/>
                <w:lang w:eastAsia="zh-CN"/>
              </w:rPr>
              <w:t>植盖度</w:t>
            </w:r>
            <w:r>
              <w:t>约10%~30%。</w:t>
            </w:r>
          </w:p>
        </w:tc>
        <w:tc>
          <w:tcPr>
            <w:tcW w:w="1503" w:type="pct"/>
            <w:vMerge w:val="restart"/>
            <w:vAlign w:val="center"/>
          </w:tcPr>
          <w:p>
            <w:pPr>
              <w:pStyle w:val="136"/>
              <w:jc w:val="both"/>
            </w:pPr>
            <w:r>
              <w:t>占地范围内无保护植物，未见保护鸟类营巢和大型野生动物栖息活动；</w:t>
            </w:r>
          </w:p>
          <w:p>
            <w:pPr>
              <w:pStyle w:val="136"/>
              <w:jc w:val="both"/>
            </w:pPr>
            <w:r>
              <w:rPr>
                <w:rFonts w:hint="eastAsia" w:ascii="宋体" w:hAnsi="宋体" w:cs="宋体"/>
              </w:rPr>
              <w:t>②</w:t>
            </w:r>
            <w:r>
              <w:t>附近无交通干道，远离周边公共设施和居民点；</w:t>
            </w:r>
          </w:p>
          <w:p>
            <w:pPr>
              <w:pStyle w:val="136"/>
              <w:jc w:val="both"/>
            </w:pPr>
            <w:r>
              <w:rPr>
                <w:rFonts w:hint="eastAsia" w:ascii="宋体" w:hAnsi="宋体" w:cs="宋体"/>
              </w:rPr>
              <w:t>③</w:t>
            </w:r>
            <w:r>
              <w:t>各利用料堆放场距河道较近，弃渣堆放应严格按照要求，做好拦挡及截排水措施，防止洪水冲刷。</w:t>
            </w:r>
          </w:p>
        </w:tc>
        <w:tc>
          <w:tcPr>
            <w:tcW w:w="1130" w:type="pct"/>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vMerge w:val="restart"/>
            <w:vAlign w:val="center"/>
          </w:tcPr>
          <w:p>
            <w:pPr>
              <w:pStyle w:val="136"/>
            </w:pPr>
            <w:r>
              <w:t>利用料堆放场</w:t>
            </w:r>
          </w:p>
        </w:tc>
        <w:tc>
          <w:tcPr>
            <w:tcW w:w="662" w:type="pct"/>
            <w:vAlign w:val="center"/>
          </w:tcPr>
          <w:p>
            <w:pPr>
              <w:pStyle w:val="136"/>
            </w:pPr>
            <w:r>
              <w:t>1#临时料堆放场</w:t>
            </w:r>
          </w:p>
        </w:tc>
        <w:tc>
          <w:tcPr>
            <w:tcW w:w="661" w:type="pct"/>
            <w:vMerge w:val="continue"/>
            <w:vAlign w:val="center"/>
          </w:tcPr>
          <w:p>
            <w:pPr>
              <w:pStyle w:val="136"/>
            </w:pPr>
          </w:p>
        </w:tc>
        <w:tc>
          <w:tcPr>
            <w:tcW w:w="702" w:type="pct"/>
            <w:vMerge w:val="continue"/>
            <w:vAlign w:val="center"/>
          </w:tcPr>
          <w:p>
            <w:pPr>
              <w:pStyle w:val="136"/>
            </w:pPr>
          </w:p>
        </w:tc>
        <w:tc>
          <w:tcPr>
            <w:tcW w:w="1503" w:type="pct"/>
            <w:vMerge w:val="continue"/>
            <w:vAlign w:val="center"/>
          </w:tcPr>
          <w:p>
            <w:pPr>
              <w:pStyle w:val="136"/>
            </w:pPr>
          </w:p>
        </w:tc>
        <w:tc>
          <w:tcPr>
            <w:tcW w:w="1130" w:type="pct"/>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vMerge w:val="continue"/>
            <w:vAlign w:val="center"/>
          </w:tcPr>
          <w:p>
            <w:pPr>
              <w:pStyle w:val="136"/>
            </w:pPr>
          </w:p>
        </w:tc>
        <w:tc>
          <w:tcPr>
            <w:tcW w:w="662" w:type="pct"/>
            <w:vAlign w:val="center"/>
          </w:tcPr>
          <w:p>
            <w:pPr>
              <w:pStyle w:val="136"/>
            </w:pPr>
            <w:r>
              <w:t>2#临时料堆放场</w:t>
            </w:r>
          </w:p>
        </w:tc>
        <w:tc>
          <w:tcPr>
            <w:tcW w:w="661" w:type="pct"/>
            <w:vMerge w:val="continue"/>
            <w:vAlign w:val="center"/>
          </w:tcPr>
          <w:p>
            <w:pPr>
              <w:pStyle w:val="136"/>
            </w:pPr>
          </w:p>
        </w:tc>
        <w:tc>
          <w:tcPr>
            <w:tcW w:w="702" w:type="pct"/>
            <w:vMerge w:val="continue"/>
            <w:vAlign w:val="center"/>
          </w:tcPr>
          <w:p>
            <w:pPr>
              <w:pStyle w:val="136"/>
            </w:pPr>
          </w:p>
        </w:tc>
        <w:tc>
          <w:tcPr>
            <w:tcW w:w="1503" w:type="pct"/>
            <w:vMerge w:val="continue"/>
            <w:vAlign w:val="center"/>
          </w:tcPr>
          <w:p>
            <w:pPr>
              <w:pStyle w:val="136"/>
            </w:pPr>
          </w:p>
        </w:tc>
        <w:tc>
          <w:tcPr>
            <w:tcW w:w="1130" w:type="pct"/>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vMerge w:val="continue"/>
            <w:vAlign w:val="center"/>
          </w:tcPr>
          <w:p>
            <w:pPr>
              <w:pStyle w:val="136"/>
            </w:pPr>
          </w:p>
        </w:tc>
        <w:tc>
          <w:tcPr>
            <w:tcW w:w="662" w:type="pct"/>
            <w:vAlign w:val="center"/>
          </w:tcPr>
          <w:p>
            <w:pPr>
              <w:pStyle w:val="136"/>
            </w:pPr>
            <w:r>
              <w:t>3#临时料堆放场</w:t>
            </w:r>
          </w:p>
        </w:tc>
        <w:tc>
          <w:tcPr>
            <w:tcW w:w="661" w:type="pct"/>
            <w:vMerge w:val="continue"/>
            <w:vAlign w:val="center"/>
          </w:tcPr>
          <w:p>
            <w:pPr>
              <w:pStyle w:val="136"/>
            </w:pPr>
          </w:p>
        </w:tc>
        <w:tc>
          <w:tcPr>
            <w:tcW w:w="702" w:type="pct"/>
            <w:vMerge w:val="continue"/>
            <w:vAlign w:val="center"/>
          </w:tcPr>
          <w:p>
            <w:pPr>
              <w:pStyle w:val="136"/>
            </w:pPr>
          </w:p>
        </w:tc>
        <w:tc>
          <w:tcPr>
            <w:tcW w:w="1503" w:type="pct"/>
            <w:vMerge w:val="continue"/>
            <w:vAlign w:val="center"/>
          </w:tcPr>
          <w:p>
            <w:pPr>
              <w:pStyle w:val="136"/>
            </w:pPr>
          </w:p>
        </w:tc>
        <w:tc>
          <w:tcPr>
            <w:tcW w:w="1130" w:type="pct"/>
            <w:vMerge w:val="continue"/>
            <w:vAlign w:val="center"/>
          </w:tcPr>
          <w:p>
            <w:pPr>
              <w:pStyle w:val="136"/>
            </w:pPr>
          </w:p>
        </w:tc>
      </w:tr>
    </w:tbl>
    <w:p>
      <w:pPr>
        <w:ind w:firstLine="480"/>
        <w:rPr>
          <w:rFonts w:cs="Times New Roman"/>
        </w:rPr>
      </w:pPr>
    </w:p>
    <w:p>
      <w:pPr>
        <w:pStyle w:val="62"/>
        <w:rPr>
          <w:rFonts w:cs="Times New Roman"/>
        </w:rPr>
      </w:pPr>
      <w:r>
        <w:rPr>
          <w:rFonts w:cs="Times New Roman"/>
        </w:rPr>
        <w:t>3.3.3.4 施工道路布局的环境合理性分析</w:t>
      </w:r>
    </w:p>
    <w:p>
      <w:pPr>
        <w:ind w:firstLine="480"/>
        <w:rPr>
          <w:rFonts w:cs="Times New Roman"/>
        </w:rPr>
      </w:pPr>
      <w:r>
        <w:rPr>
          <w:rFonts w:cs="Times New Roman"/>
        </w:rPr>
        <w:t>为了满足工程施工需要，本工程拟修建1条进场道路，长为7km，并在施工区内布设场内交通道路共9条，总长度约5.6km，交通桥3座。进场道路为永久道路，等级为4级，可满足施工及运行期对外交通要求；场内新建永久道路总长约1.5km，新建临时道路4.1km，分别衔接坝体区、各施工区和临时生产生活区、弃渣场、下游料场等。工程新建进场道路及场内施工道路布置及特性详见表2.4-1。</w:t>
      </w:r>
    </w:p>
    <w:p>
      <w:pPr>
        <w:ind w:firstLine="480"/>
        <w:rPr>
          <w:rFonts w:cs="Times New Roman"/>
        </w:rPr>
      </w:pPr>
      <w:r>
        <w:rPr>
          <w:rFonts w:cs="Times New Roman"/>
        </w:rPr>
        <w:t>经现场调查，进场道路及施工道路沿线区无生态红线、保护区等各类敏感区，</w:t>
      </w:r>
      <w:r>
        <w:rPr>
          <w:rFonts w:hint="eastAsia" w:cs="Times New Roman"/>
          <w:lang w:eastAsia="zh-CN"/>
        </w:rPr>
        <w:t>占用地区植被</w:t>
      </w:r>
      <w:r>
        <w:rPr>
          <w:rFonts w:cs="Times New Roman"/>
        </w:rPr>
        <w:t>群落以荒漠草地为主，</w:t>
      </w:r>
      <w:r>
        <w:rPr>
          <w:rFonts w:hint="eastAsia" w:cs="Times New Roman"/>
          <w:lang w:eastAsia="zh-CN"/>
        </w:rPr>
        <w:t>植盖度</w:t>
      </w:r>
      <w:r>
        <w:rPr>
          <w:rFonts w:cs="Times New Roman"/>
        </w:rPr>
        <w:t>不高，也非动植物的重要生境分布区，因此，道路选址选线不存在环境制约因素。</w:t>
      </w:r>
    </w:p>
    <w:p>
      <w:pPr>
        <w:ind w:firstLine="480"/>
        <w:rPr>
          <w:rFonts w:cs="Times New Roman"/>
        </w:rPr>
      </w:pPr>
      <w:r>
        <w:rPr>
          <w:rFonts w:cs="Times New Roman"/>
        </w:rPr>
        <w:t>施工道路采用永临结合，兼顾施工期物资运输及各作业面施工需要，可避免重复建设，有效减少对地貌、土壤植被的影响，减轻工程建设对地表的扰动和水土流失危害。</w:t>
      </w:r>
    </w:p>
    <w:p>
      <w:pPr>
        <w:ind w:firstLine="480"/>
        <w:rPr>
          <w:rFonts w:cs="Times New Roman"/>
        </w:rPr>
      </w:pPr>
      <w:r>
        <w:rPr>
          <w:rFonts w:cs="Times New Roman"/>
        </w:rPr>
        <w:t>道路占地区未见保护植物分布，亦非大型野生动物栖息地，未见保护动物栖息</w:t>
      </w:r>
      <w:r>
        <w:rPr>
          <w:rFonts w:hint="eastAsia" w:cs="Times New Roman"/>
          <w:lang w:eastAsia="zh-CN"/>
        </w:rPr>
        <w:t>地</w:t>
      </w:r>
      <w:r>
        <w:rPr>
          <w:rFonts w:cs="Times New Roman"/>
        </w:rPr>
        <w:t>，仅有小型啮齿类兽类活动，由于河道的天然阻隔已存在，施工道路多临河而建，且小型啮齿类动物有较强的适应和迁徙能力，因此施工道路不会对野生动物栖息迁徙产生阻隔。</w:t>
      </w:r>
    </w:p>
    <w:p>
      <w:pPr>
        <w:ind w:firstLine="480"/>
        <w:rPr>
          <w:rFonts w:cs="Times New Roman"/>
        </w:rPr>
      </w:pPr>
      <w:r>
        <w:rPr>
          <w:rFonts w:cs="Times New Roman"/>
        </w:rPr>
        <w:t>此外，对于临时施工道路，施工期间还应结合水土保持方案进行临时防护，施工结束后对道路占地区应根据各道路所处区域地表植被类型，对道路占地区和施工扰动的山坡地表进行植被恢复，尽量使其与周边环境协调一致，避免产生突兀感。</w:t>
      </w:r>
    </w:p>
    <w:p>
      <w:pPr>
        <w:ind w:firstLine="480"/>
        <w:rPr>
          <w:rFonts w:cs="Times New Roman"/>
        </w:rPr>
      </w:pPr>
      <w:r>
        <w:rPr>
          <w:rFonts w:cs="Times New Roman"/>
        </w:rPr>
        <w:t>综上分析，本工程在做好施工后期植被恢复工作前提下，施工道路的选线和布置基本符合环境保护要求。下阶段进一步优化施工组织设计，尽量减少施工道路长度及占地面积，降低生态环境影响。</w:t>
      </w:r>
    </w:p>
    <w:p>
      <w:pPr>
        <w:ind w:firstLine="480"/>
        <w:rPr>
          <w:rFonts w:cs="Times New Roman"/>
        </w:rPr>
      </w:pPr>
    </w:p>
    <w:p>
      <w:pPr>
        <w:pStyle w:val="3"/>
        <w:rPr>
          <w:rFonts w:cs="Times New Roman"/>
        </w:rPr>
      </w:pPr>
      <w:bookmarkStart w:id="75" w:name="_Toc181381606"/>
      <w:r>
        <w:rPr>
          <w:rFonts w:cs="Times New Roman"/>
        </w:rPr>
        <w:t>3.4 工程分析</w:t>
      </w:r>
      <w:bookmarkEnd w:id="75"/>
    </w:p>
    <w:p>
      <w:pPr>
        <w:pStyle w:val="4"/>
        <w:rPr>
          <w:rFonts w:cs="Times New Roman"/>
        </w:rPr>
      </w:pPr>
      <w:r>
        <w:rPr>
          <w:rFonts w:cs="Times New Roman"/>
        </w:rPr>
        <w:t>3.4.1 工程施工</w:t>
      </w:r>
    </w:p>
    <w:p>
      <w:pPr>
        <w:pStyle w:val="62"/>
        <w:rPr>
          <w:rFonts w:cs="Times New Roman"/>
        </w:rPr>
      </w:pPr>
      <w:r>
        <w:rPr>
          <w:rFonts w:cs="Times New Roman"/>
        </w:rPr>
        <w:t>3.4.1.1 施工期环境影响源分析</w:t>
      </w:r>
    </w:p>
    <w:p>
      <w:pPr>
        <w:ind w:firstLine="480"/>
        <w:rPr>
          <w:rFonts w:cs="Times New Roman"/>
        </w:rPr>
      </w:pPr>
      <w:r>
        <w:rPr>
          <w:rFonts w:cs="Times New Roman"/>
        </w:rPr>
        <w:t>根据水利工程建设特点，本工程施工期环境影响源分析如下：</w:t>
      </w:r>
    </w:p>
    <w:p>
      <w:pPr>
        <w:ind w:firstLine="480"/>
        <w:rPr>
          <w:rFonts w:cs="Times New Roman"/>
        </w:rPr>
      </w:pPr>
      <w:r>
        <w:rPr>
          <w:rFonts w:cs="Times New Roman"/>
        </w:rPr>
        <w:t>工程建设时序分为施工准备期、主体工程施工期和工程完建期3个阶段。</w:t>
      </w:r>
    </w:p>
    <w:p>
      <w:pPr>
        <w:ind w:firstLine="480"/>
        <w:rPr>
          <w:rFonts w:cs="Times New Roman"/>
        </w:rPr>
      </w:pPr>
      <w:r>
        <w:rPr>
          <w:rFonts w:cs="Times New Roman"/>
        </w:rPr>
        <w:t>施工准备期：完成部分施工道路建设、临建设施搭建和部分工程建筑物土石方开挖。该施工时段主要的特点是占地及地表扰动、弃渣堆放。但由于主体施工还未正式展开，进驻人员有限，施工污染源排放量较小。</w:t>
      </w:r>
    </w:p>
    <w:p>
      <w:pPr>
        <w:ind w:firstLine="480"/>
        <w:rPr>
          <w:rFonts w:cs="Times New Roman"/>
        </w:rPr>
      </w:pPr>
      <w:r>
        <w:rPr>
          <w:rFonts w:cs="Times New Roman"/>
        </w:rPr>
        <w:t>主体工程施工期：各分部工程以及施工辅助企业的施工活动全面展开。伴随着这些施工行为，会产生一定的施工生产废水、施工噪声、废气、废渣等污染物，对工程建设区的环境空气、声环境、施工人员等产生影响；同时，由于施工活动扰动原地貌，破坏了地表结构与植被，存在着增加施工区域水土流失的可能；此外，施工期大量人员进驻施工区，增加了施工区各种生活垃圾、生活污水的排放量，在对环境产生影响的同时，还对人群健康构成影响。</w:t>
      </w:r>
    </w:p>
    <w:p>
      <w:pPr>
        <w:ind w:firstLine="480"/>
        <w:rPr>
          <w:rFonts w:cs="Times New Roman"/>
        </w:rPr>
      </w:pPr>
      <w:r>
        <w:rPr>
          <w:rFonts w:cs="Times New Roman"/>
        </w:rPr>
        <w:t>完建期：该时段主要完成收尾工作。此时，大部分施工人员已撤离，后续工作强度非常有限，施工污染源排放量也降至较低水平。</w:t>
      </w:r>
    </w:p>
    <w:p>
      <w:pPr>
        <w:ind w:firstLine="480"/>
        <w:rPr>
          <w:rFonts w:cs="Times New Roman"/>
        </w:rPr>
      </w:pPr>
      <w:r>
        <w:rPr>
          <w:rFonts w:cs="Times New Roman"/>
        </w:rPr>
        <w:t>据以上分析，工程作用因素及影响状况见表3.4-1。</w:t>
      </w:r>
    </w:p>
    <w:p>
      <w:pPr>
        <w:ind w:firstLine="480"/>
        <w:rPr>
          <w:rFonts w:cs="Times New Roman"/>
        </w:rPr>
      </w:pPr>
    </w:p>
    <w:p>
      <w:pPr>
        <w:pStyle w:val="137"/>
        <w:spacing w:before="62"/>
      </w:pPr>
      <w:r>
        <w:t>表3.4-1              工程施工期环境影响作用因素分析表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843"/>
        <w:gridCol w:w="2126"/>
        <w:gridCol w:w="1843"/>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1276" w:type="dxa"/>
            <w:vAlign w:val="center"/>
          </w:tcPr>
          <w:p>
            <w:pPr>
              <w:pStyle w:val="136"/>
            </w:pPr>
            <w:r>
              <w:t>时间</w:t>
            </w:r>
          </w:p>
        </w:tc>
        <w:tc>
          <w:tcPr>
            <w:tcW w:w="1843" w:type="dxa"/>
            <w:vAlign w:val="center"/>
          </w:tcPr>
          <w:p>
            <w:pPr>
              <w:pStyle w:val="136"/>
            </w:pPr>
            <w:r>
              <w:t>作用因素</w:t>
            </w:r>
          </w:p>
        </w:tc>
        <w:tc>
          <w:tcPr>
            <w:tcW w:w="2126" w:type="dxa"/>
            <w:vAlign w:val="center"/>
          </w:tcPr>
          <w:p>
            <w:pPr>
              <w:pStyle w:val="136"/>
            </w:pPr>
            <w:r>
              <w:t>（潜在）影响对象</w:t>
            </w:r>
          </w:p>
        </w:tc>
        <w:tc>
          <w:tcPr>
            <w:tcW w:w="1843" w:type="dxa"/>
            <w:vAlign w:val="center"/>
          </w:tcPr>
          <w:p>
            <w:pPr>
              <w:pStyle w:val="136"/>
            </w:pPr>
            <w:r>
              <w:t>影响途径/方式</w:t>
            </w:r>
          </w:p>
        </w:tc>
        <w:tc>
          <w:tcPr>
            <w:tcW w:w="1837" w:type="dxa"/>
            <w:vAlign w:val="center"/>
          </w:tcPr>
          <w:p>
            <w:pPr>
              <w:pStyle w:val="136"/>
            </w:pPr>
            <w:r>
              <w:t>影响性质/强度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vAlign w:val="center"/>
          </w:tcPr>
          <w:p>
            <w:pPr>
              <w:pStyle w:val="136"/>
            </w:pPr>
            <w:r>
              <w:t>施工</w:t>
            </w:r>
          </w:p>
          <w:p>
            <w:pPr>
              <w:pStyle w:val="136"/>
            </w:pPr>
            <w:r>
              <w:t>准备期</w:t>
            </w:r>
          </w:p>
        </w:tc>
        <w:tc>
          <w:tcPr>
            <w:tcW w:w="1843" w:type="dxa"/>
            <w:vAlign w:val="center"/>
          </w:tcPr>
          <w:p>
            <w:pPr>
              <w:pStyle w:val="136"/>
            </w:pPr>
            <w:r>
              <w:t>施工占地</w:t>
            </w:r>
          </w:p>
        </w:tc>
        <w:tc>
          <w:tcPr>
            <w:tcW w:w="2126" w:type="dxa"/>
            <w:vAlign w:val="center"/>
          </w:tcPr>
          <w:p>
            <w:pPr>
              <w:pStyle w:val="136"/>
            </w:pPr>
            <w:r>
              <w:t>植被、土壤、土地利用</w:t>
            </w:r>
          </w:p>
        </w:tc>
        <w:tc>
          <w:tcPr>
            <w:tcW w:w="1843" w:type="dxa"/>
            <w:vAlign w:val="center"/>
          </w:tcPr>
          <w:p>
            <w:pPr>
              <w:pStyle w:val="136"/>
            </w:pPr>
            <w:r>
              <w:t>占地、扰动、弃渣</w:t>
            </w:r>
          </w:p>
        </w:tc>
        <w:tc>
          <w:tcPr>
            <w:tcW w:w="1837" w:type="dxa"/>
            <w:vAlign w:val="center"/>
          </w:tcPr>
          <w:p>
            <w:pPr>
              <w:pStyle w:val="136"/>
            </w:pPr>
            <w:r>
              <w:t>不可逆（永久）/中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Align w:val="center"/>
          </w:tcPr>
          <w:p>
            <w:pPr>
              <w:pStyle w:val="136"/>
            </w:pPr>
            <w:r>
              <w:t>少量施工人员生活</w:t>
            </w:r>
          </w:p>
        </w:tc>
        <w:tc>
          <w:tcPr>
            <w:tcW w:w="2126" w:type="dxa"/>
            <w:vAlign w:val="center"/>
          </w:tcPr>
          <w:p>
            <w:pPr>
              <w:pStyle w:val="136"/>
            </w:pPr>
            <w:r>
              <w:t>植被、土壤</w:t>
            </w:r>
          </w:p>
        </w:tc>
        <w:tc>
          <w:tcPr>
            <w:tcW w:w="1843" w:type="dxa"/>
            <w:vAlign w:val="center"/>
          </w:tcPr>
          <w:p>
            <w:pPr>
              <w:pStyle w:val="136"/>
            </w:pPr>
            <w:r>
              <w:t>生活污水、垃圾</w:t>
            </w:r>
          </w:p>
        </w:tc>
        <w:tc>
          <w:tcPr>
            <w:tcW w:w="1837" w:type="dxa"/>
            <w:vAlign w:val="center"/>
          </w:tcPr>
          <w:p>
            <w:pPr>
              <w:pStyle w:val="136"/>
            </w:pPr>
            <w:r>
              <w:t>可逆/小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Merge w:val="restart"/>
            <w:vAlign w:val="center"/>
          </w:tcPr>
          <w:p>
            <w:pPr>
              <w:pStyle w:val="136"/>
            </w:pPr>
            <w:r>
              <w:t>施工道路</w:t>
            </w:r>
          </w:p>
        </w:tc>
        <w:tc>
          <w:tcPr>
            <w:tcW w:w="2126" w:type="dxa"/>
            <w:vMerge w:val="restart"/>
            <w:vAlign w:val="center"/>
          </w:tcPr>
          <w:p>
            <w:pPr>
              <w:pStyle w:val="136"/>
            </w:pPr>
            <w:r>
              <w:t>植被、土壤、施工人员、环境空气</w:t>
            </w:r>
          </w:p>
        </w:tc>
        <w:tc>
          <w:tcPr>
            <w:tcW w:w="1843" w:type="dxa"/>
            <w:vMerge w:val="restart"/>
            <w:vAlign w:val="center"/>
          </w:tcPr>
          <w:p>
            <w:pPr>
              <w:pStyle w:val="136"/>
            </w:pPr>
            <w:r>
              <w:t>扰动、噪声、粉尘</w:t>
            </w:r>
          </w:p>
        </w:tc>
        <w:tc>
          <w:tcPr>
            <w:tcW w:w="1837" w:type="dxa"/>
            <w:vAlign w:val="center"/>
          </w:tcPr>
          <w:p>
            <w:pPr>
              <w:pStyle w:val="136"/>
            </w:pPr>
            <w:r>
              <w:t>可逆/小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Merge w:val="continue"/>
            <w:vAlign w:val="center"/>
          </w:tcPr>
          <w:p>
            <w:pPr>
              <w:pStyle w:val="136"/>
            </w:pPr>
          </w:p>
        </w:tc>
        <w:tc>
          <w:tcPr>
            <w:tcW w:w="2126" w:type="dxa"/>
            <w:vMerge w:val="continue"/>
            <w:vAlign w:val="center"/>
          </w:tcPr>
          <w:p>
            <w:pPr>
              <w:pStyle w:val="136"/>
            </w:pPr>
          </w:p>
        </w:tc>
        <w:tc>
          <w:tcPr>
            <w:tcW w:w="1843" w:type="dxa"/>
            <w:vMerge w:val="continue"/>
            <w:vAlign w:val="center"/>
          </w:tcPr>
          <w:p>
            <w:pPr>
              <w:pStyle w:val="136"/>
            </w:pPr>
          </w:p>
        </w:tc>
        <w:tc>
          <w:tcPr>
            <w:tcW w:w="1837" w:type="dxa"/>
            <w:vAlign w:val="center"/>
          </w:tcPr>
          <w:p>
            <w:pPr>
              <w:pStyle w:val="136"/>
            </w:pPr>
            <w:r>
              <w:t>可逆/中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vAlign w:val="center"/>
          </w:tcPr>
          <w:p>
            <w:pPr>
              <w:pStyle w:val="136"/>
            </w:pPr>
            <w:r>
              <w:t>主体工程施工期</w:t>
            </w:r>
          </w:p>
        </w:tc>
        <w:tc>
          <w:tcPr>
            <w:tcW w:w="1843" w:type="dxa"/>
            <w:vAlign w:val="center"/>
          </w:tcPr>
          <w:p>
            <w:pPr>
              <w:pStyle w:val="136"/>
            </w:pPr>
            <w:r>
              <w:t>施工占地</w:t>
            </w:r>
          </w:p>
        </w:tc>
        <w:tc>
          <w:tcPr>
            <w:tcW w:w="2126" w:type="dxa"/>
            <w:vAlign w:val="center"/>
          </w:tcPr>
          <w:p>
            <w:pPr>
              <w:pStyle w:val="136"/>
            </w:pPr>
            <w:r>
              <w:t>植被、土壤</w:t>
            </w:r>
          </w:p>
        </w:tc>
        <w:tc>
          <w:tcPr>
            <w:tcW w:w="1843" w:type="dxa"/>
            <w:vAlign w:val="center"/>
          </w:tcPr>
          <w:p>
            <w:pPr>
              <w:pStyle w:val="136"/>
            </w:pPr>
            <w:r>
              <w:t>占地、扰动、弃渣</w:t>
            </w:r>
          </w:p>
        </w:tc>
        <w:tc>
          <w:tcPr>
            <w:tcW w:w="1837" w:type="dxa"/>
            <w:vAlign w:val="center"/>
          </w:tcPr>
          <w:p>
            <w:pPr>
              <w:pStyle w:val="136"/>
            </w:pPr>
            <w:r>
              <w:t>不可逆（永久）/中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Align w:val="center"/>
          </w:tcPr>
          <w:p>
            <w:pPr>
              <w:pStyle w:val="136"/>
            </w:pPr>
            <w:r>
              <w:t>施工人员生活</w:t>
            </w:r>
          </w:p>
        </w:tc>
        <w:tc>
          <w:tcPr>
            <w:tcW w:w="2126" w:type="dxa"/>
            <w:vAlign w:val="center"/>
          </w:tcPr>
          <w:p>
            <w:pPr>
              <w:pStyle w:val="136"/>
            </w:pPr>
            <w:r>
              <w:t>植被、土壤</w:t>
            </w:r>
          </w:p>
        </w:tc>
        <w:tc>
          <w:tcPr>
            <w:tcW w:w="1843" w:type="dxa"/>
            <w:vAlign w:val="center"/>
          </w:tcPr>
          <w:p>
            <w:pPr>
              <w:pStyle w:val="136"/>
            </w:pPr>
            <w:r>
              <w:t>生活污水、垃圾</w:t>
            </w:r>
          </w:p>
        </w:tc>
        <w:tc>
          <w:tcPr>
            <w:tcW w:w="1837" w:type="dxa"/>
            <w:vAlign w:val="center"/>
          </w:tcPr>
          <w:p>
            <w:pPr>
              <w:pStyle w:val="136"/>
            </w:pPr>
            <w:r>
              <w:t>可逆/小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Align w:val="center"/>
          </w:tcPr>
          <w:p>
            <w:pPr>
              <w:pStyle w:val="136"/>
            </w:pPr>
            <w:r>
              <w:t>土石方挖填</w:t>
            </w:r>
          </w:p>
        </w:tc>
        <w:tc>
          <w:tcPr>
            <w:tcW w:w="2126" w:type="dxa"/>
            <w:vAlign w:val="center"/>
          </w:tcPr>
          <w:p>
            <w:pPr>
              <w:pStyle w:val="136"/>
            </w:pPr>
            <w:r>
              <w:t>植被、土壤、施工人员</w:t>
            </w:r>
          </w:p>
        </w:tc>
        <w:tc>
          <w:tcPr>
            <w:tcW w:w="1843" w:type="dxa"/>
            <w:vAlign w:val="center"/>
          </w:tcPr>
          <w:p>
            <w:pPr>
              <w:pStyle w:val="136"/>
            </w:pPr>
            <w:r>
              <w:t>堆渣、弃渣、噪声</w:t>
            </w:r>
          </w:p>
        </w:tc>
        <w:tc>
          <w:tcPr>
            <w:tcW w:w="1837" w:type="dxa"/>
            <w:vAlign w:val="center"/>
          </w:tcPr>
          <w:p>
            <w:pPr>
              <w:pStyle w:val="136"/>
            </w:pPr>
            <w:r>
              <w:t>可逆/中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Align w:val="center"/>
          </w:tcPr>
          <w:p>
            <w:pPr>
              <w:pStyle w:val="136"/>
            </w:pPr>
            <w:r>
              <w:t>砂石料筛分、混凝土拌和</w:t>
            </w:r>
          </w:p>
        </w:tc>
        <w:tc>
          <w:tcPr>
            <w:tcW w:w="2126" w:type="dxa"/>
            <w:vAlign w:val="center"/>
          </w:tcPr>
          <w:p>
            <w:pPr>
              <w:pStyle w:val="136"/>
            </w:pPr>
            <w:r>
              <w:t>土壤、植被、施工人员</w:t>
            </w:r>
          </w:p>
        </w:tc>
        <w:tc>
          <w:tcPr>
            <w:tcW w:w="1843" w:type="dxa"/>
            <w:vAlign w:val="center"/>
          </w:tcPr>
          <w:p>
            <w:pPr>
              <w:pStyle w:val="136"/>
            </w:pPr>
            <w:r>
              <w:t>废水、噪声</w:t>
            </w:r>
          </w:p>
        </w:tc>
        <w:tc>
          <w:tcPr>
            <w:tcW w:w="1837" w:type="dxa"/>
            <w:vAlign w:val="center"/>
          </w:tcPr>
          <w:p>
            <w:pPr>
              <w:pStyle w:val="136"/>
            </w:pPr>
            <w:r>
              <w:t>可逆/小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Align w:val="center"/>
          </w:tcPr>
          <w:p>
            <w:pPr>
              <w:pStyle w:val="136"/>
            </w:pPr>
            <w:r>
              <w:t>混凝土浇筑</w:t>
            </w:r>
          </w:p>
        </w:tc>
        <w:tc>
          <w:tcPr>
            <w:tcW w:w="2126" w:type="dxa"/>
            <w:vAlign w:val="center"/>
          </w:tcPr>
          <w:p>
            <w:pPr>
              <w:pStyle w:val="136"/>
            </w:pPr>
            <w:r>
              <w:t>施工人员</w:t>
            </w:r>
          </w:p>
        </w:tc>
        <w:tc>
          <w:tcPr>
            <w:tcW w:w="1843" w:type="dxa"/>
            <w:vAlign w:val="center"/>
          </w:tcPr>
          <w:p>
            <w:pPr>
              <w:pStyle w:val="136"/>
            </w:pPr>
            <w:r>
              <w:t>噪声</w:t>
            </w:r>
          </w:p>
        </w:tc>
        <w:tc>
          <w:tcPr>
            <w:tcW w:w="1837" w:type="dxa"/>
            <w:vAlign w:val="center"/>
          </w:tcPr>
          <w:p>
            <w:pPr>
              <w:pStyle w:val="136"/>
            </w:pPr>
            <w:r>
              <w:t>可逆/小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Align w:val="center"/>
          </w:tcPr>
          <w:p>
            <w:pPr>
              <w:pStyle w:val="136"/>
            </w:pPr>
            <w:r>
              <w:t>材料加工</w:t>
            </w:r>
          </w:p>
        </w:tc>
        <w:tc>
          <w:tcPr>
            <w:tcW w:w="2126" w:type="dxa"/>
            <w:vAlign w:val="center"/>
          </w:tcPr>
          <w:p>
            <w:pPr>
              <w:pStyle w:val="136"/>
            </w:pPr>
            <w:r>
              <w:t>施工人员</w:t>
            </w:r>
          </w:p>
        </w:tc>
        <w:tc>
          <w:tcPr>
            <w:tcW w:w="1843" w:type="dxa"/>
            <w:vAlign w:val="center"/>
          </w:tcPr>
          <w:p>
            <w:pPr>
              <w:pStyle w:val="136"/>
            </w:pPr>
            <w:r>
              <w:t>噪声</w:t>
            </w:r>
          </w:p>
        </w:tc>
        <w:tc>
          <w:tcPr>
            <w:tcW w:w="1837" w:type="dxa"/>
            <w:vAlign w:val="center"/>
          </w:tcPr>
          <w:p>
            <w:pPr>
              <w:pStyle w:val="136"/>
            </w:pPr>
            <w:r>
              <w:t>可逆/小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Align w:val="center"/>
          </w:tcPr>
          <w:p>
            <w:pPr>
              <w:pStyle w:val="136"/>
            </w:pPr>
            <w:r>
              <w:t>金属结构安装</w:t>
            </w:r>
          </w:p>
        </w:tc>
        <w:tc>
          <w:tcPr>
            <w:tcW w:w="2126" w:type="dxa"/>
            <w:vAlign w:val="center"/>
          </w:tcPr>
          <w:p>
            <w:pPr>
              <w:pStyle w:val="136"/>
            </w:pPr>
            <w:r>
              <w:t>施工人员</w:t>
            </w:r>
          </w:p>
        </w:tc>
        <w:tc>
          <w:tcPr>
            <w:tcW w:w="1843" w:type="dxa"/>
            <w:vAlign w:val="center"/>
          </w:tcPr>
          <w:p>
            <w:pPr>
              <w:pStyle w:val="136"/>
            </w:pPr>
            <w:r>
              <w:t>噪声</w:t>
            </w:r>
          </w:p>
        </w:tc>
        <w:tc>
          <w:tcPr>
            <w:tcW w:w="1837" w:type="dxa"/>
            <w:vAlign w:val="center"/>
          </w:tcPr>
          <w:p>
            <w:pPr>
              <w:pStyle w:val="136"/>
            </w:pPr>
            <w:r>
              <w:t>可逆/小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Align w:val="center"/>
          </w:tcPr>
          <w:p>
            <w:pPr>
              <w:pStyle w:val="136"/>
            </w:pPr>
            <w:r>
              <w:t>施工人员聚集</w:t>
            </w:r>
          </w:p>
        </w:tc>
        <w:tc>
          <w:tcPr>
            <w:tcW w:w="2126" w:type="dxa"/>
            <w:vAlign w:val="center"/>
          </w:tcPr>
          <w:p>
            <w:pPr>
              <w:pStyle w:val="136"/>
            </w:pPr>
            <w:r>
              <w:t>人群健康</w:t>
            </w:r>
          </w:p>
        </w:tc>
        <w:tc>
          <w:tcPr>
            <w:tcW w:w="1843" w:type="dxa"/>
            <w:vAlign w:val="center"/>
          </w:tcPr>
          <w:p>
            <w:pPr>
              <w:pStyle w:val="136"/>
            </w:pPr>
            <w:r>
              <w:t>环境卫生、防疫</w:t>
            </w:r>
          </w:p>
        </w:tc>
        <w:tc>
          <w:tcPr>
            <w:tcW w:w="1837" w:type="dxa"/>
            <w:vAlign w:val="center"/>
          </w:tcPr>
          <w:p>
            <w:pPr>
              <w:pStyle w:val="136"/>
            </w:pPr>
            <w:r>
              <w:t>可逆/小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vAlign w:val="center"/>
          </w:tcPr>
          <w:p>
            <w:pPr>
              <w:pStyle w:val="136"/>
            </w:pPr>
            <w:r>
              <w:t>完建期</w:t>
            </w:r>
          </w:p>
        </w:tc>
        <w:tc>
          <w:tcPr>
            <w:tcW w:w="1843" w:type="dxa"/>
            <w:vAlign w:val="center"/>
          </w:tcPr>
          <w:p>
            <w:pPr>
              <w:pStyle w:val="136"/>
            </w:pPr>
            <w:r>
              <w:t>施工场地恢复、绿化</w:t>
            </w:r>
          </w:p>
        </w:tc>
        <w:tc>
          <w:tcPr>
            <w:tcW w:w="2126" w:type="dxa"/>
            <w:vAlign w:val="center"/>
          </w:tcPr>
          <w:p>
            <w:pPr>
              <w:pStyle w:val="136"/>
            </w:pPr>
            <w:r>
              <w:t>景观、植被、土壤、施工人员</w:t>
            </w:r>
          </w:p>
        </w:tc>
        <w:tc>
          <w:tcPr>
            <w:tcW w:w="1843" w:type="dxa"/>
            <w:vAlign w:val="center"/>
          </w:tcPr>
          <w:p>
            <w:pPr>
              <w:pStyle w:val="136"/>
            </w:pPr>
            <w:r>
              <w:t>扰动</w:t>
            </w:r>
          </w:p>
        </w:tc>
        <w:tc>
          <w:tcPr>
            <w:tcW w:w="1837" w:type="dxa"/>
            <w:vAlign w:val="center"/>
          </w:tcPr>
          <w:p>
            <w:pPr>
              <w:pStyle w:val="136"/>
            </w:pPr>
            <w:r>
              <w:t>可逆/小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pPr>
              <w:pStyle w:val="136"/>
            </w:pPr>
          </w:p>
        </w:tc>
        <w:tc>
          <w:tcPr>
            <w:tcW w:w="1843" w:type="dxa"/>
            <w:vAlign w:val="center"/>
          </w:tcPr>
          <w:p>
            <w:pPr>
              <w:pStyle w:val="136"/>
            </w:pPr>
            <w:r>
              <w:t>临时设施拆除</w:t>
            </w:r>
          </w:p>
        </w:tc>
        <w:tc>
          <w:tcPr>
            <w:tcW w:w="2126" w:type="dxa"/>
            <w:vAlign w:val="center"/>
          </w:tcPr>
          <w:p>
            <w:pPr>
              <w:pStyle w:val="136"/>
            </w:pPr>
            <w:r>
              <w:t>土壤</w:t>
            </w:r>
          </w:p>
        </w:tc>
        <w:tc>
          <w:tcPr>
            <w:tcW w:w="1843" w:type="dxa"/>
            <w:vAlign w:val="center"/>
          </w:tcPr>
          <w:p>
            <w:pPr>
              <w:pStyle w:val="136"/>
            </w:pPr>
            <w:r>
              <w:t>扰动</w:t>
            </w:r>
          </w:p>
        </w:tc>
        <w:tc>
          <w:tcPr>
            <w:tcW w:w="1837" w:type="dxa"/>
            <w:vAlign w:val="center"/>
          </w:tcPr>
          <w:p>
            <w:pPr>
              <w:pStyle w:val="136"/>
            </w:pPr>
            <w:r>
              <w:t>可逆/小</w:t>
            </w:r>
          </w:p>
        </w:tc>
      </w:tr>
    </w:tbl>
    <w:p>
      <w:pPr>
        <w:pStyle w:val="113"/>
        <w:ind w:left="360" w:firstLine="180"/>
      </w:pPr>
      <w:r>
        <w:t>注：施工占地包括所有占地行为，在各作用因素中未再单独列出其影响情况。</w:t>
      </w:r>
    </w:p>
    <w:p>
      <w:pPr>
        <w:ind w:firstLine="480"/>
        <w:rPr>
          <w:rFonts w:cs="Times New Roman"/>
        </w:rPr>
      </w:pPr>
    </w:p>
    <w:p>
      <w:pPr>
        <w:pStyle w:val="62"/>
        <w:rPr>
          <w:rFonts w:cs="Times New Roman"/>
        </w:rPr>
      </w:pPr>
      <w:r>
        <w:rPr>
          <w:rFonts w:cs="Times New Roman"/>
        </w:rPr>
        <w:t>3.4.1.2 施工期污染源排放</w:t>
      </w:r>
    </w:p>
    <w:p>
      <w:pPr>
        <w:ind w:firstLine="480"/>
        <w:rPr>
          <w:rFonts w:cs="Times New Roman"/>
        </w:rPr>
      </w:pPr>
      <w:r>
        <w:rPr>
          <w:rFonts w:cs="Times New Roman"/>
        </w:rPr>
        <w:t>根据表3.4-1的施工期环境影响作用因素分析，分环境要素对工程施工期污染源排放强度进行分析。</w:t>
      </w:r>
    </w:p>
    <w:p>
      <w:pPr>
        <w:ind w:firstLine="480"/>
        <w:rPr>
          <w:rFonts w:cs="Times New Roman"/>
        </w:rPr>
      </w:pPr>
      <w:r>
        <w:rPr>
          <w:rFonts w:cs="Times New Roman"/>
        </w:rPr>
        <w:t>（1）水环境</w:t>
      </w:r>
    </w:p>
    <w:p>
      <w:pPr>
        <w:ind w:firstLine="480"/>
        <w:rPr>
          <w:rFonts w:cs="Times New Roman"/>
        </w:rPr>
      </w:pPr>
      <w:r>
        <w:rPr>
          <w:rFonts w:hint="eastAsia" w:ascii="宋体" w:hAnsi="宋体" w:cs="宋体"/>
        </w:rPr>
        <w:t>①</w:t>
      </w:r>
      <w:r>
        <w:rPr>
          <w:rFonts w:cs="Times New Roman"/>
        </w:rPr>
        <w:t>生产废水排放量</w:t>
      </w:r>
    </w:p>
    <w:p>
      <w:pPr>
        <w:ind w:firstLine="480"/>
        <w:rPr>
          <w:rFonts w:cs="Times New Roman"/>
        </w:rPr>
      </w:pPr>
      <w:r>
        <w:rPr>
          <w:rFonts w:cs="Times New Roman"/>
        </w:rPr>
        <w:t>根据工程施工组织设计，施工生产废水主要来自于砂石料加工系统废水、混凝土拌和系统冲洗废水、机械保养含油废水，主要污染物为COD</w:t>
      </w:r>
      <w:r>
        <w:rPr>
          <w:rFonts w:cs="Times New Roman"/>
          <w:vertAlign w:val="subscript"/>
        </w:rPr>
        <w:t>Cr</w:t>
      </w:r>
      <w:r>
        <w:rPr>
          <w:rFonts w:cs="Times New Roman"/>
        </w:rPr>
        <w:t>、悬浮物和石油类污染物。</w:t>
      </w:r>
    </w:p>
    <w:p>
      <w:pPr>
        <w:ind w:firstLine="480"/>
        <w:rPr>
          <w:rFonts w:cs="Times New Roman"/>
        </w:rPr>
      </w:pPr>
      <w:r>
        <w:rPr>
          <w:rFonts w:cs="Times New Roman"/>
        </w:rPr>
        <w:t>A.砂石料加工系统废水</w:t>
      </w:r>
    </w:p>
    <w:p>
      <w:pPr>
        <w:ind w:firstLine="480"/>
        <w:rPr>
          <w:rFonts w:cs="Times New Roman"/>
        </w:rPr>
      </w:pPr>
      <w:r>
        <w:rPr>
          <w:rFonts w:cs="Times New Roman"/>
        </w:rPr>
        <w:t>本工程共设1处砂石加工系统，砂石筛分系统施工用水量为30m</w:t>
      </w:r>
      <w:r>
        <w:rPr>
          <w:rFonts w:cs="Times New Roman"/>
          <w:vertAlign w:val="superscript"/>
        </w:rPr>
        <w:t>3</w:t>
      </w:r>
      <w:r>
        <w:rPr>
          <w:rFonts w:cs="Times New Roman"/>
        </w:rPr>
        <w:t>/h，按废水排放系数80%计算，砂石加工系统日排放废水量为336m</w:t>
      </w:r>
      <w:r>
        <w:rPr>
          <w:rFonts w:cs="Times New Roman"/>
          <w:vertAlign w:val="superscript"/>
        </w:rPr>
        <w:t>3</w:t>
      </w:r>
      <w:r>
        <w:rPr>
          <w:rFonts w:cs="Times New Roman"/>
        </w:rPr>
        <w:t>/d。估算工程砂石加工系统施工高峰期废水产生量见表3.4-2。</w:t>
      </w:r>
    </w:p>
    <w:p>
      <w:pPr>
        <w:pStyle w:val="137"/>
        <w:spacing w:before="62"/>
      </w:pPr>
      <w:r>
        <w:t>表3.4-2               工程砂石加工系统废水排放情况表</w:t>
      </w:r>
    </w:p>
    <w:tbl>
      <w:tblPr>
        <w:tblStyle w:val="41"/>
        <w:tblW w:w="5084"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1540"/>
        <w:gridCol w:w="1385"/>
        <w:gridCol w:w="870"/>
        <w:gridCol w:w="1745"/>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087" w:type="pct"/>
            <w:vAlign w:val="center"/>
          </w:tcPr>
          <w:p>
            <w:pPr>
              <w:pStyle w:val="136"/>
            </w:pPr>
            <w:r>
              <w:t>名称</w:t>
            </w:r>
          </w:p>
        </w:tc>
        <w:tc>
          <w:tcPr>
            <w:tcW w:w="841" w:type="pct"/>
            <w:vAlign w:val="center"/>
          </w:tcPr>
          <w:p>
            <w:pPr>
              <w:pStyle w:val="136"/>
            </w:pPr>
            <w:r>
              <w:t>设计生产能力（t/h）</w:t>
            </w:r>
          </w:p>
        </w:tc>
        <w:tc>
          <w:tcPr>
            <w:tcW w:w="756" w:type="pct"/>
            <w:vAlign w:val="center"/>
          </w:tcPr>
          <w:p>
            <w:pPr>
              <w:pStyle w:val="136"/>
            </w:pPr>
            <w:r>
              <w:t>系统耗水量（m</w:t>
            </w:r>
            <w:r>
              <w:rPr>
                <w:vertAlign w:val="superscript"/>
              </w:rPr>
              <w:t>3</w:t>
            </w:r>
            <w:r>
              <w:t>/h）</w:t>
            </w:r>
          </w:p>
        </w:tc>
        <w:tc>
          <w:tcPr>
            <w:tcW w:w="475" w:type="pct"/>
            <w:vAlign w:val="center"/>
          </w:tcPr>
          <w:p>
            <w:pPr>
              <w:pStyle w:val="136"/>
            </w:pPr>
            <w:r>
              <w:t>排放系数</w:t>
            </w:r>
          </w:p>
        </w:tc>
        <w:tc>
          <w:tcPr>
            <w:tcW w:w="953" w:type="pct"/>
            <w:vAlign w:val="center"/>
          </w:tcPr>
          <w:p>
            <w:pPr>
              <w:pStyle w:val="136"/>
            </w:pPr>
            <w:r>
              <w:t>工作运营时间（h）</w:t>
            </w:r>
          </w:p>
        </w:tc>
        <w:tc>
          <w:tcPr>
            <w:tcW w:w="887" w:type="pct"/>
            <w:vAlign w:val="center"/>
          </w:tcPr>
          <w:p>
            <w:pPr>
              <w:pStyle w:val="136"/>
            </w:pPr>
            <w:r>
              <w:t>废水排放量</w:t>
            </w:r>
          </w:p>
          <w:p>
            <w:pPr>
              <w:pStyle w:val="136"/>
            </w:pPr>
            <w:r>
              <w:t>（m</w:t>
            </w:r>
            <w:r>
              <w:rPr>
                <w:vertAlign w:val="superscript"/>
              </w:rPr>
              <w:t>3</w:t>
            </w: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087" w:type="pct"/>
            <w:vAlign w:val="center"/>
          </w:tcPr>
          <w:p>
            <w:pPr>
              <w:pStyle w:val="136"/>
            </w:pPr>
            <w:r>
              <w:t>砂石料加工系统</w:t>
            </w:r>
          </w:p>
        </w:tc>
        <w:tc>
          <w:tcPr>
            <w:tcW w:w="841" w:type="pct"/>
            <w:vAlign w:val="center"/>
          </w:tcPr>
          <w:p>
            <w:pPr>
              <w:pStyle w:val="136"/>
            </w:pPr>
            <w:r>
              <w:t>180</w:t>
            </w:r>
          </w:p>
        </w:tc>
        <w:tc>
          <w:tcPr>
            <w:tcW w:w="756" w:type="pct"/>
            <w:vAlign w:val="center"/>
          </w:tcPr>
          <w:p>
            <w:pPr>
              <w:pStyle w:val="136"/>
            </w:pPr>
            <w:r>
              <w:t>30</w:t>
            </w:r>
          </w:p>
        </w:tc>
        <w:tc>
          <w:tcPr>
            <w:tcW w:w="475" w:type="pct"/>
            <w:vAlign w:val="center"/>
          </w:tcPr>
          <w:p>
            <w:pPr>
              <w:pStyle w:val="136"/>
            </w:pPr>
            <w:r>
              <w:t>0.8</w:t>
            </w:r>
          </w:p>
        </w:tc>
        <w:tc>
          <w:tcPr>
            <w:tcW w:w="953" w:type="pct"/>
            <w:vAlign w:val="center"/>
          </w:tcPr>
          <w:p>
            <w:pPr>
              <w:pStyle w:val="136"/>
            </w:pPr>
            <w:r>
              <w:t>14</w:t>
            </w:r>
          </w:p>
        </w:tc>
        <w:tc>
          <w:tcPr>
            <w:tcW w:w="887" w:type="pct"/>
            <w:vAlign w:val="center"/>
          </w:tcPr>
          <w:p>
            <w:pPr>
              <w:pStyle w:val="136"/>
            </w:pPr>
            <w:r>
              <w:t>336</w:t>
            </w:r>
          </w:p>
        </w:tc>
      </w:tr>
    </w:tbl>
    <w:p>
      <w:pPr>
        <w:pStyle w:val="113"/>
        <w:ind w:left="360" w:firstLine="180"/>
      </w:pPr>
      <w:r>
        <w:t>注：工作班制为每天两班，每班生产7小时。</w:t>
      </w:r>
    </w:p>
    <w:p>
      <w:pPr>
        <w:ind w:firstLine="480"/>
        <w:rPr>
          <w:rFonts w:cs="Times New Roman"/>
        </w:rPr>
      </w:pPr>
    </w:p>
    <w:p>
      <w:pPr>
        <w:ind w:firstLine="480"/>
        <w:rPr>
          <w:rFonts w:cs="Times New Roman"/>
        </w:rPr>
      </w:pPr>
      <w:r>
        <w:rPr>
          <w:rFonts w:cs="Times New Roman"/>
        </w:rPr>
        <w:t>B.混凝土拌和系统冲洗废水</w:t>
      </w:r>
    </w:p>
    <w:p>
      <w:pPr>
        <w:ind w:firstLine="480"/>
        <w:rPr>
          <w:rFonts w:cs="Times New Roman"/>
        </w:rPr>
      </w:pPr>
      <w:r>
        <w:rPr>
          <w:rFonts w:cs="Times New Roman"/>
        </w:rPr>
        <w:t>本工程共布设2套混凝土拌和系统，工作班制均为每天两班，每班7小时。生产废水产自混凝土拌和过程，以及混凝土转筒在每班末的冲洗过程；前者大部分消耗于生产过程，后者每套混凝土拌和系统转筒冲洗废水产生量为4m</w:t>
      </w:r>
      <w:r>
        <w:rPr>
          <w:rFonts w:cs="Times New Roman"/>
          <w:vertAlign w:val="superscript"/>
        </w:rPr>
        <w:t>3</w:t>
      </w:r>
      <w:r>
        <w:rPr>
          <w:rFonts w:cs="Times New Roman"/>
        </w:rPr>
        <w:t>/d。其生产废水具有产生量小、间断性排放的特点，主要污染物为SS，浓度约5000mg/L，为碱性废水，pH值12左右。工程拌和站生产能力及废水排放情况见表3.4-3。</w:t>
      </w:r>
    </w:p>
    <w:p>
      <w:pPr>
        <w:pStyle w:val="137"/>
        <w:spacing w:before="62"/>
      </w:pPr>
      <w:r>
        <w:t>表3.4-3            工程混凝土拌和系统废水排放情况表</w:t>
      </w:r>
    </w:p>
    <w:tbl>
      <w:tblPr>
        <w:tblStyle w:val="41"/>
        <w:tblW w:w="9073"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276"/>
        <w:gridCol w:w="2268"/>
        <w:gridCol w:w="1417"/>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pStyle w:val="136"/>
            </w:pPr>
            <w:r>
              <w:t>名称</w:t>
            </w:r>
          </w:p>
        </w:tc>
        <w:tc>
          <w:tcPr>
            <w:tcW w:w="1276" w:type="dxa"/>
            <w:vAlign w:val="center"/>
          </w:tcPr>
          <w:p>
            <w:pPr>
              <w:pStyle w:val="136"/>
            </w:pPr>
            <w:r>
              <w:t>生产设备</w:t>
            </w:r>
          </w:p>
        </w:tc>
        <w:tc>
          <w:tcPr>
            <w:tcW w:w="2268" w:type="dxa"/>
            <w:vAlign w:val="center"/>
          </w:tcPr>
          <w:p>
            <w:pPr>
              <w:pStyle w:val="136"/>
            </w:pPr>
            <w:r>
              <w:t>设计生产规模（m</w:t>
            </w:r>
            <w:r>
              <w:rPr>
                <w:vertAlign w:val="superscript"/>
              </w:rPr>
              <w:t>3</w:t>
            </w:r>
            <w:r>
              <w:t>/h）</w:t>
            </w:r>
          </w:p>
        </w:tc>
        <w:tc>
          <w:tcPr>
            <w:tcW w:w="1417" w:type="dxa"/>
            <w:vAlign w:val="center"/>
          </w:tcPr>
          <w:p>
            <w:pPr>
              <w:pStyle w:val="136"/>
            </w:pPr>
            <w:r>
              <w:t>数量（套）</w:t>
            </w:r>
          </w:p>
        </w:tc>
        <w:tc>
          <w:tcPr>
            <w:tcW w:w="1985" w:type="dxa"/>
            <w:vAlign w:val="center"/>
          </w:tcPr>
          <w:p>
            <w:pPr>
              <w:pStyle w:val="136"/>
            </w:pPr>
            <w:r>
              <w:t>废水排放量（m</w:t>
            </w:r>
            <w:r>
              <w:rPr>
                <w:vertAlign w:val="superscript"/>
              </w:rPr>
              <w:t>3</w:t>
            </w: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pStyle w:val="136"/>
            </w:pPr>
            <w:r>
              <w:t>混凝土拌和系统</w:t>
            </w:r>
          </w:p>
        </w:tc>
        <w:tc>
          <w:tcPr>
            <w:tcW w:w="1276" w:type="dxa"/>
            <w:vAlign w:val="center"/>
          </w:tcPr>
          <w:p>
            <w:pPr>
              <w:pStyle w:val="136"/>
            </w:pPr>
            <w:r>
              <w:t>HZS90</w:t>
            </w:r>
          </w:p>
        </w:tc>
        <w:tc>
          <w:tcPr>
            <w:tcW w:w="2268" w:type="dxa"/>
            <w:vAlign w:val="center"/>
          </w:tcPr>
          <w:p>
            <w:pPr>
              <w:pStyle w:val="136"/>
            </w:pPr>
            <w:r>
              <w:t>90</w:t>
            </w:r>
          </w:p>
        </w:tc>
        <w:tc>
          <w:tcPr>
            <w:tcW w:w="1417" w:type="dxa"/>
            <w:vAlign w:val="center"/>
          </w:tcPr>
          <w:p>
            <w:pPr>
              <w:pStyle w:val="136"/>
            </w:pPr>
            <w:r>
              <w:t>2</w:t>
            </w:r>
          </w:p>
        </w:tc>
        <w:tc>
          <w:tcPr>
            <w:tcW w:w="1985" w:type="dxa"/>
            <w:vAlign w:val="center"/>
          </w:tcPr>
          <w:p>
            <w:pPr>
              <w:pStyle w:val="136"/>
            </w:pPr>
            <w:r>
              <w:t>8</w:t>
            </w:r>
          </w:p>
        </w:tc>
      </w:tr>
    </w:tbl>
    <w:p>
      <w:pPr>
        <w:pStyle w:val="113"/>
        <w:ind w:firstLine="180"/>
      </w:pPr>
      <w:r>
        <w:t>注：工作班制为每天两班，每班生产7小时。</w:t>
      </w:r>
    </w:p>
    <w:p>
      <w:pPr>
        <w:ind w:firstLine="480"/>
        <w:rPr>
          <w:rFonts w:cs="Times New Roman"/>
        </w:rPr>
      </w:pPr>
    </w:p>
    <w:p>
      <w:pPr>
        <w:ind w:firstLine="480"/>
        <w:rPr>
          <w:rFonts w:cs="Times New Roman"/>
        </w:rPr>
      </w:pPr>
      <w:r>
        <w:rPr>
          <w:rFonts w:cs="Times New Roman"/>
        </w:rPr>
        <w:t>C.机械保养含油废水</w:t>
      </w:r>
    </w:p>
    <w:p>
      <w:pPr>
        <w:ind w:firstLine="480"/>
        <w:rPr>
          <w:rFonts w:cs="Times New Roman"/>
        </w:rPr>
      </w:pPr>
      <w:r>
        <w:rPr>
          <w:rFonts w:cs="Times New Roman"/>
        </w:rPr>
        <w:t>产生于机械修配和汽车保养冲洗过程，废水量少，为间歇排放，COD</w:t>
      </w:r>
      <w:r>
        <w:rPr>
          <w:rFonts w:cs="Times New Roman"/>
          <w:vertAlign w:val="subscript"/>
        </w:rPr>
        <w:t>Cr</w:t>
      </w:r>
      <w:r>
        <w:rPr>
          <w:rFonts w:cs="Times New Roman"/>
        </w:rPr>
        <w:t>、SS和石油类含量较高，其浓度分别为25mg/L～200mg/L、500mg/L～4000mg/L和100mg/L。根据施工经验，机械修配厂高峰用水量约5m</w:t>
      </w:r>
      <w:r>
        <w:rPr>
          <w:rFonts w:cs="Times New Roman"/>
          <w:vertAlign w:val="superscript"/>
        </w:rPr>
        <w:t>3</w:t>
      </w:r>
      <w:r>
        <w:rPr>
          <w:rFonts w:cs="Times New Roman"/>
        </w:rPr>
        <w:t>/d，含油废水排放率均为80%，则含油废水排放量为4m</w:t>
      </w:r>
      <w:r>
        <w:rPr>
          <w:rFonts w:cs="Times New Roman"/>
          <w:vertAlign w:val="superscript"/>
        </w:rPr>
        <w:t>3</w:t>
      </w:r>
      <w:r>
        <w:rPr>
          <w:rFonts w:cs="Times New Roman"/>
        </w:rPr>
        <w:t>/d，含油废水排放率为80%，则含油废水排放量为3.2m</w:t>
      </w:r>
      <w:r>
        <w:rPr>
          <w:rFonts w:cs="Times New Roman"/>
          <w:vertAlign w:val="superscript"/>
        </w:rPr>
        <w:t>3</w:t>
      </w:r>
      <w:r>
        <w:rPr>
          <w:rFonts w:cs="Times New Roman"/>
        </w:rPr>
        <w:t>/d。</w:t>
      </w:r>
    </w:p>
    <w:p>
      <w:pPr>
        <w:ind w:firstLine="480"/>
        <w:rPr>
          <w:rFonts w:cs="Times New Roman"/>
          <w:lang w:val="zh-CN"/>
        </w:rPr>
      </w:pPr>
      <w:r>
        <w:rPr>
          <w:rFonts w:hint="eastAsia" w:cs="Times New Roman"/>
          <w:lang w:val="en-US" w:eastAsia="zh-CN"/>
        </w:rPr>
        <w:t>D</w:t>
      </w:r>
      <w:r>
        <w:rPr>
          <w:rFonts w:cs="Times New Roman"/>
          <w:lang w:val="zh-CN"/>
        </w:rPr>
        <w:t>.基坑排水</w:t>
      </w:r>
    </w:p>
    <w:p>
      <w:pPr>
        <w:ind w:firstLine="480"/>
        <w:rPr>
          <w:rFonts w:cs="Times New Roman"/>
          <w:lang w:val="zh-CN"/>
        </w:rPr>
      </w:pPr>
      <w:r>
        <w:rPr>
          <w:rFonts w:cs="Times New Roman"/>
          <w:lang w:val="zh-CN"/>
        </w:rPr>
        <w:t>基坑排水分为基坑开挖前的初期排水和基坑开挖及建筑物施工过程中的经常性排水。初期基坑排水特点是废水量大、以天然水体为主，污染物种类少、含量低。经常性排水产生于大坝基础开挖和混凝土填筑过程中，主要由施工用水和渗水组成，基坑排水污染物主要是SS和少量石油类物质，其中主要污染物SS浓度一般在2000mg/L左右、pH值11～12。</w:t>
      </w:r>
    </w:p>
    <w:p>
      <w:pPr>
        <w:ind w:firstLine="480"/>
        <w:rPr>
          <w:rFonts w:cs="Times New Roman"/>
        </w:rPr>
      </w:pPr>
      <w:r>
        <w:rPr>
          <w:rFonts w:hint="eastAsia" w:ascii="宋体" w:hAnsi="宋体" w:cs="宋体"/>
        </w:rPr>
        <w:t>②</w:t>
      </w:r>
      <w:r>
        <w:rPr>
          <w:rFonts w:cs="Times New Roman"/>
        </w:rPr>
        <w:t>生活污水</w:t>
      </w:r>
    </w:p>
    <w:p>
      <w:pPr>
        <w:ind w:firstLine="480"/>
        <w:rPr>
          <w:rFonts w:cs="Times New Roman"/>
        </w:rPr>
      </w:pPr>
      <w:r>
        <w:rPr>
          <w:rFonts w:cs="Times New Roman"/>
        </w:rPr>
        <w:t>施工生活污水主要来自临时生活区。生活污水中主要污染物为人体排泄物、食物残渣等有机物，阴离子洗涤剂及其它溶解性物质，主要污染指标为BOD</w:t>
      </w:r>
      <w:r>
        <w:rPr>
          <w:rFonts w:cs="Times New Roman"/>
          <w:vertAlign w:val="subscript"/>
        </w:rPr>
        <w:t>5</w:t>
      </w:r>
      <w:r>
        <w:rPr>
          <w:rFonts w:cs="Times New Roman"/>
        </w:rPr>
        <w:t>、COD</w:t>
      </w:r>
      <w:r>
        <w:rPr>
          <w:rFonts w:cs="Times New Roman"/>
          <w:vertAlign w:val="subscript"/>
        </w:rPr>
        <w:t>Cr</w:t>
      </w:r>
      <w:r>
        <w:rPr>
          <w:rFonts w:cs="Times New Roman"/>
        </w:rPr>
        <w:t>、粪大肠菌群等，经类比，其中BOD</w:t>
      </w:r>
      <w:r>
        <w:rPr>
          <w:rFonts w:cs="Times New Roman"/>
          <w:vertAlign w:val="subscript"/>
        </w:rPr>
        <w:t>5</w:t>
      </w:r>
      <w:r>
        <w:rPr>
          <w:rFonts w:cs="Times New Roman"/>
        </w:rPr>
        <w:t>浓度为200mg/L，COD</w:t>
      </w:r>
      <w:r>
        <w:rPr>
          <w:rFonts w:cs="Times New Roman"/>
          <w:vertAlign w:val="subscript"/>
        </w:rPr>
        <w:t>Cr</w:t>
      </w:r>
      <w:r>
        <w:rPr>
          <w:rFonts w:cs="Times New Roman"/>
        </w:rPr>
        <w:t>为400mg/L。根据施工组织规划与设计，施工高峰期人数</w:t>
      </w:r>
      <w:r>
        <w:rPr>
          <w:rFonts w:hint="eastAsia" w:cs="Times New Roman"/>
          <w:lang w:eastAsia="zh-CN"/>
        </w:rPr>
        <w:t>将达</w:t>
      </w:r>
      <w:r>
        <w:rPr>
          <w:rFonts w:cs="Times New Roman"/>
        </w:rPr>
        <w:t>到310人，按生活用水每人每天80L，排放系数0.85计，施工期日最大生活污水排放量为21.08m</w:t>
      </w:r>
      <w:r>
        <w:rPr>
          <w:rFonts w:cs="Times New Roman"/>
          <w:vertAlign w:val="superscript"/>
        </w:rPr>
        <w:t>3</w:t>
      </w:r>
      <w:r>
        <w:rPr>
          <w:rFonts w:cs="Times New Roman"/>
        </w:rPr>
        <w:t>/d，BOD</w:t>
      </w:r>
      <w:r>
        <w:rPr>
          <w:rFonts w:cs="Times New Roman"/>
          <w:vertAlign w:val="subscript"/>
        </w:rPr>
        <w:t>5</w:t>
      </w:r>
      <w:r>
        <w:rPr>
          <w:rFonts w:cs="Times New Roman"/>
        </w:rPr>
        <w:t>产生量为1.54t/a，COD</w:t>
      </w:r>
      <w:r>
        <w:rPr>
          <w:rFonts w:cs="Times New Roman"/>
          <w:vertAlign w:val="subscript"/>
        </w:rPr>
        <w:t>Cr</w:t>
      </w:r>
      <w:r>
        <w:rPr>
          <w:rFonts w:cs="Times New Roman"/>
        </w:rPr>
        <w:t>为3.08t/a。工程施工高峰期生活污水排放情况见表3.4-4。</w:t>
      </w:r>
    </w:p>
    <w:p>
      <w:pPr>
        <w:pStyle w:val="137"/>
        <w:spacing w:before="62"/>
      </w:pPr>
      <w:r>
        <w:t>表3.4-4              施工高峰期生活污水排放情况表</w:t>
      </w:r>
    </w:p>
    <w:tbl>
      <w:tblPr>
        <w:tblStyle w:val="41"/>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271"/>
        <w:gridCol w:w="1148"/>
        <w:gridCol w:w="737"/>
        <w:gridCol w:w="1693"/>
        <w:gridCol w:w="2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pPr>
              <w:pStyle w:val="136"/>
            </w:pPr>
            <w:r>
              <w:t>名称</w:t>
            </w:r>
          </w:p>
        </w:tc>
        <w:tc>
          <w:tcPr>
            <w:tcW w:w="1271" w:type="dxa"/>
            <w:vAlign w:val="center"/>
          </w:tcPr>
          <w:p>
            <w:pPr>
              <w:pStyle w:val="136"/>
            </w:pPr>
            <w:r>
              <w:t>施工高峰人数（人）</w:t>
            </w:r>
          </w:p>
        </w:tc>
        <w:tc>
          <w:tcPr>
            <w:tcW w:w="1148" w:type="dxa"/>
            <w:vAlign w:val="center"/>
          </w:tcPr>
          <w:p>
            <w:pPr>
              <w:pStyle w:val="136"/>
            </w:pPr>
            <w:r>
              <w:t>用水量（L/人·d）</w:t>
            </w:r>
          </w:p>
        </w:tc>
        <w:tc>
          <w:tcPr>
            <w:tcW w:w="737" w:type="dxa"/>
            <w:vAlign w:val="center"/>
          </w:tcPr>
          <w:p>
            <w:pPr>
              <w:pStyle w:val="136"/>
            </w:pPr>
            <w:r>
              <w:t>排放系数</w:t>
            </w:r>
          </w:p>
        </w:tc>
        <w:tc>
          <w:tcPr>
            <w:tcW w:w="1693" w:type="dxa"/>
            <w:vAlign w:val="center"/>
          </w:tcPr>
          <w:p>
            <w:pPr>
              <w:pStyle w:val="136"/>
            </w:pPr>
            <w:r>
              <w:t>高峰期生活污水排放量（m</w:t>
            </w:r>
            <w:r>
              <w:rPr>
                <w:vertAlign w:val="superscript"/>
              </w:rPr>
              <w:t>3</w:t>
            </w:r>
            <w:r>
              <w:t>/d）</w:t>
            </w:r>
          </w:p>
        </w:tc>
        <w:tc>
          <w:tcPr>
            <w:tcW w:w="2809" w:type="dxa"/>
            <w:vAlign w:val="center"/>
          </w:tcPr>
          <w:p>
            <w:pPr>
              <w:pStyle w:val="136"/>
            </w:pPr>
            <w:r>
              <w:t>主要污染源强（t/a）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pPr>
              <w:pStyle w:val="136"/>
            </w:pPr>
            <w:r>
              <w:t>临时生活区</w:t>
            </w:r>
          </w:p>
        </w:tc>
        <w:tc>
          <w:tcPr>
            <w:tcW w:w="1271" w:type="dxa"/>
            <w:vAlign w:val="center"/>
          </w:tcPr>
          <w:p>
            <w:pPr>
              <w:pStyle w:val="136"/>
            </w:pPr>
            <w:r>
              <w:t>310</w:t>
            </w:r>
          </w:p>
        </w:tc>
        <w:tc>
          <w:tcPr>
            <w:tcW w:w="1148" w:type="dxa"/>
            <w:vAlign w:val="center"/>
          </w:tcPr>
          <w:p>
            <w:pPr>
              <w:pStyle w:val="136"/>
            </w:pPr>
            <w:r>
              <w:t>80</w:t>
            </w:r>
          </w:p>
        </w:tc>
        <w:tc>
          <w:tcPr>
            <w:tcW w:w="737" w:type="dxa"/>
            <w:vAlign w:val="center"/>
          </w:tcPr>
          <w:p>
            <w:pPr>
              <w:pStyle w:val="136"/>
            </w:pPr>
            <w:r>
              <w:t>0.85</w:t>
            </w:r>
          </w:p>
        </w:tc>
        <w:tc>
          <w:tcPr>
            <w:tcW w:w="1693" w:type="dxa"/>
            <w:vAlign w:val="center"/>
          </w:tcPr>
          <w:p>
            <w:pPr>
              <w:pStyle w:val="136"/>
            </w:pPr>
            <w:r>
              <w:t>21.08</w:t>
            </w:r>
          </w:p>
        </w:tc>
        <w:tc>
          <w:tcPr>
            <w:tcW w:w="2809" w:type="dxa"/>
            <w:vAlign w:val="center"/>
          </w:tcPr>
          <w:p>
            <w:pPr>
              <w:pStyle w:val="136"/>
            </w:pPr>
            <w:r>
              <w:t>BOD</w:t>
            </w:r>
            <w:r>
              <w:rPr>
                <w:vertAlign w:val="subscript"/>
              </w:rPr>
              <w:t>5</w:t>
            </w:r>
            <w:r>
              <w:t>：1.54，COD</w:t>
            </w:r>
            <w:r>
              <w:rPr>
                <w:vertAlign w:val="subscript"/>
              </w:rPr>
              <w:t>Cr</w:t>
            </w:r>
            <w:r>
              <w:t>：3.08</w:t>
            </w:r>
          </w:p>
        </w:tc>
      </w:tr>
    </w:tbl>
    <w:p>
      <w:pPr>
        <w:ind w:firstLine="480"/>
        <w:rPr>
          <w:rFonts w:cs="Times New Roman"/>
        </w:rPr>
      </w:pPr>
    </w:p>
    <w:p>
      <w:pPr>
        <w:ind w:firstLine="480"/>
        <w:rPr>
          <w:rFonts w:cs="Times New Roman"/>
        </w:rPr>
      </w:pPr>
      <w:r>
        <w:rPr>
          <w:rFonts w:cs="Times New Roman"/>
        </w:rPr>
        <w:t>（2）环境空气</w:t>
      </w:r>
    </w:p>
    <w:p>
      <w:pPr>
        <w:ind w:firstLine="480"/>
        <w:rPr>
          <w:rFonts w:cs="Times New Roman"/>
        </w:rPr>
      </w:pPr>
      <w:r>
        <w:rPr>
          <w:rFonts w:cs="Times New Roman"/>
        </w:rPr>
        <w:t>本工程施工期空气污染物主要来源于燃油施工机械尾气、机械开挖以及运输粉尘等。主要大气污染因子为TSP、SO</w:t>
      </w:r>
      <w:r>
        <w:rPr>
          <w:rFonts w:cs="Times New Roman"/>
          <w:vertAlign w:val="subscript"/>
        </w:rPr>
        <w:t>2</w:t>
      </w:r>
      <w:r>
        <w:rPr>
          <w:rFonts w:cs="Times New Roman"/>
        </w:rPr>
        <w:t>、氮氧化合物等。除上述污染源之外，交通扬尘是工程施工公路沿线主要的大气污染源，主要污染因子为TSP，会给公路沿线居民生产、生活带来一定影响。需采取降尘措施予以减免。根据工程影响区环境空气质量现状及特点，要求施工区日平均TSP控制在0.30mg/m</w:t>
      </w:r>
      <w:r>
        <w:rPr>
          <w:rFonts w:cs="Times New Roman"/>
          <w:vertAlign w:val="superscript"/>
        </w:rPr>
        <w:t>3</w:t>
      </w:r>
      <w:r>
        <w:rPr>
          <w:rFonts w:cs="Times New Roman"/>
        </w:rPr>
        <w:t>以内。根据施工组织设计，环境空气污染源具有流动性和间歇性特点，且源强不大，施工结束后随即消失。</w:t>
      </w:r>
    </w:p>
    <w:p>
      <w:pPr>
        <w:ind w:firstLine="480"/>
        <w:rPr>
          <w:rFonts w:cs="Times New Roman"/>
        </w:rPr>
      </w:pPr>
      <w:r>
        <w:rPr>
          <w:rFonts w:hint="eastAsia" w:ascii="宋体" w:hAnsi="宋体" w:cs="宋体"/>
        </w:rPr>
        <w:t>①</w:t>
      </w:r>
      <w:r>
        <w:rPr>
          <w:rFonts w:cs="Times New Roman"/>
        </w:rPr>
        <w:t>施工作业面扬尘</w:t>
      </w:r>
    </w:p>
    <w:p>
      <w:pPr>
        <w:ind w:firstLine="480"/>
        <w:rPr>
          <w:rFonts w:cs="Times New Roman"/>
        </w:rPr>
      </w:pPr>
      <w:r>
        <w:rPr>
          <w:rFonts w:cs="Times New Roman"/>
        </w:rPr>
        <w:t>施工作业面的裸露地面，在干燥天气，尤其是在大风时容易产生扬尘；大坝、泄洪放空洞、溢洪洞、临时放水洞、厂房、道路、临时弃渣场和转存场等施工作业面均会产生扬尘；扬尘产生量与作业面大小、施工机械、施工方法、天气状况及洒水频率等都有关系。一般只要定时洒水，施工作业面扬尘即可得到有效控制，对环境影响较小。</w:t>
      </w:r>
    </w:p>
    <w:p>
      <w:pPr>
        <w:ind w:firstLine="480"/>
        <w:rPr>
          <w:rFonts w:cs="Times New Roman"/>
        </w:rPr>
      </w:pPr>
      <w:r>
        <w:rPr>
          <w:rFonts w:hint="eastAsia" w:ascii="宋体" w:hAnsi="宋体" w:cs="宋体"/>
        </w:rPr>
        <w:t>②</w:t>
      </w:r>
      <w:r>
        <w:rPr>
          <w:rFonts w:cs="Times New Roman"/>
        </w:rPr>
        <w:t>爆破粉尘</w:t>
      </w:r>
    </w:p>
    <w:p>
      <w:pPr>
        <w:ind w:firstLine="480"/>
        <w:rPr>
          <w:rFonts w:cs="Times New Roman"/>
        </w:rPr>
      </w:pPr>
      <w:r>
        <w:rPr>
          <w:rFonts w:cs="Times New Roman"/>
        </w:rPr>
        <w:t>工程碾压重力坝、挡水坝、溢洪洞 及道路建设等施工的炸药使用量为53.4t，爆破过程中产生的主要污染物是TSP，类比同类工程，预计TSP产生量约10.79t。由于施工爆破区周边均无环境敏感对象，因此工程施工爆破粉尘影响对象为施工人员。</w:t>
      </w:r>
    </w:p>
    <w:p>
      <w:pPr>
        <w:ind w:firstLine="480"/>
        <w:rPr>
          <w:rFonts w:cs="Times New Roman"/>
        </w:rPr>
      </w:pPr>
      <w:r>
        <w:rPr>
          <w:rFonts w:hint="eastAsia" w:ascii="宋体" w:hAnsi="宋体" w:cs="宋体"/>
        </w:rPr>
        <w:t>③</w:t>
      </w:r>
      <w:r>
        <w:rPr>
          <w:rFonts w:cs="Times New Roman"/>
        </w:rPr>
        <w:t>交通运输扬尘</w:t>
      </w:r>
    </w:p>
    <w:p>
      <w:pPr>
        <w:ind w:firstLine="480"/>
        <w:rPr>
          <w:rFonts w:cs="Times New Roman"/>
        </w:rPr>
      </w:pPr>
      <w:r>
        <w:rPr>
          <w:rFonts w:cs="Times New Roman"/>
        </w:rPr>
        <w:t>根据有关资料，施工过程中车辆行驶产生的扬尘约占施工总扬尘量的60%以上。一般情况车辆行驶产生的扬尘在同样路面清洁程度下，车速越快，扬尘量越大；而在同样车速下，路面条件越差扬尘量越大。工程交通运输扬尘的影响对象为现场施工人员。</w:t>
      </w:r>
    </w:p>
    <w:p>
      <w:pPr>
        <w:ind w:firstLine="480"/>
        <w:rPr>
          <w:rFonts w:cs="Times New Roman"/>
        </w:rPr>
      </w:pPr>
      <w:r>
        <w:rPr>
          <w:rFonts w:hint="eastAsia" w:ascii="宋体" w:hAnsi="宋体" w:cs="宋体"/>
        </w:rPr>
        <w:t>④</w:t>
      </w:r>
      <w:r>
        <w:rPr>
          <w:rFonts w:cs="Times New Roman"/>
        </w:rPr>
        <w:t>砂石料加工系统和混凝土拌和系统粉尘</w:t>
      </w:r>
    </w:p>
    <w:p>
      <w:pPr>
        <w:ind w:firstLine="480"/>
        <w:rPr>
          <w:rFonts w:cs="Times New Roman"/>
        </w:rPr>
      </w:pPr>
      <w:r>
        <w:rPr>
          <w:rFonts w:cs="Times New Roman"/>
        </w:rPr>
        <w:t>砂石料加工系统在粗碎、中碎、细碎、筛分及运输过程中均会产生粉尘污染；一般在无控制排放的情况下，粉尘排放系数为0.77kg/t。混凝土拌和站粉尘主要产生在水泥的运输和装卸及进料过程中；在无防治措施情况下，粉尘排放系数为0.91kg/t。根据施工布置，砂石料加工系统和混凝土拌和系统附近均无环境敏感对象分布，故受该类粉尘影响的主要为一线作业的施工人员。</w:t>
      </w:r>
    </w:p>
    <w:p>
      <w:pPr>
        <w:ind w:firstLine="480"/>
        <w:rPr>
          <w:rFonts w:cs="Times New Roman"/>
        </w:rPr>
      </w:pPr>
      <w:r>
        <w:rPr>
          <w:rFonts w:hint="eastAsia" w:ascii="宋体" w:hAnsi="宋体" w:cs="宋体"/>
        </w:rPr>
        <w:t>⑤</w:t>
      </w:r>
      <w:r>
        <w:rPr>
          <w:rFonts w:cs="Times New Roman"/>
        </w:rPr>
        <w:t>机械及车辆燃油</w:t>
      </w:r>
    </w:p>
    <w:p>
      <w:pPr>
        <w:ind w:firstLine="480"/>
        <w:rPr>
          <w:rFonts w:cs="Times New Roman"/>
        </w:rPr>
      </w:pPr>
      <w:r>
        <w:rPr>
          <w:rFonts w:cs="Times New Roman"/>
        </w:rPr>
        <w:t>工程施工期使用的机械设备较多（挖掘机、推土机和破碎机等），运输设备大多是重型车辆，工程施工使用燃油总量为705.99t，根据工程施工进度及强度，估算燃油产生的污染物NO</w:t>
      </w:r>
      <w:r>
        <w:rPr>
          <w:rFonts w:cs="Times New Roman"/>
          <w:vertAlign w:val="subscript"/>
        </w:rPr>
        <w:t>X</w:t>
      </w:r>
      <w:r>
        <w:rPr>
          <w:rFonts w:cs="Times New Roman"/>
        </w:rPr>
        <w:t>总排放量约为15t。由于各施工生产设施附近均无环境敏感对象分布，燃油废气的影响对象主要为施工人员。工程施工燃油产生污染物情况见表3.4-5。</w:t>
      </w:r>
    </w:p>
    <w:p>
      <w:pPr>
        <w:pStyle w:val="137"/>
        <w:spacing w:before="62"/>
      </w:pPr>
      <w:r>
        <w:t>表3.4-5          工程施工燃油产生的污染物及数量统计表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3"/>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343" w:type="dxa"/>
          </w:tcPr>
          <w:p>
            <w:pPr>
              <w:pStyle w:val="136"/>
            </w:pPr>
            <w:r>
              <w:t>项目</w:t>
            </w:r>
          </w:p>
        </w:tc>
        <w:tc>
          <w:tcPr>
            <w:tcW w:w="2765" w:type="dxa"/>
          </w:tcPr>
          <w:p>
            <w:pPr>
              <w:pStyle w:val="136"/>
            </w:pPr>
            <w:r>
              <w:t>燃油（t）</w:t>
            </w:r>
          </w:p>
        </w:tc>
        <w:tc>
          <w:tcPr>
            <w:tcW w:w="2766" w:type="dxa"/>
          </w:tcPr>
          <w:p>
            <w:pPr>
              <w:pStyle w:val="136"/>
            </w:pPr>
            <w:r>
              <w:t>NOX（t）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3" w:type="dxa"/>
          </w:tcPr>
          <w:p>
            <w:pPr>
              <w:pStyle w:val="136"/>
            </w:pPr>
            <w:r>
              <w:t>总量</w:t>
            </w:r>
          </w:p>
        </w:tc>
        <w:tc>
          <w:tcPr>
            <w:tcW w:w="2765" w:type="dxa"/>
          </w:tcPr>
          <w:p>
            <w:pPr>
              <w:pStyle w:val="136"/>
            </w:pPr>
            <w:r>
              <w:t>705.99</w:t>
            </w:r>
          </w:p>
        </w:tc>
        <w:tc>
          <w:tcPr>
            <w:tcW w:w="2766" w:type="dxa"/>
          </w:tcPr>
          <w:p>
            <w:pPr>
              <w:pStyle w:val="136"/>
            </w:pPr>
            <w:r>
              <w:t>15</w:t>
            </w:r>
          </w:p>
        </w:tc>
      </w:tr>
    </w:tbl>
    <w:p>
      <w:pPr>
        <w:ind w:firstLine="480"/>
        <w:rPr>
          <w:rFonts w:cs="Times New Roman"/>
        </w:rPr>
      </w:pPr>
    </w:p>
    <w:p>
      <w:pPr>
        <w:ind w:firstLine="480"/>
        <w:rPr>
          <w:rFonts w:cs="Times New Roman"/>
        </w:rPr>
      </w:pPr>
      <w:r>
        <w:rPr>
          <w:rFonts w:cs="Times New Roman"/>
        </w:rPr>
        <w:t>（3）声环境</w:t>
      </w:r>
    </w:p>
    <w:p>
      <w:pPr>
        <w:ind w:firstLine="480"/>
        <w:rPr>
          <w:rFonts w:cs="Times New Roman"/>
        </w:rPr>
      </w:pPr>
      <w:r>
        <w:rPr>
          <w:rFonts w:cs="Times New Roman"/>
        </w:rPr>
        <w:t>工程建设期噪声污染源主要包括三种：其一为来自拌和楼、拌和机、筛分楼、皮带机等的固定声源；其二为由施工机械行驶时产生，如自卸汽车、水车、载重车辆等的流动声源（若鸣按喇叭，则声级更高）；其三为爆破产生的瞬时强噪声，声级很高的偶发声源。水利工程常用施工机械噪声源强见表3.4-6。</w:t>
      </w:r>
    </w:p>
    <w:p>
      <w:pPr>
        <w:pStyle w:val="137"/>
        <w:spacing w:before="62"/>
      </w:pPr>
      <w:r>
        <w:t>表3.4-6                水利工程施工机械噪声值统计表</w:t>
      </w:r>
    </w:p>
    <w:tbl>
      <w:tblPr>
        <w:tblStyle w:val="40"/>
        <w:tblW w:w="8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2426"/>
        <w:gridCol w:w="2391"/>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Align w:val="center"/>
          </w:tcPr>
          <w:p>
            <w:pPr>
              <w:pStyle w:val="136"/>
            </w:pPr>
            <w:r>
              <w:t>声源类型</w:t>
            </w:r>
          </w:p>
        </w:tc>
        <w:tc>
          <w:tcPr>
            <w:tcW w:w="2426" w:type="dxa"/>
            <w:vAlign w:val="center"/>
          </w:tcPr>
          <w:p>
            <w:pPr>
              <w:pStyle w:val="136"/>
            </w:pPr>
            <w:r>
              <w:t>设备名称</w:t>
            </w:r>
          </w:p>
        </w:tc>
        <w:tc>
          <w:tcPr>
            <w:tcW w:w="2391" w:type="dxa"/>
            <w:vAlign w:val="center"/>
          </w:tcPr>
          <w:p>
            <w:pPr>
              <w:pStyle w:val="136"/>
            </w:pPr>
            <w:r>
              <w:t>单机噪声级（dB）</w:t>
            </w:r>
          </w:p>
        </w:tc>
        <w:tc>
          <w:tcPr>
            <w:tcW w:w="2391" w:type="dxa"/>
            <w:vAlign w:val="center"/>
          </w:tcPr>
          <w:p>
            <w:pPr>
              <w:pStyle w:val="136"/>
            </w:pPr>
            <w:r>
              <w:t>影响区域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restart"/>
            <w:vAlign w:val="center"/>
          </w:tcPr>
          <w:p>
            <w:pPr>
              <w:pStyle w:val="136"/>
            </w:pPr>
            <w:r>
              <w:t>点源</w:t>
            </w:r>
          </w:p>
        </w:tc>
        <w:tc>
          <w:tcPr>
            <w:tcW w:w="2426" w:type="dxa"/>
            <w:vAlign w:val="center"/>
          </w:tcPr>
          <w:p>
            <w:pPr>
              <w:pStyle w:val="136"/>
            </w:pPr>
            <w:r>
              <w:t>破碎机</w:t>
            </w:r>
          </w:p>
        </w:tc>
        <w:tc>
          <w:tcPr>
            <w:tcW w:w="2391" w:type="dxa"/>
            <w:vAlign w:val="center"/>
          </w:tcPr>
          <w:p>
            <w:pPr>
              <w:pStyle w:val="136"/>
            </w:pPr>
            <w:r>
              <w:t>80～110</w:t>
            </w:r>
          </w:p>
        </w:tc>
        <w:tc>
          <w:tcPr>
            <w:tcW w:w="2391" w:type="dxa"/>
            <w:vAlign w:val="center"/>
          </w:tcPr>
          <w:p>
            <w:pPr>
              <w:pStyle w:val="136"/>
            </w:pPr>
            <w:r>
              <w:t>施工生产区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挖掘机</w:t>
            </w:r>
          </w:p>
        </w:tc>
        <w:tc>
          <w:tcPr>
            <w:tcW w:w="2391" w:type="dxa"/>
            <w:vAlign w:val="center"/>
          </w:tcPr>
          <w:p>
            <w:pPr>
              <w:pStyle w:val="136"/>
            </w:pPr>
            <w:r>
              <w:t>96</w:t>
            </w:r>
          </w:p>
        </w:tc>
        <w:tc>
          <w:tcPr>
            <w:tcW w:w="2391" w:type="dxa"/>
            <w:vAlign w:val="center"/>
          </w:tcPr>
          <w:p>
            <w:pPr>
              <w:pStyle w:val="136"/>
            </w:pPr>
            <w:r>
              <w:t>施工生产区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风钻</w:t>
            </w:r>
          </w:p>
        </w:tc>
        <w:tc>
          <w:tcPr>
            <w:tcW w:w="2391" w:type="dxa"/>
            <w:vAlign w:val="center"/>
          </w:tcPr>
          <w:p>
            <w:pPr>
              <w:pStyle w:val="136"/>
            </w:pPr>
            <w:r>
              <w:t>120</w:t>
            </w:r>
          </w:p>
        </w:tc>
        <w:tc>
          <w:tcPr>
            <w:tcW w:w="2391" w:type="dxa"/>
            <w:vAlign w:val="center"/>
          </w:tcPr>
          <w:p>
            <w:pPr>
              <w:pStyle w:val="136"/>
            </w:pPr>
            <w:r>
              <w:t>施工生产区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装载机</w:t>
            </w:r>
          </w:p>
        </w:tc>
        <w:tc>
          <w:tcPr>
            <w:tcW w:w="2391" w:type="dxa"/>
            <w:vAlign w:val="center"/>
          </w:tcPr>
          <w:p>
            <w:pPr>
              <w:pStyle w:val="136"/>
            </w:pPr>
            <w:r>
              <w:t>112</w:t>
            </w:r>
          </w:p>
        </w:tc>
        <w:tc>
          <w:tcPr>
            <w:tcW w:w="2391" w:type="dxa"/>
            <w:vAlign w:val="center"/>
          </w:tcPr>
          <w:p>
            <w:pPr>
              <w:pStyle w:val="136"/>
            </w:pPr>
            <w:r>
              <w:t>施工生产区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混凝土搅拌机</w:t>
            </w:r>
          </w:p>
        </w:tc>
        <w:tc>
          <w:tcPr>
            <w:tcW w:w="2391" w:type="dxa"/>
            <w:vAlign w:val="center"/>
          </w:tcPr>
          <w:p>
            <w:pPr>
              <w:pStyle w:val="136"/>
            </w:pPr>
            <w:r>
              <w:t>92</w:t>
            </w:r>
          </w:p>
        </w:tc>
        <w:tc>
          <w:tcPr>
            <w:tcW w:w="2391" w:type="dxa"/>
            <w:vAlign w:val="center"/>
          </w:tcPr>
          <w:p>
            <w:pPr>
              <w:pStyle w:val="136"/>
            </w:pPr>
            <w:r>
              <w:t>施工生产区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综合加工噪声</w:t>
            </w:r>
          </w:p>
        </w:tc>
        <w:tc>
          <w:tcPr>
            <w:tcW w:w="2391" w:type="dxa"/>
            <w:vAlign w:val="center"/>
          </w:tcPr>
          <w:p>
            <w:pPr>
              <w:pStyle w:val="136"/>
            </w:pPr>
            <w:r>
              <w:t>105</w:t>
            </w:r>
          </w:p>
        </w:tc>
        <w:tc>
          <w:tcPr>
            <w:tcW w:w="2391" w:type="dxa"/>
            <w:vAlign w:val="center"/>
          </w:tcPr>
          <w:p>
            <w:pPr>
              <w:pStyle w:val="136"/>
            </w:pPr>
            <w:r>
              <w:t>施工生产区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打桩机</w:t>
            </w:r>
          </w:p>
        </w:tc>
        <w:tc>
          <w:tcPr>
            <w:tcW w:w="2391" w:type="dxa"/>
            <w:vAlign w:val="center"/>
          </w:tcPr>
          <w:p>
            <w:pPr>
              <w:pStyle w:val="136"/>
            </w:pPr>
            <w:r>
              <w:t>98</w:t>
            </w:r>
          </w:p>
        </w:tc>
        <w:tc>
          <w:tcPr>
            <w:tcW w:w="2391" w:type="dxa"/>
            <w:vAlign w:val="center"/>
          </w:tcPr>
          <w:p>
            <w:pPr>
              <w:pStyle w:val="136"/>
            </w:pPr>
            <w:r>
              <w:t>施工生产区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restart"/>
            <w:vAlign w:val="center"/>
          </w:tcPr>
          <w:p>
            <w:pPr>
              <w:pStyle w:val="136"/>
            </w:pPr>
            <w:r>
              <w:t>线源</w:t>
            </w:r>
          </w:p>
        </w:tc>
        <w:tc>
          <w:tcPr>
            <w:tcW w:w="2426" w:type="dxa"/>
            <w:vAlign w:val="center"/>
          </w:tcPr>
          <w:p>
            <w:pPr>
              <w:pStyle w:val="136"/>
            </w:pPr>
            <w:r>
              <w:t>重型载重汽车</w:t>
            </w:r>
          </w:p>
        </w:tc>
        <w:tc>
          <w:tcPr>
            <w:tcW w:w="2391" w:type="dxa"/>
            <w:vAlign w:val="center"/>
          </w:tcPr>
          <w:p>
            <w:pPr>
              <w:pStyle w:val="136"/>
            </w:pPr>
            <w:r>
              <w:t>84～89</w:t>
            </w:r>
          </w:p>
        </w:tc>
        <w:tc>
          <w:tcPr>
            <w:tcW w:w="2391" w:type="dxa"/>
            <w:vAlign w:val="center"/>
          </w:tcPr>
          <w:p>
            <w:pPr>
              <w:pStyle w:val="136"/>
            </w:pPr>
            <w:r>
              <w:t>所有施工区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中型载重汽车</w:t>
            </w:r>
          </w:p>
        </w:tc>
        <w:tc>
          <w:tcPr>
            <w:tcW w:w="2391" w:type="dxa"/>
            <w:vAlign w:val="center"/>
          </w:tcPr>
          <w:p>
            <w:pPr>
              <w:pStyle w:val="136"/>
            </w:pPr>
            <w:r>
              <w:t>79～85</w:t>
            </w:r>
          </w:p>
        </w:tc>
        <w:tc>
          <w:tcPr>
            <w:tcW w:w="2391" w:type="dxa"/>
            <w:vAlign w:val="center"/>
          </w:tcPr>
          <w:p>
            <w:pPr>
              <w:pStyle w:val="136"/>
            </w:pPr>
            <w:r>
              <w:t>所有施工区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轻型载重汽车</w:t>
            </w:r>
          </w:p>
        </w:tc>
        <w:tc>
          <w:tcPr>
            <w:tcW w:w="2391" w:type="dxa"/>
            <w:vAlign w:val="center"/>
          </w:tcPr>
          <w:p>
            <w:pPr>
              <w:pStyle w:val="136"/>
            </w:pPr>
            <w:r>
              <w:t>76～84</w:t>
            </w:r>
          </w:p>
        </w:tc>
        <w:tc>
          <w:tcPr>
            <w:tcW w:w="2391" w:type="dxa"/>
            <w:vAlign w:val="center"/>
          </w:tcPr>
          <w:p>
            <w:pPr>
              <w:pStyle w:val="136"/>
            </w:pPr>
            <w:r>
              <w:t>所有施工区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推土机</w:t>
            </w:r>
          </w:p>
        </w:tc>
        <w:tc>
          <w:tcPr>
            <w:tcW w:w="2391" w:type="dxa"/>
            <w:vAlign w:val="center"/>
          </w:tcPr>
          <w:p>
            <w:pPr>
              <w:pStyle w:val="136"/>
            </w:pPr>
            <w:r>
              <w:t>94</w:t>
            </w:r>
          </w:p>
        </w:tc>
        <w:tc>
          <w:tcPr>
            <w:tcW w:w="2391" w:type="dxa"/>
            <w:vAlign w:val="center"/>
          </w:tcPr>
          <w:p>
            <w:pPr>
              <w:pStyle w:val="136"/>
            </w:pPr>
            <w:r>
              <w:t>所有施工区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3" w:type="dxa"/>
            <w:vMerge w:val="continue"/>
            <w:vAlign w:val="center"/>
          </w:tcPr>
          <w:p>
            <w:pPr>
              <w:pStyle w:val="136"/>
            </w:pPr>
          </w:p>
        </w:tc>
        <w:tc>
          <w:tcPr>
            <w:tcW w:w="2426" w:type="dxa"/>
            <w:vAlign w:val="center"/>
          </w:tcPr>
          <w:p>
            <w:pPr>
              <w:pStyle w:val="136"/>
            </w:pPr>
            <w:r>
              <w:t>铲土机</w:t>
            </w:r>
          </w:p>
        </w:tc>
        <w:tc>
          <w:tcPr>
            <w:tcW w:w="2391" w:type="dxa"/>
            <w:vAlign w:val="center"/>
          </w:tcPr>
          <w:p>
            <w:pPr>
              <w:pStyle w:val="136"/>
            </w:pPr>
            <w:r>
              <w:t>96</w:t>
            </w:r>
          </w:p>
        </w:tc>
        <w:tc>
          <w:tcPr>
            <w:tcW w:w="2391" w:type="dxa"/>
            <w:vAlign w:val="center"/>
          </w:tcPr>
          <w:p>
            <w:pPr>
              <w:pStyle w:val="136"/>
            </w:pPr>
            <w:r>
              <w:t>所有施工区</w:t>
            </w:r>
          </w:p>
        </w:tc>
      </w:tr>
    </w:tbl>
    <w:p>
      <w:pPr>
        <w:ind w:firstLine="480"/>
        <w:rPr>
          <w:rFonts w:cs="Times New Roman"/>
        </w:rPr>
      </w:pPr>
    </w:p>
    <w:p>
      <w:pPr>
        <w:ind w:firstLine="480"/>
        <w:rPr>
          <w:rFonts w:cs="Times New Roman"/>
        </w:rPr>
      </w:pPr>
      <w:r>
        <w:rPr>
          <w:rFonts w:cs="Times New Roman"/>
        </w:rPr>
        <w:t>混凝土拌和系统噪声</w:t>
      </w:r>
    </w:p>
    <w:p>
      <w:pPr>
        <w:ind w:firstLine="480"/>
        <w:rPr>
          <w:rFonts w:cs="Times New Roman"/>
        </w:rPr>
      </w:pPr>
      <w:r>
        <w:rPr>
          <w:rFonts w:cs="Times New Roman"/>
        </w:rPr>
        <w:t>本工程设置的混凝土拌和站，是固定、连续式噪声污染源，其噪声源声级为78dB(A)左右。噪声影响对象主要是施工作业人员。</w:t>
      </w:r>
    </w:p>
    <w:p>
      <w:pPr>
        <w:ind w:firstLine="480"/>
        <w:rPr>
          <w:rFonts w:cs="Times New Roman"/>
        </w:rPr>
      </w:pPr>
      <w:r>
        <w:rPr>
          <w:rFonts w:cs="Times New Roman"/>
        </w:rPr>
        <w:t>砂砾石筛分噪声</w:t>
      </w:r>
    </w:p>
    <w:p>
      <w:pPr>
        <w:ind w:firstLine="480"/>
        <w:rPr>
          <w:rFonts w:cs="Times New Roman"/>
        </w:rPr>
      </w:pPr>
      <w:r>
        <w:rPr>
          <w:rFonts w:cs="Times New Roman"/>
        </w:rPr>
        <w:t>本工程设置的砂砾石筛分系统，其噪声声级为110dB(A)左右，影响对象主要为施工作业人员。</w:t>
      </w:r>
    </w:p>
    <w:p>
      <w:pPr>
        <w:ind w:firstLine="480"/>
        <w:rPr>
          <w:rFonts w:cs="Times New Roman"/>
        </w:rPr>
      </w:pPr>
      <w:r>
        <w:rPr>
          <w:rFonts w:cs="Times New Roman"/>
        </w:rPr>
        <w:t>主体工程施工区噪声</w:t>
      </w:r>
    </w:p>
    <w:p>
      <w:pPr>
        <w:ind w:firstLine="480"/>
        <w:rPr>
          <w:rFonts w:cs="Times New Roman"/>
        </w:rPr>
      </w:pPr>
      <w:r>
        <w:rPr>
          <w:rFonts w:cs="Times New Roman"/>
        </w:rPr>
        <w:t>主要来自于机械设备运行和基础开挖等活动，主要有挖掘机铲运、混凝土浇筑、机械振捣等，噪声源声级在85dB(A)左右，影响对象主要为现场施工人员。</w:t>
      </w:r>
    </w:p>
    <w:p>
      <w:pPr>
        <w:ind w:firstLine="480"/>
        <w:rPr>
          <w:rFonts w:cs="Times New Roman"/>
        </w:rPr>
      </w:pPr>
      <w:r>
        <w:rPr>
          <w:rFonts w:cs="Times New Roman"/>
        </w:rPr>
        <w:t>交通噪声</w:t>
      </w:r>
    </w:p>
    <w:p>
      <w:pPr>
        <w:ind w:firstLine="480"/>
        <w:rPr>
          <w:rFonts w:cs="Times New Roman"/>
        </w:rPr>
      </w:pPr>
      <w:r>
        <w:rPr>
          <w:rFonts w:cs="Times New Roman"/>
        </w:rPr>
        <w:t>施工区交通噪声源是重型载重汽车。其噪声高达82dB(A)～104dB(A)，声源呈线性分布，源强与行车速度和汽车流量密切相关。受交通噪声影响的对象为现场施工人员。</w:t>
      </w:r>
    </w:p>
    <w:p>
      <w:pPr>
        <w:ind w:firstLine="480"/>
        <w:rPr>
          <w:rFonts w:cs="Times New Roman"/>
        </w:rPr>
      </w:pPr>
      <w:r>
        <w:rPr>
          <w:rFonts w:cs="Times New Roman"/>
        </w:rPr>
        <w:t>（4）固体废物</w:t>
      </w:r>
    </w:p>
    <w:p>
      <w:pPr>
        <w:ind w:firstLine="480"/>
        <w:rPr>
          <w:rFonts w:cs="Times New Roman"/>
        </w:rPr>
      </w:pPr>
      <w:r>
        <w:rPr>
          <w:rFonts w:hint="eastAsia" w:ascii="宋体" w:hAnsi="宋体" w:cs="宋体"/>
        </w:rPr>
        <w:t>①</w:t>
      </w:r>
      <w:r>
        <w:rPr>
          <w:rFonts w:cs="Times New Roman"/>
        </w:rPr>
        <w:t>生产弃渣</w:t>
      </w:r>
    </w:p>
    <w:p>
      <w:pPr>
        <w:ind w:firstLine="480"/>
        <w:rPr>
          <w:rFonts w:cs="Times New Roman"/>
        </w:rPr>
      </w:pPr>
      <w:r>
        <w:rPr>
          <w:rFonts w:cs="Times New Roman"/>
        </w:rPr>
        <w:t>根据工程施工土石方挖填平衡计算，本工程共产生弃碴26.96万m</w:t>
      </w:r>
      <w:r>
        <w:rPr>
          <w:rFonts w:cs="Times New Roman"/>
          <w:vertAlign w:val="superscript"/>
        </w:rPr>
        <w:t>3</w:t>
      </w:r>
      <w:r>
        <w:rPr>
          <w:rFonts w:cs="Times New Roman"/>
        </w:rPr>
        <w:t>（松方）。根据主体工程施工特点和施工布置要求，初选2处弃渣场和3处临时利用料堆放场，弃渣场及利用堆放场概况详见表2.4-9。工程产生的弃渣，部分可用于料场覆坑，计划覆坑填埋17.87万m</w:t>
      </w:r>
      <w:r>
        <w:rPr>
          <w:rFonts w:cs="Times New Roman"/>
          <w:vertAlign w:val="superscript"/>
        </w:rPr>
        <w:t>3</w:t>
      </w:r>
      <w:r>
        <w:rPr>
          <w:rFonts w:cs="Times New Roman"/>
        </w:rPr>
        <w:t>（松方）弃渣，其余永久弃渣，为避免弃渣随意堆放造成水土流失，弃渣堆放于规划的永久弃渣场，并采取措施进行防护。</w:t>
      </w:r>
    </w:p>
    <w:p>
      <w:pPr>
        <w:ind w:firstLine="480"/>
        <w:rPr>
          <w:rFonts w:cs="Times New Roman"/>
        </w:rPr>
      </w:pPr>
      <w:r>
        <w:rPr>
          <w:rFonts w:cs="Times New Roman"/>
        </w:rPr>
        <w:t>各弃渣场和利用料堆放场占地均为荒漠草地，弃渣</w:t>
      </w:r>
      <w:r>
        <w:rPr>
          <w:rFonts w:hint="eastAsia" w:cs="Times New Roman"/>
          <w:lang w:eastAsia="zh-CN"/>
        </w:rPr>
        <w:t>将</w:t>
      </w:r>
      <w:r>
        <w:rPr>
          <w:rFonts w:cs="Times New Roman"/>
        </w:rPr>
        <w:t>改变原有土地利用性质，破坏地表植被。弃渣场和利用料堆放场部分为临河型渣场，松散的渣面在水力和风力作用下易造成水土流失，也易坍塌滑落入河，妨碍行洪、污染河水；此外，施工过程中产生的临时弃渣由于需要利用，很容易在施工时就地随意堆弃，成为水土流失的物源之一。弃渣二次倒运过程中也极易发生扬尘和沿途溢洒引起的水土流失。</w:t>
      </w:r>
    </w:p>
    <w:p>
      <w:pPr>
        <w:ind w:firstLine="480"/>
        <w:rPr>
          <w:rFonts w:cs="Times New Roman"/>
        </w:rPr>
      </w:pPr>
      <w:r>
        <w:rPr>
          <w:rFonts w:hint="eastAsia" w:ascii="宋体" w:hAnsi="宋体" w:cs="宋体"/>
        </w:rPr>
        <w:t>②</w:t>
      </w:r>
      <w:r>
        <w:rPr>
          <w:rFonts w:cs="Times New Roman"/>
        </w:rPr>
        <w:t>生活垃圾</w:t>
      </w:r>
    </w:p>
    <w:p>
      <w:pPr>
        <w:ind w:firstLine="480"/>
        <w:rPr>
          <w:rFonts w:cs="Times New Roman"/>
        </w:rPr>
      </w:pPr>
      <w:r>
        <w:rPr>
          <w:rFonts w:cs="Times New Roman"/>
        </w:rPr>
        <w:t>本工程施工期高峰人数为310人，以每人每天产生生活垃圾0.6kg～0.8kg计算，则施工高峰期生活垃圾的产生量约0.2t/d，整个施工期（有效施工期17个月）累计产生生活垃圾总量约44t。生活垃圾中富含有机物及病原菌，随意排放，不仅影响环境美观、污染空气，而且影响施工区清洁卫生，造成蚊蝇</w:t>
      </w:r>
      <w:r>
        <w:rPr>
          <w:rFonts w:hint="eastAsia" w:cs="Times New Roman"/>
          <w:lang w:eastAsia="zh-CN"/>
        </w:rPr>
        <w:t>滋生</w:t>
      </w:r>
      <w:r>
        <w:rPr>
          <w:rFonts w:cs="Times New Roman"/>
        </w:rPr>
        <w:t>，鼠类繁殖，导致疾病流行，威胁施工人员和附近居民身体健康。另外，区内施工人员的生活垃圾经雨水淋溶等原因</w:t>
      </w:r>
      <w:r>
        <w:rPr>
          <w:rFonts w:hint="eastAsia" w:cs="Times New Roman"/>
          <w:lang w:eastAsia="zh-CN"/>
        </w:rPr>
        <w:t>将</w:t>
      </w:r>
      <w:r>
        <w:rPr>
          <w:rFonts w:cs="Times New Roman"/>
        </w:rPr>
        <w:t>导致污染物进入代尔昆代郭勒河水体，对水质也</w:t>
      </w:r>
      <w:r>
        <w:rPr>
          <w:rFonts w:hint="eastAsia" w:cs="Times New Roman"/>
          <w:lang w:eastAsia="zh-CN"/>
        </w:rPr>
        <w:t>将</w:t>
      </w:r>
      <w:r>
        <w:rPr>
          <w:rFonts w:cs="Times New Roman"/>
        </w:rPr>
        <w:t>产生不利影响。因此，对生活垃圾应集中收集并采取相应的卫生处理措施。工程施工高峰期生活垃圾产生量情况见表3.4-7。</w:t>
      </w:r>
    </w:p>
    <w:p>
      <w:pPr>
        <w:pStyle w:val="137"/>
        <w:spacing w:before="62"/>
      </w:pPr>
      <w:r>
        <w:t>表3.4-7           代尔昆代水库施工高峰期生活垃圾产量表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1772"/>
        <w:gridCol w:w="2103"/>
        <w:gridCol w:w="1965"/>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6" w:type="pct"/>
            <w:vAlign w:val="center"/>
          </w:tcPr>
          <w:p>
            <w:pPr>
              <w:pStyle w:val="136"/>
            </w:pPr>
            <w:r>
              <w:t>名称</w:t>
            </w:r>
          </w:p>
        </w:tc>
        <w:tc>
          <w:tcPr>
            <w:tcW w:w="984" w:type="pct"/>
            <w:vAlign w:val="center"/>
          </w:tcPr>
          <w:p>
            <w:pPr>
              <w:pStyle w:val="136"/>
            </w:pPr>
            <w:r>
              <w:t>施工高峰期人数（人）</w:t>
            </w:r>
          </w:p>
        </w:tc>
        <w:tc>
          <w:tcPr>
            <w:tcW w:w="1168" w:type="pct"/>
            <w:vAlign w:val="center"/>
          </w:tcPr>
          <w:p>
            <w:pPr>
              <w:pStyle w:val="136"/>
            </w:pPr>
            <w:r>
              <w:t>垃圾产生量</w:t>
            </w:r>
          </w:p>
          <w:p>
            <w:pPr>
              <w:pStyle w:val="136"/>
            </w:pPr>
            <w:r>
              <w:t>（kg/人·d）</w:t>
            </w:r>
          </w:p>
        </w:tc>
        <w:tc>
          <w:tcPr>
            <w:tcW w:w="1091" w:type="pct"/>
            <w:vAlign w:val="center"/>
          </w:tcPr>
          <w:p>
            <w:pPr>
              <w:pStyle w:val="136"/>
            </w:pPr>
            <w:r>
              <w:t>高峰期生活垃圾量（t/d）</w:t>
            </w:r>
          </w:p>
        </w:tc>
        <w:tc>
          <w:tcPr>
            <w:tcW w:w="1091" w:type="pct"/>
            <w:vAlign w:val="center"/>
          </w:tcPr>
          <w:p>
            <w:pPr>
              <w:pStyle w:val="136"/>
            </w:pPr>
            <w:r>
              <w:t>生活垃圾排放总量（t）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Align w:val="center"/>
          </w:tcPr>
          <w:p>
            <w:pPr>
              <w:pStyle w:val="136"/>
            </w:pPr>
            <w:r>
              <w:t>施工生活区</w:t>
            </w:r>
          </w:p>
        </w:tc>
        <w:tc>
          <w:tcPr>
            <w:tcW w:w="984" w:type="pct"/>
            <w:vAlign w:val="center"/>
          </w:tcPr>
          <w:p>
            <w:pPr>
              <w:pStyle w:val="136"/>
            </w:pPr>
            <w:r>
              <w:t>310</w:t>
            </w:r>
          </w:p>
        </w:tc>
        <w:tc>
          <w:tcPr>
            <w:tcW w:w="1168" w:type="pct"/>
            <w:noWrap/>
            <w:vAlign w:val="center"/>
          </w:tcPr>
          <w:p>
            <w:pPr>
              <w:pStyle w:val="136"/>
            </w:pPr>
            <w:r>
              <w:t>0.8</w:t>
            </w:r>
          </w:p>
        </w:tc>
        <w:tc>
          <w:tcPr>
            <w:tcW w:w="1091" w:type="pct"/>
            <w:vAlign w:val="center"/>
          </w:tcPr>
          <w:p>
            <w:pPr>
              <w:pStyle w:val="136"/>
            </w:pPr>
            <w:r>
              <w:t>0.2</w:t>
            </w:r>
          </w:p>
        </w:tc>
        <w:tc>
          <w:tcPr>
            <w:tcW w:w="1091" w:type="pct"/>
            <w:vAlign w:val="center"/>
          </w:tcPr>
          <w:p>
            <w:pPr>
              <w:pStyle w:val="136"/>
            </w:pPr>
            <w:r>
              <w:t>44</w:t>
            </w:r>
          </w:p>
        </w:tc>
      </w:tr>
    </w:tbl>
    <w:p>
      <w:pPr>
        <w:ind w:firstLine="480"/>
        <w:rPr>
          <w:rFonts w:cs="Times New Roman"/>
        </w:rPr>
      </w:pPr>
    </w:p>
    <w:p>
      <w:pPr>
        <w:ind w:firstLine="480"/>
        <w:rPr>
          <w:rFonts w:cs="Times New Roman"/>
        </w:rPr>
      </w:pPr>
      <w:r>
        <w:rPr>
          <w:rFonts w:hint="eastAsia" w:ascii="宋体" w:hAnsi="宋体" w:cs="宋体"/>
        </w:rPr>
        <w:t>③</w:t>
      </w:r>
      <w:r>
        <w:rPr>
          <w:rFonts w:cs="Times New Roman"/>
        </w:rPr>
        <w:t>危险废物</w:t>
      </w:r>
    </w:p>
    <w:p>
      <w:pPr>
        <w:ind w:firstLine="480"/>
        <w:rPr>
          <w:rFonts w:cs="Times New Roman"/>
        </w:rPr>
      </w:pPr>
      <w:r>
        <w:rPr>
          <w:rFonts w:cs="Times New Roman"/>
        </w:rPr>
        <w:t>工程施工期</w:t>
      </w:r>
      <w:r>
        <w:rPr>
          <w:rFonts w:hint="eastAsia" w:cs="Times New Roman"/>
          <w:lang w:eastAsia="zh-CN"/>
        </w:rPr>
        <w:t>将</w:t>
      </w:r>
      <w:r>
        <w:rPr>
          <w:rFonts w:cs="Times New Roman"/>
        </w:rPr>
        <w:t>产生如废机油、废润滑油、废弃煤油、柴油、汽油及其他溶剂油等危险废物；乱堆乱弃</w:t>
      </w:r>
      <w:r>
        <w:rPr>
          <w:rFonts w:hint="eastAsia" w:cs="Times New Roman"/>
          <w:lang w:eastAsia="zh-CN"/>
        </w:rPr>
        <w:t>将</w:t>
      </w:r>
      <w:r>
        <w:rPr>
          <w:rFonts w:cs="Times New Roman"/>
        </w:rPr>
        <w:t>对土壤环境及地下水水质、河流水质产生不利影响，特别对土壤和地下水水质的污染长期难以恢复，需按照危废进行控制、加强管理。</w:t>
      </w:r>
    </w:p>
    <w:p>
      <w:pPr>
        <w:ind w:firstLine="480"/>
        <w:rPr>
          <w:rFonts w:cs="Times New Roman"/>
        </w:rPr>
      </w:pPr>
      <w:r>
        <w:rPr>
          <w:rFonts w:cs="Times New Roman"/>
        </w:rPr>
        <w:t>（5）施工人员健康影响分析</w:t>
      </w:r>
    </w:p>
    <w:p>
      <w:pPr>
        <w:ind w:firstLine="480"/>
        <w:rPr>
          <w:rFonts w:cs="Times New Roman"/>
        </w:rPr>
      </w:pPr>
      <w:r>
        <w:rPr>
          <w:rFonts w:cs="Times New Roman"/>
        </w:rPr>
        <w:t>代尔昆代水库工程高峰期施工人数310人，大量施工人员集中聚集，若卫生及生活条件差，卫生防疫工作跟不上，则极易为肠道传染病、呼吸道传染病的发生和流行创造条件，从而对施工人员健康产生影响。</w:t>
      </w:r>
    </w:p>
    <w:p>
      <w:pPr>
        <w:ind w:firstLine="480"/>
        <w:rPr>
          <w:rFonts w:cs="Times New Roman"/>
        </w:rPr>
      </w:pPr>
      <w:r>
        <w:rPr>
          <w:rFonts w:cs="Times New Roman"/>
        </w:rPr>
        <w:t>（6）土壤环境</w:t>
      </w:r>
    </w:p>
    <w:p>
      <w:pPr>
        <w:ind w:firstLine="480"/>
        <w:rPr>
          <w:rFonts w:cs="Times New Roman"/>
        </w:rPr>
      </w:pPr>
      <w:r>
        <w:rPr>
          <w:rFonts w:cs="Times New Roman"/>
        </w:rPr>
        <w:t>施工活动对土壤环境最直接的影响就是施工期各类施工机械的碾压和建筑物占压对土壤结构、肥力、物理性质破坏的影响。</w:t>
      </w:r>
    </w:p>
    <w:p>
      <w:pPr>
        <w:ind w:firstLine="480"/>
        <w:rPr>
          <w:rFonts w:cs="Times New Roman"/>
        </w:rPr>
      </w:pPr>
      <w:r>
        <w:rPr>
          <w:rFonts w:cs="Times New Roman"/>
        </w:rPr>
        <w:t>水库淹没及永久建筑物占压区</w:t>
      </w:r>
    </w:p>
    <w:p>
      <w:pPr>
        <w:ind w:firstLine="480"/>
        <w:rPr>
          <w:rFonts w:cs="Times New Roman"/>
        </w:rPr>
      </w:pPr>
      <w:r>
        <w:rPr>
          <w:rFonts w:cs="Times New Roman"/>
        </w:rPr>
        <w:t>工程水库淹没区、大坝、工程管理站及永久渣场等占地区，地表土壤在施工过程中彻底被占压覆盖，土壤性质永久改变不可恢复。工程水库淹没19.36hm</w:t>
      </w:r>
      <w:r>
        <w:rPr>
          <w:rFonts w:cs="Times New Roman"/>
          <w:vertAlign w:val="superscript"/>
        </w:rPr>
        <w:t>2</w:t>
      </w:r>
      <w:r>
        <w:rPr>
          <w:rFonts w:cs="Times New Roman"/>
        </w:rPr>
        <w:t>，永久占地30.58hm</w:t>
      </w:r>
      <w:r>
        <w:rPr>
          <w:rFonts w:cs="Times New Roman"/>
          <w:vertAlign w:val="superscript"/>
        </w:rPr>
        <w:t>2</w:t>
      </w:r>
      <w:r>
        <w:rPr>
          <w:rFonts w:cs="Times New Roman"/>
        </w:rPr>
        <w:t>，该部分区域内的土壤</w:t>
      </w:r>
      <w:r>
        <w:rPr>
          <w:rFonts w:hint="eastAsia" w:cs="Times New Roman"/>
          <w:lang w:eastAsia="zh-CN"/>
        </w:rPr>
        <w:t>将</w:t>
      </w:r>
      <w:r>
        <w:rPr>
          <w:rFonts w:cs="Times New Roman"/>
        </w:rPr>
        <w:t>被水域或永久建筑取代，土壤的生产能力完全丧失，土壤的结构和理化性质完全改变。</w:t>
      </w:r>
    </w:p>
    <w:p>
      <w:pPr>
        <w:ind w:firstLine="480"/>
        <w:rPr>
          <w:rFonts w:cs="Times New Roman"/>
        </w:rPr>
      </w:pPr>
      <w:r>
        <w:rPr>
          <w:rFonts w:cs="Times New Roman"/>
        </w:rPr>
        <w:t>临时占地及工程施工活动区域</w:t>
      </w:r>
    </w:p>
    <w:p>
      <w:pPr>
        <w:ind w:firstLine="480"/>
        <w:rPr>
          <w:rFonts w:cs="Times New Roman"/>
        </w:rPr>
      </w:pPr>
      <w:r>
        <w:rPr>
          <w:rFonts w:cs="Times New Roman"/>
        </w:rPr>
        <w:t>工程料场开采过程中，其表层无用层土壤</w:t>
      </w:r>
      <w:r>
        <w:rPr>
          <w:rFonts w:hint="eastAsia" w:cs="Times New Roman"/>
          <w:lang w:eastAsia="zh-CN"/>
        </w:rPr>
        <w:t>将</w:t>
      </w:r>
      <w:r>
        <w:rPr>
          <w:rFonts w:cs="Times New Roman"/>
        </w:rPr>
        <w:t>被逐步清除，暂时集中堆存在料场空地内，待取料结束后，回覆料坑。在这一过程中，表土层受到机械开挖扰动，土壤紧实度、通气性等物理性质都</w:t>
      </w:r>
      <w:r>
        <w:rPr>
          <w:rFonts w:hint="eastAsia" w:cs="Times New Roman"/>
          <w:lang w:eastAsia="zh-CN"/>
        </w:rPr>
        <w:t>将</w:t>
      </w:r>
      <w:r>
        <w:rPr>
          <w:rFonts w:cs="Times New Roman"/>
        </w:rPr>
        <w:t>受到影响，经历一段时间后，可逐渐恢复原有性质。因此，这部分土壤受到的影响是短期暂时的，不会造成永久不可逆的影响。其他施工临建设施占压及施工机械碾压，造成表层土壤结构、肥力、物理性质</w:t>
      </w:r>
      <w:r>
        <w:rPr>
          <w:rFonts w:hint="eastAsia" w:cs="Times New Roman"/>
          <w:lang w:eastAsia="zh-CN"/>
        </w:rPr>
        <w:t>将</w:t>
      </w:r>
      <w:r>
        <w:rPr>
          <w:rFonts w:cs="Times New Roman"/>
        </w:rPr>
        <w:t>被临时性破坏，需要较长时间才可恢复，若施工结束后配合恢复措施，则这一过程</w:t>
      </w:r>
      <w:r>
        <w:rPr>
          <w:rFonts w:hint="eastAsia" w:cs="Times New Roman"/>
          <w:lang w:eastAsia="zh-CN"/>
        </w:rPr>
        <w:t>将</w:t>
      </w:r>
      <w:r>
        <w:rPr>
          <w:rFonts w:cs="Times New Roman"/>
        </w:rPr>
        <w:t>被缩短。</w:t>
      </w:r>
    </w:p>
    <w:p>
      <w:pPr>
        <w:ind w:firstLine="480"/>
        <w:rPr>
          <w:rFonts w:cs="Times New Roman"/>
        </w:rPr>
      </w:pPr>
      <w:r>
        <w:rPr>
          <w:rFonts w:cs="Times New Roman"/>
        </w:rPr>
        <w:t>（7）社会环境</w:t>
      </w:r>
    </w:p>
    <w:p>
      <w:pPr>
        <w:ind w:firstLine="480"/>
        <w:rPr>
          <w:rFonts w:cs="Times New Roman"/>
        </w:rPr>
      </w:pPr>
      <w:r>
        <w:rPr>
          <w:rFonts w:hint="eastAsia" w:ascii="宋体" w:hAnsi="宋体" w:cs="宋体"/>
        </w:rPr>
        <w:t>①</w:t>
      </w:r>
      <w:r>
        <w:rPr>
          <w:rFonts w:cs="Times New Roman"/>
        </w:rPr>
        <w:t>水库初期蓄水对下游的影响</w:t>
      </w:r>
    </w:p>
    <w:p>
      <w:pPr>
        <w:ind w:firstLine="480"/>
        <w:rPr>
          <w:rFonts w:cs="Times New Roman"/>
        </w:rPr>
      </w:pPr>
      <w:r>
        <w:rPr>
          <w:rFonts w:cs="Times New Roman"/>
        </w:rPr>
        <w:t>本工程计划下闸蓄水时间施工期第三年9月初下闸蓄水，蓄水期间需保证生态流量的下泄。</w:t>
      </w:r>
    </w:p>
    <w:p>
      <w:pPr>
        <w:ind w:firstLine="480"/>
        <w:rPr>
          <w:rFonts w:cs="Times New Roman"/>
        </w:rPr>
      </w:pPr>
      <w:r>
        <w:rPr>
          <w:rFonts w:hint="eastAsia" w:ascii="宋体" w:hAnsi="宋体" w:cs="宋体"/>
        </w:rPr>
        <w:t>②</w:t>
      </w:r>
      <w:r>
        <w:rPr>
          <w:rFonts w:cs="Times New Roman"/>
        </w:rPr>
        <w:t>对当地就业的影响</w:t>
      </w:r>
    </w:p>
    <w:p>
      <w:pPr>
        <w:ind w:firstLine="480"/>
        <w:rPr>
          <w:rFonts w:cs="Times New Roman"/>
        </w:rPr>
      </w:pPr>
      <w:r>
        <w:rPr>
          <w:rFonts w:cs="Times New Roman"/>
        </w:rPr>
        <w:t>工程施工高峰期施工人员约310人，需大量劳动力，除专业技术工人外，其余部分劳动力可从当地招募，通过短期培训上岗。这</w:t>
      </w:r>
      <w:r>
        <w:rPr>
          <w:rFonts w:hint="eastAsia" w:cs="Times New Roman"/>
          <w:lang w:eastAsia="zh-CN"/>
        </w:rPr>
        <w:t>将</w:t>
      </w:r>
      <w:r>
        <w:rPr>
          <w:rFonts w:cs="Times New Roman"/>
        </w:rPr>
        <w:t>为当地增加众多短期就业岗位，增加当地居民收入。</w:t>
      </w:r>
    </w:p>
    <w:p>
      <w:pPr>
        <w:ind w:firstLine="480"/>
        <w:rPr>
          <w:rFonts w:cs="Times New Roman"/>
        </w:rPr>
      </w:pPr>
      <w:r>
        <w:rPr>
          <w:rFonts w:hint="eastAsia" w:ascii="宋体" w:hAnsi="宋体" w:cs="宋体"/>
        </w:rPr>
        <w:t>③</w:t>
      </w:r>
      <w:r>
        <w:rPr>
          <w:rFonts w:cs="Times New Roman"/>
        </w:rPr>
        <w:t>对当地交通影响</w:t>
      </w:r>
    </w:p>
    <w:p>
      <w:pPr>
        <w:ind w:firstLine="480"/>
        <w:rPr>
          <w:rFonts w:cs="Times New Roman"/>
        </w:rPr>
      </w:pPr>
      <w:r>
        <w:rPr>
          <w:rFonts w:cs="Times New Roman"/>
        </w:rPr>
        <w:t>根据施工场内、外交通设计，本工程施工期间对外交通主要依托现有高速G7、省道303和乡镇道路。施工高峰期车流量增加，可能造成部分时段上述道路、特别是通行能力有限的县乡集镇道路交通拥堵，给当地居民出行、生产和生活带来一定影响。</w:t>
      </w:r>
    </w:p>
    <w:p>
      <w:pPr>
        <w:pStyle w:val="4"/>
        <w:rPr>
          <w:rFonts w:cs="Times New Roman"/>
        </w:rPr>
      </w:pPr>
      <w:r>
        <w:rPr>
          <w:rFonts w:cs="Times New Roman"/>
        </w:rPr>
        <w:t>3.4.2 工程占地</w:t>
      </w:r>
    </w:p>
    <w:p>
      <w:pPr>
        <w:ind w:firstLine="480"/>
        <w:rPr>
          <w:rFonts w:cs="Times New Roman"/>
        </w:rPr>
      </w:pPr>
      <w:r>
        <w:rPr>
          <w:rFonts w:cs="Times New Roman"/>
        </w:rPr>
        <w:t>工程占地的影响主要体现在生态方面，本工程总占地面积为46.13hm</w:t>
      </w:r>
      <w:r>
        <w:rPr>
          <w:rFonts w:cs="Times New Roman"/>
          <w:vertAlign w:val="superscript"/>
        </w:rPr>
        <w:t>2</w:t>
      </w:r>
      <w:r>
        <w:rPr>
          <w:rFonts w:cs="Times New Roman"/>
        </w:rPr>
        <w:t>，其中永久占地30.58hm</w:t>
      </w:r>
      <w:r>
        <w:rPr>
          <w:rFonts w:cs="Times New Roman"/>
          <w:vertAlign w:val="superscript"/>
        </w:rPr>
        <w:t>2</w:t>
      </w:r>
      <w:r>
        <w:rPr>
          <w:rFonts w:cs="Times New Roman"/>
        </w:rPr>
        <w:t>，临时占地15.55hm</w:t>
      </w:r>
      <w:r>
        <w:rPr>
          <w:rFonts w:cs="Times New Roman"/>
          <w:vertAlign w:val="superscript"/>
        </w:rPr>
        <w:t>2</w:t>
      </w:r>
      <w:r>
        <w:rPr>
          <w:rFonts w:cs="Times New Roman"/>
        </w:rPr>
        <w:t>，全部为荒漠草场。</w:t>
      </w:r>
    </w:p>
    <w:p>
      <w:pPr>
        <w:ind w:firstLine="480"/>
        <w:rPr>
          <w:rFonts w:cs="Times New Roman"/>
        </w:rPr>
      </w:pPr>
      <w:r>
        <w:rPr>
          <w:rFonts w:cs="Times New Roman"/>
        </w:rPr>
        <w:t>首先，本工程建设不占用基本农田，不涉及各类自然保护地及生态保护红线、饮用水源保护区，占用的荒漠草场均按国家补偿标准计列补偿费用。工程永久征收荒漠草场30.58hm</w:t>
      </w:r>
      <w:r>
        <w:rPr>
          <w:rFonts w:cs="Times New Roman"/>
          <w:vertAlign w:val="superscript"/>
        </w:rPr>
        <w:t>2</w:t>
      </w:r>
      <w:r>
        <w:rPr>
          <w:rFonts w:cs="Times New Roman"/>
        </w:rPr>
        <w:t>（其中含废弃羊圈一处，占地面积300m</w:t>
      </w:r>
      <w:r>
        <w:rPr>
          <w:rFonts w:cs="Times New Roman"/>
          <w:vertAlign w:val="superscript"/>
        </w:rPr>
        <w:t>2</w:t>
      </w:r>
      <w:r>
        <w:rPr>
          <w:rFonts w:cs="Times New Roman"/>
        </w:rPr>
        <w:t>），产生一定的生物量永久损失；临时征用荒漠草场15.55hm</w:t>
      </w:r>
      <w:r>
        <w:rPr>
          <w:rFonts w:cs="Times New Roman"/>
          <w:vertAlign w:val="superscript"/>
        </w:rPr>
        <w:t>2</w:t>
      </w:r>
      <w:r>
        <w:rPr>
          <w:rFonts w:cs="Times New Roman"/>
        </w:rPr>
        <w:t>，也</w:t>
      </w:r>
      <w:r>
        <w:rPr>
          <w:rFonts w:hint="eastAsia" w:cs="Times New Roman"/>
          <w:lang w:eastAsia="zh-CN"/>
        </w:rPr>
        <w:t>将</w:t>
      </w:r>
      <w:r>
        <w:rPr>
          <w:rFonts w:cs="Times New Roman"/>
        </w:rPr>
        <w:t>造成这些土地在施工期内生产能力丧失，损失一定生物量，但施工结束后，通过采取植被恢复措施可逐步减缓影响。</w:t>
      </w:r>
    </w:p>
    <w:p>
      <w:pPr>
        <w:ind w:firstLine="480"/>
        <w:rPr>
          <w:rFonts w:cs="Times New Roman"/>
        </w:rPr>
      </w:pPr>
      <w:r>
        <w:rPr>
          <w:rFonts w:cs="Times New Roman"/>
        </w:rPr>
        <w:t>其次，对土壤环境而言，工程建设占地最直接的影响就是施工期各类施工活动和占地对土壤结构、肥力、物理性质破坏的影响；对地表植被而言，存在对占用土地植被的一次性破坏；在占地类型上，永久占地</w:t>
      </w:r>
      <w:r>
        <w:rPr>
          <w:rFonts w:hint="eastAsia" w:cs="Times New Roman"/>
          <w:lang w:eastAsia="zh-CN"/>
        </w:rPr>
        <w:t>将</w:t>
      </w:r>
      <w:r>
        <w:rPr>
          <w:rFonts w:cs="Times New Roman"/>
        </w:rPr>
        <w:t>使局部范围内的原有植被和土壤环境彻底丧失或严重受损；临时占地区在停止使用后，可逐步得到恢复。</w:t>
      </w:r>
    </w:p>
    <w:p>
      <w:pPr>
        <w:pStyle w:val="4"/>
        <w:rPr>
          <w:rFonts w:cs="Times New Roman"/>
        </w:rPr>
      </w:pPr>
      <w:r>
        <w:rPr>
          <w:rFonts w:cs="Times New Roman"/>
        </w:rPr>
        <w:t>3.4.3 工程运行</w:t>
      </w:r>
    </w:p>
    <w:p>
      <w:pPr>
        <w:ind w:firstLine="480"/>
        <w:rPr>
          <w:rFonts w:cs="Times New Roman"/>
        </w:rPr>
      </w:pPr>
      <w:r>
        <w:rPr>
          <w:rFonts w:cs="Times New Roman"/>
        </w:rPr>
        <w:t>代尔昆代水库作为代尔昆代郭勒河流域的控制性调蓄工程，工程任务为灌溉季节4～10月向淖毛湖区域10万居民及3万流动人口及6.3万头牲畜的人畜饮水、0.47万亩公益林灌溉进行补水。</w:t>
      </w:r>
    </w:p>
    <w:p>
      <w:pPr>
        <w:ind w:firstLine="480"/>
        <w:rPr>
          <w:rFonts w:cs="Times New Roman"/>
        </w:rPr>
      </w:pPr>
      <w:r>
        <w:rPr>
          <w:rFonts w:cs="Times New Roman"/>
        </w:rPr>
        <w:t>工程主要由拦河坝、导流洞、溢流表孔等建筑物组成，工程运行期产生的环境影响主要表现为：代尔昆代水库作为供水水源，工程建成后，</w:t>
      </w:r>
      <w:r>
        <w:rPr>
          <w:rFonts w:hint="eastAsia" w:cs="Times New Roman"/>
          <w:lang w:eastAsia="zh-CN"/>
        </w:rPr>
        <w:t>将</w:t>
      </w:r>
      <w:r>
        <w:rPr>
          <w:rFonts w:cs="Times New Roman"/>
        </w:rPr>
        <w:t>改变代尔昆代郭勒河自身及淖毛湖地区水资源配置：水库调蓄及供水</w:t>
      </w:r>
      <w:r>
        <w:rPr>
          <w:rFonts w:hint="eastAsia" w:cs="Times New Roman"/>
          <w:lang w:eastAsia="zh-CN"/>
        </w:rPr>
        <w:t>将</w:t>
      </w:r>
      <w:r>
        <w:rPr>
          <w:rFonts w:cs="Times New Roman"/>
        </w:rPr>
        <w:t>引发代尔昆代郭勒河水文情势的变化，由此引发下游河道水环境、生态环境及地下水变化；此外，工程占地等</w:t>
      </w:r>
      <w:r>
        <w:rPr>
          <w:rFonts w:hint="eastAsia" w:cs="Times New Roman"/>
          <w:lang w:eastAsia="zh-CN"/>
        </w:rPr>
        <w:t>将</w:t>
      </w:r>
      <w:r>
        <w:rPr>
          <w:rFonts w:cs="Times New Roman"/>
        </w:rPr>
        <w:t>引起工程区土地利用格局变化以及由此引发的生态系统变化；防洪标准、灌溉保证率提高，有利于伊吾县社会经济发展，利于社会稳定。</w:t>
      </w:r>
    </w:p>
    <w:p>
      <w:pPr>
        <w:ind w:firstLine="480"/>
        <w:rPr>
          <w:rFonts w:cs="Times New Roman"/>
        </w:rPr>
      </w:pPr>
      <w:r>
        <w:rPr>
          <w:rFonts w:cs="Times New Roman"/>
        </w:rPr>
        <w:t>经分析，上述影响可归纳为：对区域水资源配置的影响、对水文情势的影响、对地表水环境的影响、对地下水环境的影响、对生态环境的影响、对社会环境的影响等方面。</w:t>
      </w:r>
    </w:p>
    <w:p>
      <w:pPr>
        <w:pStyle w:val="62"/>
        <w:rPr>
          <w:rFonts w:cs="Times New Roman"/>
        </w:rPr>
      </w:pPr>
      <w:r>
        <w:rPr>
          <w:rFonts w:cs="Times New Roman"/>
        </w:rPr>
        <w:t>3.4.3.1 对区域水资源配置的影响</w:t>
      </w:r>
    </w:p>
    <w:p>
      <w:pPr>
        <w:ind w:firstLine="480"/>
        <w:rPr>
          <w:rFonts w:cs="Times New Roman"/>
        </w:rPr>
      </w:pPr>
      <w:r>
        <w:rPr>
          <w:rFonts w:cs="Times New Roman"/>
        </w:rPr>
        <w:t>代尔昆代水库作为代尔昆代郭勒河流域的控制性调蓄工程，工程任务为灌溉季节4～10月向淖毛湖区域10万居民及3万流动人口及6.3万头牲畜的人畜饮水、0.47万亩公益林灌溉进行补水，设计年供水量359.57万m</w:t>
      </w:r>
      <w:r>
        <w:rPr>
          <w:rFonts w:cs="Times New Roman"/>
          <w:vertAlign w:val="superscript"/>
        </w:rPr>
        <w:t>3</w:t>
      </w:r>
      <w:r>
        <w:rPr>
          <w:rFonts w:cs="Times New Roman"/>
        </w:rPr>
        <w:t>，其中5～9月向人畜供水218万m</w:t>
      </w:r>
      <w:r>
        <w:rPr>
          <w:rFonts w:cs="Times New Roman"/>
          <w:vertAlign w:val="superscript"/>
        </w:rPr>
        <w:t>3</w:t>
      </w:r>
      <w:r>
        <w:rPr>
          <w:rFonts w:cs="Times New Roman"/>
        </w:rPr>
        <w:t>，每月供水43.6万m</w:t>
      </w:r>
      <w:r>
        <w:rPr>
          <w:rFonts w:cs="Times New Roman"/>
          <w:vertAlign w:val="superscript"/>
        </w:rPr>
        <w:t>3</w:t>
      </w:r>
      <w:r>
        <w:rPr>
          <w:rFonts w:cs="Times New Roman"/>
        </w:rPr>
        <w:t>；4～9月向0.47万亩公益林灌溉供水141.57万m</w:t>
      </w:r>
      <w:r>
        <w:rPr>
          <w:rFonts w:cs="Times New Roman"/>
          <w:vertAlign w:val="superscript"/>
        </w:rPr>
        <w:t>3</w:t>
      </w:r>
      <w:r>
        <w:rPr>
          <w:rFonts w:cs="Times New Roman"/>
        </w:rPr>
        <w:t>。</w:t>
      </w:r>
    </w:p>
    <w:p>
      <w:pPr>
        <w:ind w:firstLine="480"/>
        <w:rPr>
          <w:rFonts w:cs="Times New Roman"/>
        </w:rPr>
      </w:pPr>
      <w:r>
        <w:rPr>
          <w:rFonts w:cs="Times New Roman"/>
        </w:rPr>
        <w:t>代尔昆代水库建成后，向淖毛湖地区人畜、公益林供水量，</w:t>
      </w:r>
      <w:r>
        <w:rPr>
          <w:rFonts w:hint="eastAsia" w:cs="Times New Roman"/>
          <w:lang w:eastAsia="zh-CN"/>
        </w:rPr>
        <w:t>将</w:t>
      </w:r>
      <w:r>
        <w:rPr>
          <w:rFonts w:cs="Times New Roman"/>
        </w:rPr>
        <w:t>缓解淖毛湖地区水资源供需矛盾，可降低该区域地下水开采量，缓解灌溉季节缺水量。</w:t>
      </w:r>
    </w:p>
    <w:p>
      <w:pPr>
        <w:ind w:firstLine="480"/>
        <w:rPr>
          <w:rFonts w:cs="Times New Roman"/>
        </w:rPr>
      </w:pPr>
      <w:r>
        <w:rPr>
          <w:rFonts w:cs="Times New Roman"/>
        </w:rPr>
        <w:t>代尔昆代郭勒河现状无地表资源开发利用，也无水利水电工程建设。设计水平年代尔昆代郭勒河自身仍无农业、工业等社会经济供水要求，在保证河流自身生态水量的前提下，代尔昆代水库向淖毛湖地区供水后，代尔昆代郭勒河自身水资源利用水平升高，河道下泄水量减少。</w:t>
      </w:r>
    </w:p>
    <w:p>
      <w:pPr>
        <w:ind w:firstLine="480"/>
        <w:rPr>
          <w:rFonts w:cs="Times New Roman"/>
          <w:lang w:val="zh-CN"/>
        </w:rPr>
      </w:pPr>
      <w:r>
        <w:rPr>
          <w:rFonts w:cs="Times New Roman"/>
          <w:lang w:val="zh-CN"/>
        </w:rPr>
        <w:t>综上，本次评价</w:t>
      </w:r>
      <w:r>
        <w:rPr>
          <w:rFonts w:hint="eastAsia" w:cs="Times New Roman"/>
          <w:lang w:val="zh-CN"/>
        </w:rPr>
        <w:t>将</w:t>
      </w:r>
      <w:r>
        <w:rPr>
          <w:rFonts w:cs="Times New Roman"/>
          <w:lang w:val="zh-CN"/>
        </w:rPr>
        <w:t>分析，代尔昆代水库向淖毛湖地区供水后，该地区水资源供需平衡变化，同时重点分析代尔昆代郭勒河自身水资源利用程度变化。</w:t>
      </w:r>
    </w:p>
    <w:p>
      <w:pPr>
        <w:pStyle w:val="62"/>
        <w:rPr>
          <w:rFonts w:cs="Times New Roman"/>
        </w:rPr>
      </w:pPr>
      <w:r>
        <w:rPr>
          <w:rFonts w:cs="Times New Roman"/>
        </w:rPr>
        <w:t>3.4.3.2 对水文情势的影响</w:t>
      </w:r>
    </w:p>
    <w:p>
      <w:pPr>
        <w:ind w:firstLine="480"/>
        <w:rPr>
          <w:rFonts w:cs="Times New Roman"/>
        </w:rPr>
      </w:pPr>
      <w:r>
        <w:rPr>
          <w:rFonts w:cs="Times New Roman"/>
        </w:rPr>
        <w:t>（1）代尔昆代水库库区</w:t>
      </w:r>
    </w:p>
    <w:p>
      <w:pPr>
        <w:ind w:firstLine="480"/>
        <w:rPr>
          <w:rFonts w:cs="Times New Roman"/>
        </w:rPr>
      </w:pPr>
      <w:r>
        <w:rPr>
          <w:rFonts w:cs="Times New Roman"/>
        </w:rPr>
        <w:t>工程建成后，代尔昆代水库库区河段</w:t>
      </w:r>
      <w:r>
        <w:rPr>
          <w:rFonts w:hint="eastAsia" w:cs="Times New Roman"/>
          <w:lang w:eastAsia="zh-CN"/>
        </w:rPr>
        <w:t>将</w:t>
      </w:r>
      <w:r>
        <w:rPr>
          <w:rFonts w:cs="Times New Roman"/>
        </w:rPr>
        <w:t>由河流形态转变成水库形态，库区河段水位、水面积、流速等</w:t>
      </w:r>
      <w:r>
        <w:rPr>
          <w:rFonts w:hint="eastAsia" w:cs="Times New Roman"/>
          <w:lang w:eastAsia="zh-CN"/>
        </w:rPr>
        <w:t>将</w:t>
      </w:r>
      <w:r>
        <w:rPr>
          <w:rFonts w:cs="Times New Roman"/>
        </w:rPr>
        <w:t>发生相应变化。</w:t>
      </w:r>
    </w:p>
    <w:p>
      <w:pPr>
        <w:ind w:firstLine="480"/>
        <w:rPr>
          <w:rFonts w:cs="Times New Roman"/>
        </w:rPr>
      </w:pPr>
      <w:r>
        <w:rPr>
          <w:rFonts w:cs="Times New Roman"/>
        </w:rPr>
        <w:t>（2）代尔昆代水库坝址以下河段</w:t>
      </w:r>
    </w:p>
    <w:p>
      <w:pPr>
        <w:ind w:firstLine="480"/>
        <w:rPr>
          <w:rFonts w:cs="Times New Roman"/>
        </w:rPr>
      </w:pPr>
      <w:r>
        <w:rPr>
          <w:rFonts w:hint="eastAsia" w:ascii="宋体" w:hAnsi="宋体" w:cs="宋体"/>
        </w:rPr>
        <w:t>①</w:t>
      </w:r>
      <w:r>
        <w:rPr>
          <w:rFonts w:cs="Times New Roman"/>
        </w:rPr>
        <w:t>初期蓄水</w:t>
      </w:r>
    </w:p>
    <w:p>
      <w:pPr>
        <w:ind w:firstLine="480"/>
        <w:rPr>
          <w:rFonts w:cs="Times New Roman"/>
        </w:rPr>
      </w:pPr>
      <w:r>
        <w:rPr>
          <w:rFonts w:cs="Times New Roman"/>
        </w:rPr>
        <w:t>根据施工进度安排，代尔昆代水库拟于施工期第三年09月01日开始下闸蓄水，按照95%来水保证率来水条件下计算，水库自9月1日下闸至本年9月24日即可蓄至死水位1960.0m，次年4月30日蓄水到1981.24m，共计242天。</w:t>
      </w:r>
    </w:p>
    <w:p>
      <w:pPr>
        <w:ind w:firstLine="480"/>
        <w:rPr>
          <w:rFonts w:cs="Times New Roman"/>
        </w:rPr>
      </w:pPr>
      <w:r>
        <w:rPr>
          <w:rFonts w:cs="Times New Roman"/>
        </w:rPr>
        <w:t>代尔昆代水库初期蓄水期间，水库坝址断面下泄水量</w:t>
      </w:r>
      <w:r>
        <w:rPr>
          <w:rFonts w:hint="eastAsia" w:cs="Times New Roman"/>
          <w:lang w:eastAsia="zh-CN"/>
        </w:rPr>
        <w:t>将</w:t>
      </w:r>
      <w:r>
        <w:rPr>
          <w:rFonts w:cs="Times New Roman"/>
        </w:rPr>
        <w:t>减少，因此，本次评价</w:t>
      </w:r>
      <w:r>
        <w:rPr>
          <w:rFonts w:hint="eastAsia" w:cs="Times New Roman"/>
          <w:lang w:eastAsia="zh-CN"/>
        </w:rPr>
        <w:t>将</w:t>
      </w:r>
      <w:r>
        <w:rPr>
          <w:rFonts w:cs="Times New Roman"/>
        </w:rPr>
        <w:t>对比天然状况，分析水库坝址断面下泄水量变化以及生态流量满足情况。</w:t>
      </w:r>
    </w:p>
    <w:p>
      <w:pPr>
        <w:ind w:firstLine="480"/>
        <w:rPr>
          <w:rFonts w:cs="Times New Roman"/>
        </w:rPr>
      </w:pPr>
      <w:r>
        <w:rPr>
          <w:rFonts w:hint="eastAsia" w:ascii="宋体" w:hAnsi="宋体" w:cs="宋体"/>
        </w:rPr>
        <w:t>②</w:t>
      </w:r>
      <w:r>
        <w:rPr>
          <w:rFonts w:cs="Times New Roman"/>
        </w:rPr>
        <w:t>运行期</w:t>
      </w:r>
    </w:p>
    <w:p>
      <w:pPr>
        <w:ind w:firstLine="480"/>
        <w:rPr>
          <w:rFonts w:cs="Times New Roman"/>
        </w:rPr>
      </w:pPr>
      <w:r>
        <w:rPr>
          <w:rFonts w:cs="Times New Roman"/>
        </w:rPr>
        <w:t>A.不同来水频率下的水文情势变化</w:t>
      </w:r>
    </w:p>
    <w:p>
      <w:pPr>
        <w:ind w:firstLine="480"/>
        <w:rPr>
          <w:rFonts w:cs="Times New Roman"/>
        </w:rPr>
      </w:pPr>
      <w:r>
        <w:rPr>
          <w:rFonts w:cs="Times New Roman"/>
        </w:rPr>
        <w:t>代尔昆代水库坝址位于代尔昆代郭勒河出山口以上约6.5km处，坝址断面年均径流量834万m</w:t>
      </w:r>
      <w:r>
        <w:rPr>
          <w:rFonts w:cs="Times New Roman"/>
          <w:vertAlign w:val="superscript"/>
        </w:rPr>
        <w:t>3</w:t>
      </w:r>
      <w:r>
        <w:rPr>
          <w:rFonts w:cs="Times New Roman"/>
        </w:rPr>
        <w:t>、年均流量0.26m</w:t>
      </w:r>
      <w:r>
        <w:rPr>
          <w:rFonts w:cs="Times New Roman"/>
          <w:vertAlign w:val="superscript"/>
        </w:rPr>
        <w:t>3</w:t>
      </w:r>
      <w:r>
        <w:rPr>
          <w:rFonts w:cs="Times New Roman"/>
        </w:rPr>
        <w:t>/s；河流水量小且不稳定，加之河床下渗严重，山区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w:t>
      </w:r>
    </w:p>
    <w:p>
      <w:pPr>
        <w:ind w:firstLine="480"/>
        <w:rPr>
          <w:rFonts w:cs="Times New Roman"/>
        </w:rPr>
      </w:pPr>
      <w:r>
        <w:rPr>
          <w:rFonts w:cs="Times New Roman"/>
        </w:rPr>
        <w:t>综合上述分析，结合现场调查，代尔昆代水库坝址断面存在地表明流主要集中在6、7、8月，其他月份坝址断面基本均无地表明流，仅在发生融雪或暴雨天气时，可能形成短期地表明流。</w:t>
      </w:r>
    </w:p>
    <w:p>
      <w:pPr>
        <w:ind w:firstLine="480"/>
        <w:rPr>
          <w:rFonts w:cs="Times New Roman"/>
        </w:rPr>
      </w:pPr>
      <w:r>
        <w:rPr>
          <w:rFonts w:cs="Times New Roman"/>
        </w:rPr>
        <w:t>结合上述分析，代尔昆代水库具有年调节性能，工程建成后，受控于水库调蓄及供水，坝址下泄水量减少；考虑到代尔昆代郭勒河河道径流特性，加之无鱼类等保护目标分布，水库下游也无地表水资源利用需求，因此，本次评价仅分析代尔昆代水库坝址断面下泄水量的变化，不</w:t>
      </w:r>
      <w:r>
        <w:rPr>
          <w:rFonts w:hint="eastAsia" w:cs="Times New Roman"/>
          <w:lang w:eastAsia="zh-CN"/>
        </w:rPr>
        <w:t>再</w:t>
      </w:r>
      <w:r>
        <w:rPr>
          <w:rFonts w:cs="Times New Roman"/>
        </w:rPr>
        <w:t>分析水动力参数变化。</w:t>
      </w:r>
    </w:p>
    <w:p>
      <w:pPr>
        <w:ind w:firstLine="480"/>
        <w:rPr>
          <w:rFonts w:cs="Times New Roman"/>
        </w:rPr>
      </w:pPr>
      <w:r>
        <w:rPr>
          <w:rFonts w:cs="Times New Roman"/>
        </w:rPr>
        <w:t>B.洪水期水文情势变化</w:t>
      </w:r>
    </w:p>
    <w:p>
      <w:pPr>
        <w:ind w:firstLine="480"/>
        <w:rPr>
          <w:rFonts w:cs="Times New Roman"/>
          <w:lang w:val="zh-CN"/>
        </w:rPr>
      </w:pPr>
      <w:r>
        <w:rPr>
          <w:rFonts w:cs="Times New Roman"/>
          <w:lang w:val="zh-CN"/>
        </w:rPr>
        <w:t>代尔昆代水库无防洪任务，水库仅从自身大坝安全角度进行洪水调峰运用。水库对洪水调度的起调水位为正常蓄水位1981.85m，</w:t>
      </w:r>
      <w:r>
        <w:rPr>
          <w:rFonts w:hint="eastAsia" w:cs="Times New Roman"/>
          <w:lang w:val="zh-CN"/>
        </w:rPr>
        <w:t>将</w:t>
      </w:r>
      <w:r>
        <w:rPr>
          <w:rFonts w:cs="Times New Roman"/>
          <w:lang w:val="zh-CN"/>
        </w:rPr>
        <w:t>会对设计、校核设计标准洪水进行削峰，从而改变下游汛期洪水的洪峰、洪量。</w:t>
      </w:r>
    </w:p>
    <w:p>
      <w:pPr>
        <w:ind w:firstLine="480"/>
        <w:rPr>
          <w:rFonts w:cs="Times New Roman"/>
          <w:lang w:val="zh-CN"/>
        </w:rPr>
      </w:pPr>
      <w:r>
        <w:rPr>
          <w:rFonts w:cs="Times New Roman"/>
          <w:lang w:val="zh-CN"/>
        </w:rPr>
        <w:t>C.泥沙情势变化</w:t>
      </w:r>
    </w:p>
    <w:p>
      <w:pPr>
        <w:ind w:firstLine="480"/>
        <w:rPr>
          <w:rFonts w:cs="Times New Roman"/>
        </w:rPr>
      </w:pPr>
      <w:r>
        <w:rPr>
          <w:rFonts w:cs="Times New Roman"/>
        </w:rPr>
        <w:t>工程建成后，由于水库拦沙作用致使河流泥沙淤积在水库内，致使水库库区的地形、水库库容等发生变化，本次评价</w:t>
      </w:r>
      <w:r>
        <w:rPr>
          <w:rFonts w:hint="eastAsia" w:cs="Times New Roman"/>
          <w:lang w:eastAsia="zh-CN"/>
        </w:rPr>
        <w:t>将</w:t>
      </w:r>
      <w:r>
        <w:rPr>
          <w:rFonts w:cs="Times New Roman"/>
        </w:rPr>
        <w:t>从库区泥沙淤积形态以及水库库容变化等方面，分析水库建成后对河流泥沙情势的影响。</w:t>
      </w:r>
    </w:p>
    <w:p>
      <w:pPr>
        <w:pStyle w:val="62"/>
        <w:rPr>
          <w:rFonts w:cs="Times New Roman"/>
        </w:rPr>
      </w:pPr>
      <w:r>
        <w:fldChar w:fldCharType="begin"/>
      </w:r>
      <w:r>
        <w:instrText xml:space="preserve"> HYPERLINK \l "_Toc126665909" </w:instrText>
      </w:r>
      <w:r>
        <w:fldChar w:fldCharType="separate"/>
      </w:r>
      <w:r>
        <w:rPr>
          <w:rStyle w:val="44"/>
          <w:rFonts w:cs="Times New Roman"/>
          <w:bCs w:val="0"/>
        </w:rPr>
        <w:t>3.4.3.3 对地表水环境的影响</w:t>
      </w:r>
      <w:r>
        <w:rPr>
          <w:rStyle w:val="44"/>
          <w:rFonts w:cs="Times New Roman"/>
          <w:bCs w:val="0"/>
        </w:rPr>
        <w:fldChar w:fldCharType="end"/>
      </w:r>
    </w:p>
    <w:p>
      <w:pPr>
        <w:ind w:firstLine="480"/>
        <w:rPr>
          <w:rFonts w:cs="Times New Roman"/>
        </w:rPr>
      </w:pPr>
      <w:r>
        <w:rPr>
          <w:rFonts w:cs="Times New Roman"/>
        </w:rPr>
        <w:t>（1）对水温的影响</w:t>
      </w:r>
    </w:p>
    <w:p>
      <w:pPr>
        <w:ind w:firstLine="480"/>
        <w:rPr>
          <w:rFonts w:cs="Times New Roman"/>
        </w:rPr>
      </w:pPr>
      <w:r>
        <w:rPr>
          <w:rFonts w:cs="Times New Roman"/>
        </w:rPr>
        <w:t>采用以下判别水库水温结构。</w:t>
      </w:r>
    </w:p>
    <w:p>
      <w:pPr>
        <w:ind w:firstLine="480"/>
        <w:rPr>
          <w:rFonts w:cs="Times New Roman"/>
        </w:rPr>
      </w:pPr>
      <w:r>
        <w:rPr>
          <w:rFonts w:cs="Times New Roman"/>
        </w:rPr>
        <w:t>α～β指数法</w:t>
      </w:r>
    </w:p>
    <w:p>
      <w:pPr>
        <w:ind w:firstLine="480"/>
        <w:rPr>
          <w:rFonts w:cs="Times New Roman"/>
        </w:rPr>
      </w:pPr>
      <w:r>
        <w:rPr>
          <w:rFonts w:cs="Times New Roman"/>
        </w:rPr>
        <w:t>判别指标计算式为：</w:t>
      </w:r>
    </w:p>
    <w:p>
      <w:pPr>
        <w:ind w:firstLine="480"/>
        <w:rPr>
          <w:rFonts w:cs="Times New Roman"/>
        </w:rPr>
      </w:pPr>
      <m:oMathPara>
        <m:oMath>
          <m:r>
            <m:rPr>
              <m:sty m:val="p"/>
            </m:rPr>
            <w:rPr>
              <w:rFonts w:ascii="Cambria Math" w:hAnsi="Cambria Math" w:cs="Times New Roman"/>
            </w:rPr>
            <m:t>α=</m:t>
          </m:r>
          <m:f>
            <m:fPr>
              <m:ctrlPr>
                <w:rPr>
                  <w:rFonts w:ascii="Cambria Math" w:hAnsi="Cambria Math" w:cs="Times New Roman"/>
                </w:rPr>
              </m:ctrlPr>
            </m:fPr>
            <m:num>
              <m:r>
                <m:rPr>
                  <m:sty m:val="p"/>
                </m:rPr>
                <w:rPr>
                  <w:rFonts w:ascii="Cambria Math" w:hAnsi="Cambria Math" w:cs="Times New Roman"/>
                </w:rPr>
                <m:t>多年平均年径流量</m:t>
              </m:r>
              <m:ctrlPr>
                <w:rPr>
                  <w:rFonts w:ascii="Cambria Math" w:hAnsi="Cambria Math" w:cs="Times New Roman"/>
                </w:rPr>
              </m:ctrlPr>
            </m:num>
            <m:den>
              <m:r>
                <m:rPr>
                  <m:sty m:val="p"/>
                </m:rPr>
                <w:rPr>
                  <w:rFonts w:ascii="Cambria Math" w:hAnsi="Cambria Math" w:cs="Times New Roman"/>
                </w:rPr>
                <m:t>水库总库容</m:t>
              </m:r>
              <m:ctrlPr>
                <w:rPr>
                  <w:rFonts w:ascii="Cambria Math" w:hAnsi="Cambria Math" w:cs="Times New Roman"/>
                </w:rPr>
              </m:ctrlPr>
            </m:den>
          </m:f>
        </m:oMath>
      </m:oMathPara>
    </w:p>
    <w:p>
      <w:pPr>
        <w:ind w:firstLine="480"/>
        <w:rPr>
          <w:rFonts w:cs="Times New Roman"/>
        </w:rPr>
      </w:pPr>
      <w:r>
        <w:rPr>
          <w:rFonts w:cs="Times New Roman"/>
        </w:rPr>
        <w:t>当α&lt;10时，水库水温为分层型；当10&lt;α&lt;20时，水库水温为过渡型；当α&gt;20时，水库水温为混合型。</w:t>
      </w:r>
    </w:p>
    <w:p>
      <w:pPr>
        <w:ind w:firstLine="480"/>
        <w:rPr>
          <w:rFonts w:cs="Times New Roman"/>
        </w:rPr>
      </w:pPr>
      <w:r>
        <w:rPr>
          <w:rFonts w:cs="Times New Roman"/>
        </w:rPr>
        <w:t>代尔昆代水库总库容为296.68万m</w:t>
      </w:r>
      <w:r>
        <w:rPr>
          <w:rFonts w:cs="Times New Roman"/>
          <w:vertAlign w:val="superscript"/>
        </w:rPr>
        <w:t>3</w:t>
      </w:r>
      <w:r>
        <w:rPr>
          <w:rFonts w:cs="Times New Roman"/>
        </w:rPr>
        <w:t>，坝址断面多年平均径流量为834万m</w:t>
      </w:r>
      <w:r>
        <w:rPr>
          <w:rFonts w:cs="Times New Roman"/>
          <w:vertAlign w:val="superscript"/>
        </w:rPr>
        <w:t>3</w:t>
      </w:r>
      <w:r>
        <w:rPr>
          <w:rFonts w:cs="Times New Roman"/>
        </w:rPr>
        <w:t>，经计算，α=2.81，小于20，判断水库水温结构为分层型。</w:t>
      </w:r>
    </w:p>
    <w:p>
      <w:pPr>
        <w:ind w:firstLine="480"/>
        <w:rPr>
          <w:rFonts w:cs="Times New Roman"/>
        </w:rPr>
      </w:pPr>
      <w:r>
        <w:rPr>
          <w:rFonts w:cs="Times New Roman"/>
        </w:rPr>
        <w:t>经调查，代尔昆代郭勒河无鱼类分布，也无农业灌溉等水温敏感对象；代尔昆代水库建成后供水对象主要</w:t>
      </w:r>
      <w:r>
        <w:rPr>
          <w:rFonts w:hint="eastAsia" w:cs="Times New Roman"/>
          <w:lang w:eastAsia="zh-CN"/>
        </w:rPr>
        <w:t>为</w:t>
      </w:r>
      <w:r>
        <w:rPr>
          <w:rFonts w:cs="Times New Roman"/>
        </w:rPr>
        <w:t>人畜及公益林，对水温也无要求。</w:t>
      </w:r>
    </w:p>
    <w:p>
      <w:pPr>
        <w:ind w:firstLine="480"/>
        <w:rPr>
          <w:rFonts w:cs="Times New Roman"/>
        </w:rPr>
      </w:pPr>
      <w:r>
        <w:rPr>
          <w:rFonts w:cs="Times New Roman"/>
        </w:rPr>
        <w:t>现状条件下代尔昆代水库坝址断面地表明流基本仅存在于6、7、8月，其他月份基本断流。代尔昆代水库建成后，由于生态水量下泄，坝址断面下游河段会形成一定距离明流河段。</w:t>
      </w:r>
    </w:p>
    <w:p>
      <w:pPr>
        <w:ind w:firstLine="480"/>
        <w:rPr>
          <w:rFonts w:cs="Times New Roman"/>
        </w:rPr>
      </w:pPr>
      <w:r>
        <w:rPr>
          <w:rFonts w:cs="Times New Roman"/>
        </w:rPr>
        <w:t>综上分析，考虑到代尔昆代郭勒河无对河流水温变化敏感的保护对象，且供水对象对水温也无较高要求，结合河流径流特性，本次评价仅针对水库水温变化进行趋势性分析。</w:t>
      </w:r>
    </w:p>
    <w:p>
      <w:pPr>
        <w:ind w:firstLine="480"/>
        <w:rPr>
          <w:rFonts w:cs="Times New Roman"/>
        </w:rPr>
      </w:pPr>
      <w:r>
        <w:rPr>
          <w:rFonts w:cs="Times New Roman"/>
        </w:rPr>
        <w:t>（2）水质</w:t>
      </w:r>
    </w:p>
    <w:p>
      <w:pPr>
        <w:ind w:firstLine="480"/>
        <w:rPr>
          <w:rFonts w:cs="Times New Roman"/>
        </w:rPr>
      </w:pPr>
      <w:r>
        <w:rPr>
          <w:rFonts w:hint="eastAsia" w:ascii="宋体" w:hAnsi="宋体" w:cs="宋体"/>
        </w:rPr>
        <w:t>①</w:t>
      </w:r>
      <w:r>
        <w:rPr>
          <w:rFonts w:cs="Times New Roman"/>
        </w:rPr>
        <w:t>水库蓄水对水质的影响</w:t>
      </w:r>
    </w:p>
    <w:p>
      <w:pPr>
        <w:ind w:firstLine="480"/>
        <w:rPr>
          <w:rFonts w:cs="Times New Roman"/>
        </w:rPr>
      </w:pPr>
      <w:r>
        <w:rPr>
          <w:rFonts w:cs="Times New Roman"/>
        </w:rPr>
        <w:t>水库蓄水后，其库底遗留的污物，有机质、可溶盐对水质</w:t>
      </w:r>
      <w:r>
        <w:rPr>
          <w:rFonts w:hint="eastAsia" w:cs="Times New Roman"/>
          <w:lang w:eastAsia="zh-CN"/>
        </w:rPr>
        <w:t>将</w:t>
      </w:r>
      <w:r>
        <w:rPr>
          <w:rFonts w:cs="Times New Roman"/>
        </w:rPr>
        <w:t>产生一定的影响；水库的调蓄使水流流速减缓，水动力条件发生变化，滞留时间的延长也</w:t>
      </w:r>
      <w:r>
        <w:rPr>
          <w:rFonts w:hint="eastAsia" w:cs="Times New Roman"/>
          <w:lang w:eastAsia="zh-CN"/>
        </w:rPr>
        <w:t>将</w:t>
      </w:r>
      <w:r>
        <w:rPr>
          <w:rFonts w:cs="Times New Roman"/>
        </w:rPr>
        <w:t>对水质有一定的影响。</w:t>
      </w:r>
    </w:p>
    <w:p>
      <w:pPr>
        <w:ind w:firstLine="480"/>
        <w:rPr>
          <w:rFonts w:cs="Times New Roman"/>
        </w:rPr>
      </w:pPr>
      <w:r>
        <w:rPr>
          <w:rFonts w:hint="eastAsia" w:ascii="宋体" w:hAnsi="宋体" w:cs="宋体"/>
        </w:rPr>
        <w:t>②</w:t>
      </w:r>
      <w:r>
        <w:rPr>
          <w:rFonts w:cs="Times New Roman"/>
        </w:rPr>
        <w:t>对下游河道水质的影响</w:t>
      </w:r>
    </w:p>
    <w:p>
      <w:pPr>
        <w:ind w:firstLine="480"/>
        <w:rPr>
          <w:rFonts w:cs="Times New Roman"/>
        </w:rPr>
      </w:pPr>
      <w:r>
        <w:rPr>
          <w:rFonts w:cs="Times New Roman"/>
        </w:rPr>
        <w:t>工程运行后，水库蓄水，坝址断面下泄流量减少，据调查代尔昆代郭勒河无工业和生活污染源排污口分布，也无农业面源污染，仅存在放牧产生的牧业面源污染；河流明流长度随季节变化，大部分河段无地表明流。工程建成运行后入河污染负荷变化不会发生明显变化，坝址以下河段因水量减少可能引发坝址以下河段水质变化，考虑到上游来水水质较优，减水河段因水量减少对河流水质的影响作用不大。</w:t>
      </w:r>
    </w:p>
    <w:p>
      <w:pPr>
        <w:ind w:firstLine="480"/>
        <w:rPr>
          <w:rFonts w:cs="Times New Roman"/>
        </w:rPr>
      </w:pPr>
      <w:r>
        <w:rPr>
          <w:rFonts w:hint="eastAsia" w:ascii="宋体" w:hAnsi="宋体" w:cs="宋体"/>
        </w:rPr>
        <w:t>③</w:t>
      </w:r>
      <w:r>
        <w:rPr>
          <w:rFonts w:cs="Times New Roman"/>
        </w:rPr>
        <w:t>工程管理区生活污水排放影响</w:t>
      </w:r>
    </w:p>
    <w:p>
      <w:pPr>
        <w:ind w:firstLine="480"/>
        <w:rPr>
          <w:rFonts w:cs="Times New Roman"/>
        </w:rPr>
      </w:pPr>
      <w:r>
        <w:rPr>
          <w:rFonts w:cs="Times New Roman"/>
        </w:rPr>
        <w:t>代尔昆代水库工程运行期工程管理区包括办公楼、职工住房、仓库等，且相关生活污水处理设施完善。现场管理区工作人员共计10人，日常生活会产生少量的生活污水，生活用水定额按120L/人</w:t>
      </w:r>
      <w:r>
        <w:rPr>
          <w:rFonts w:hint="eastAsia" w:cs="Times New Roman"/>
        </w:rPr>
        <w:t>·</w:t>
      </w:r>
      <w:r>
        <w:rPr>
          <w:rFonts w:cs="Times New Roman"/>
        </w:rPr>
        <w:t>d、产污系数取0.80，计算得生活污水产生量为0.96m</w:t>
      </w:r>
      <w:r>
        <w:rPr>
          <w:rFonts w:cs="Times New Roman"/>
          <w:vertAlign w:val="superscript"/>
        </w:rPr>
        <w:t>3</w:t>
      </w:r>
      <w:r>
        <w:rPr>
          <w:rFonts w:cs="Times New Roman"/>
        </w:rPr>
        <w:t>/d。</w:t>
      </w:r>
    </w:p>
    <w:p>
      <w:pPr>
        <w:ind w:firstLine="480"/>
        <w:rPr>
          <w:rFonts w:cs="Times New Roman"/>
        </w:rPr>
      </w:pPr>
      <w:r>
        <w:rPr>
          <w:rFonts w:cs="Times New Roman"/>
        </w:rPr>
        <w:t>工程管理区所处代尔昆代郭勒河段水体水质要求为Ⅱ类，生活污水须经处理达标后综合利用，严禁排入河道。</w:t>
      </w:r>
    </w:p>
    <w:p>
      <w:pPr>
        <w:pStyle w:val="62"/>
        <w:rPr>
          <w:rFonts w:cs="Times New Roman"/>
        </w:rPr>
      </w:pPr>
      <w:r>
        <w:fldChar w:fldCharType="begin"/>
      </w:r>
      <w:r>
        <w:instrText xml:space="preserve"> HYPERLINK \l "_Toc126665910" </w:instrText>
      </w:r>
      <w:r>
        <w:fldChar w:fldCharType="separate"/>
      </w:r>
      <w:r>
        <w:rPr>
          <w:rStyle w:val="44"/>
          <w:rFonts w:cs="Times New Roman"/>
          <w:bCs w:val="0"/>
        </w:rPr>
        <w:t>3.4.3.4 对地下水环境的影响</w:t>
      </w:r>
      <w:r>
        <w:rPr>
          <w:rStyle w:val="44"/>
          <w:rFonts w:cs="Times New Roman"/>
          <w:bCs w:val="0"/>
        </w:rPr>
        <w:fldChar w:fldCharType="end"/>
      </w:r>
    </w:p>
    <w:p>
      <w:pPr>
        <w:ind w:firstLine="480"/>
        <w:rPr>
          <w:rFonts w:cs="Times New Roman"/>
        </w:rPr>
      </w:pPr>
      <w:r>
        <w:rPr>
          <w:rFonts w:hint="eastAsia" w:ascii="宋体" w:hAnsi="宋体" w:cs="宋体"/>
        </w:rPr>
        <w:t>①</w:t>
      </w:r>
      <w:r>
        <w:rPr>
          <w:rFonts w:cs="Times New Roman"/>
        </w:rPr>
        <w:t>对工程区地下水环境的影响</w:t>
      </w:r>
    </w:p>
    <w:p>
      <w:pPr>
        <w:ind w:firstLine="480"/>
        <w:rPr>
          <w:rFonts w:cs="Times New Roman"/>
          <w:lang w:val="zh-CN"/>
        </w:rPr>
      </w:pPr>
      <w:r>
        <w:rPr>
          <w:rFonts w:cs="Times New Roman"/>
          <w:lang w:val="zh-CN"/>
        </w:rPr>
        <w:t>代尔昆代水库蓄水后库区水位抬高可能产生水库渗漏、浸没等问题；水库大坝建设、导流洞洞室开挖可能对其周边地下水产生影响。</w:t>
      </w:r>
    </w:p>
    <w:p>
      <w:pPr>
        <w:ind w:firstLine="480"/>
        <w:rPr>
          <w:rFonts w:cs="Times New Roman"/>
        </w:rPr>
      </w:pPr>
      <w:r>
        <w:rPr>
          <w:rFonts w:hint="eastAsia" w:ascii="宋体" w:hAnsi="宋体" w:cs="宋体"/>
        </w:rPr>
        <w:t>②</w:t>
      </w:r>
      <w:r>
        <w:rPr>
          <w:rFonts w:cs="Times New Roman"/>
        </w:rPr>
        <w:t>对下马崖乡泉水的影响</w:t>
      </w:r>
    </w:p>
    <w:p>
      <w:pPr>
        <w:ind w:firstLine="480"/>
        <w:rPr>
          <w:rFonts w:cs="Times New Roman"/>
          <w:lang w:val="zh-CN"/>
        </w:rPr>
      </w:pPr>
      <w:r>
        <w:rPr>
          <w:rFonts w:cs="Times New Roman"/>
          <w:lang w:val="zh-CN"/>
        </w:rPr>
        <w:t>工程运行后，代尔昆代水库下游河道水文情势变化，有可能使区域地表水、地下水两水补给关系发生变化，进而对河谷区地下水水位产生影响。</w:t>
      </w:r>
    </w:p>
    <w:p>
      <w:pPr>
        <w:ind w:firstLine="480"/>
        <w:rPr>
          <w:rFonts w:cs="Times New Roman"/>
        </w:rPr>
      </w:pPr>
      <w:r>
        <w:rPr>
          <w:rFonts w:cs="Times New Roman"/>
        </w:rPr>
        <w:t>代尔昆代郭勒河发源于哈尔里克山，其河道径流基本在出山口之间均转为地下水，为下游下马崖乡附近库秋拉克泉群泉水补给源之一，因此，代尔昆代水库建成后，供水</w:t>
      </w:r>
      <w:r>
        <w:rPr>
          <w:rFonts w:hint="eastAsia" w:cs="Times New Roman"/>
          <w:lang w:eastAsia="zh-CN"/>
        </w:rPr>
        <w:t>将</w:t>
      </w:r>
      <w:r>
        <w:rPr>
          <w:rFonts w:cs="Times New Roman"/>
        </w:rPr>
        <w:t>使代尔昆代郭勒河入渗水量减少，进而可能影响库秋拉克泉群泉水的补给。</w:t>
      </w:r>
    </w:p>
    <w:p>
      <w:pPr>
        <w:ind w:firstLine="480"/>
        <w:rPr>
          <w:rFonts w:cs="Times New Roman"/>
        </w:rPr>
      </w:pPr>
      <w:r>
        <w:rPr>
          <w:rFonts w:cs="Times New Roman"/>
        </w:rPr>
        <w:t>本次评价</w:t>
      </w:r>
      <w:r>
        <w:rPr>
          <w:rFonts w:hint="eastAsia" w:cs="Times New Roman"/>
          <w:lang w:eastAsia="zh-CN"/>
        </w:rPr>
        <w:t>将</w:t>
      </w:r>
      <w:r>
        <w:rPr>
          <w:rFonts w:cs="Times New Roman"/>
        </w:rPr>
        <w:t>在分析区域现状地表水、地下水补给关系的基础上，结合工程建成后地表水变化情况，预测分析工程建成前后工程影响区地下水水位变化趋势</w:t>
      </w:r>
    </w:p>
    <w:p>
      <w:pPr>
        <w:pStyle w:val="62"/>
        <w:rPr>
          <w:rFonts w:cs="Times New Roman"/>
        </w:rPr>
      </w:pPr>
      <w:r>
        <w:fldChar w:fldCharType="begin"/>
      </w:r>
      <w:r>
        <w:instrText xml:space="preserve"> HYPERLINK \l "_Toc126665911" </w:instrText>
      </w:r>
      <w:r>
        <w:fldChar w:fldCharType="separate"/>
      </w:r>
      <w:r>
        <w:rPr>
          <w:rStyle w:val="44"/>
          <w:rFonts w:cs="Times New Roman"/>
          <w:bCs w:val="0"/>
        </w:rPr>
        <w:t>3.4.3.5 对生态环境影响</w:t>
      </w:r>
      <w:r>
        <w:rPr>
          <w:rStyle w:val="44"/>
          <w:rFonts w:cs="Times New Roman"/>
          <w:bCs w:val="0"/>
        </w:rPr>
        <w:fldChar w:fldCharType="end"/>
      </w:r>
    </w:p>
    <w:p>
      <w:pPr>
        <w:ind w:firstLine="480"/>
        <w:rPr>
          <w:rFonts w:cs="Times New Roman"/>
        </w:rPr>
      </w:pPr>
      <w:r>
        <w:rPr>
          <w:rFonts w:cs="Times New Roman"/>
        </w:rPr>
        <w:t>（1）陆生生态</w:t>
      </w:r>
    </w:p>
    <w:p>
      <w:pPr>
        <w:ind w:firstLine="480"/>
        <w:rPr>
          <w:rFonts w:cs="Times New Roman"/>
        </w:rPr>
      </w:pPr>
      <w:r>
        <w:rPr>
          <w:rFonts w:hint="eastAsia" w:ascii="宋体" w:hAnsi="宋体" w:cs="宋体"/>
        </w:rPr>
        <w:t>①</w:t>
      </w:r>
      <w:r>
        <w:rPr>
          <w:rFonts w:cs="Times New Roman"/>
        </w:rPr>
        <w:t>生态系统结构与功能影响分析</w:t>
      </w:r>
    </w:p>
    <w:p>
      <w:pPr>
        <w:ind w:firstLine="480"/>
        <w:rPr>
          <w:rFonts w:cs="Times New Roman"/>
        </w:rPr>
      </w:pPr>
      <w:r>
        <w:rPr>
          <w:rFonts w:cs="Times New Roman"/>
        </w:rPr>
        <w:t>本工程建成后，工程占地</w:t>
      </w:r>
      <w:r>
        <w:rPr>
          <w:rFonts w:hint="eastAsia" w:cs="Times New Roman"/>
          <w:lang w:eastAsia="zh-CN"/>
        </w:rPr>
        <w:t>将</w:t>
      </w:r>
      <w:r>
        <w:rPr>
          <w:rFonts w:cs="Times New Roman"/>
        </w:rPr>
        <w:t>在局部范围内改变各分区现状条件下部分土地的利用方式，进而</w:t>
      </w:r>
      <w:r>
        <w:rPr>
          <w:rFonts w:hint="eastAsia" w:cs="Times New Roman"/>
          <w:lang w:eastAsia="zh-CN"/>
        </w:rPr>
        <w:t>将</w:t>
      </w:r>
      <w:r>
        <w:rPr>
          <w:rFonts w:cs="Times New Roman"/>
        </w:rPr>
        <w:t>对各分区评价范围内的景观格局产生影响。本次评价</w:t>
      </w:r>
      <w:r>
        <w:rPr>
          <w:rFonts w:hint="eastAsia" w:cs="Times New Roman"/>
          <w:lang w:eastAsia="zh-CN"/>
        </w:rPr>
        <w:t>将</w:t>
      </w:r>
      <w:r>
        <w:rPr>
          <w:rFonts w:cs="Times New Roman"/>
        </w:rPr>
        <w:t>从植物生产能力变化、生态体系稳定状况、区域生态系统服务功能的变化等方面入手，针对工程建设后对区域生态体系完整性、稳定性和服务功能产生的影响进行分析和评价。</w:t>
      </w:r>
    </w:p>
    <w:p>
      <w:pPr>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对陆生植物的影响</w:t>
      </w:r>
    </w:p>
    <w:p>
      <w:pPr>
        <w:ind w:firstLine="480"/>
        <w:rPr>
          <w:rFonts w:cs="Times New Roman"/>
        </w:rPr>
      </w:pPr>
      <w:r>
        <w:rPr>
          <w:rFonts w:cs="Times New Roman"/>
        </w:rPr>
        <w:t>工程淹没、</w:t>
      </w:r>
      <w:r>
        <w:rPr>
          <w:rFonts w:hint="eastAsia" w:cs="Times New Roman"/>
          <w:lang w:eastAsia="zh-CN"/>
        </w:rPr>
        <w:t>占用地区植被</w:t>
      </w:r>
      <w:r>
        <w:rPr>
          <w:rFonts w:cs="Times New Roman"/>
        </w:rPr>
        <w:t>以稀疏的山地草原植被为主。工程建设对陆生植物的影响主要表现为工程占地对其造成的一次性破坏以及由此产生的生物量损失，本次评价</w:t>
      </w:r>
      <w:r>
        <w:rPr>
          <w:rFonts w:hint="eastAsia" w:cs="Times New Roman"/>
          <w:lang w:eastAsia="zh-CN"/>
        </w:rPr>
        <w:t>将</w:t>
      </w:r>
      <w:r>
        <w:rPr>
          <w:rFonts w:cs="Times New Roman"/>
        </w:rPr>
        <w:t>通过计算量化该损失，并提出对临时占地进行植被恢复。</w:t>
      </w:r>
    </w:p>
    <w:p>
      <w:pPr>
        <w:ind w:firstLine="480"/>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hint="eastAsia" w:ascii="宋体" w:hAnsi="宋体" w:cs="宋体"/>
        </w:rPr>
        <w:t>③</w:t>
      </w:r>
      <w:r>
        <w:rPr>
          <w:rFonts w:cs="Times New Roman"/>
        </w:rPr>
        <w:fldChar w:fldCharType="end"/>
      </w:r>
      <w:r>
        <w:rPr>
          <w:rFonts w:cs="Times New Roman"/>
        </w:rPr>
        <w:t>对陆生动物的影响</w:t>
      </w:r>
    </w:p>
    <w:p>
      <w:pPr>
        <w:ind w:firstLine="480"/>
        <w:rPr>
          <w:rFonts w:cs="Times New Roman"/>
        </w:rPr>
      </w:pPr>
      <w:r>
        <w:rPr>
          <w:rFonts w:cs="Times New Roman"/>
        </w:rPr>
        <w:t>代尔昆代水库工程</w:t>
      </w:r>
      <w:r>
        <w:rPr>
          <w:rFonts w:hint="eastAsia" w:cs="Times New Roman"/>
          <w:lang w:eastAsia="zh-CN"/>
        </w:rPr>
        <w:t>占用地区植被</w:t>
      </w:r>
      <w:r>
        <w:rPr>
          <w:rFonts w:cs="Times New Roman"/>
        </w:rPr>
        <w:t>状况良好，且受人类活动干扰较小，分布的陆生动物主要为活动范围较广的兽类、鸟类、爬行类。工程对区域陆生动物的影响主要表现为工程占地、施工活动和施工人员的活动影响部分爬行类和小型兽类的栖息地，以及部分鸟类、兽类觅食区，可能会导致施工区部分动物的分布及其种群数量的变化。</w:t>
      </w:r>
    </w:p>
    <w:p>
      <w:pPr>
        <w:ind w:firstLine="480"/>
        <w:rPr>
          <w:rFonts w:cs="Times New Roman"/>
        </w:rPr>
      </w:pPr>
      <w:r>
        <w:rPr>
          <w:rFonts w:cs="Times New Roman"/>
        </w:rPr>
        <w:fldChar w:fldCharType="begin"/>
      </w:r>
      <w:r>
        <w:rPr>
          <w:rFonts w:cs="Times New Roman"/>
        </w:rPr>
        <w:instrText xml:space="preserve"> = 4 \* GB3 </w:instrText>
      </w:r>
      <w:r>
        <w:rPr>
          <w:rFonts w:cs="Times New Roman"/>
        </w:rPr>
        <w:fldChar w:fldCharType="separate"/>
      </w:r>
      <w:r>
        <w:rPr>
          <w:rFonts w:hint="eastAsia" w:ascii="宋体" w:hAnsi="宋体" w:cs="宋体"/>
        </w:rPr>
        <w:t>④</w:t>
      </w:r>
      <w:r>
        <w:rPr>
          <w:rFonts w:cs="Times New Roman"/>
        </w:rPr>
        <w:fldChar w:fldCharType="end"/>
      </w:r>
      <w:r>
        <w:rPr>
          <w:rFonts w:cs="Times New Roman"/>
        </w:rPr>
        <w:t>对生态保护红线的影响</w:t>
      </w:r>
    </w:p>
    <w:p>
      <w:pPr>
        <w:ind w:firstLine="480"/>
        <w:rPr>
          <w:rFonts w:cs="Times New Roman"/>
          <w:szCs w:val="21"/>
        </w:rPr>
      </w:pPr>
      <w:r>
        <w:rPr>
          <w:rFonts w:cs="Times New Roman"/>
          <w:szCs w:val="21"/>
        </w:rPr>
        <w:t>根据叠图分析结果，代尔昆代水库淹没占用东天山水源涵养与生物多样性维护生态保护红线区9.35hm</w:t>
      </w:r>
      <w:r>
        <w:rPr>
          <w:rFonts w:cs="Times New Roman"/>
          <w:szCs w:val="21"/>
          <w:vertAlign w:val="superscript"/>
        </w:rPr>
        <w:t>2</w:t>
      </w:r>
      <w:r>
        <w:rPr>
          <w:rFonts w:cs="Times New Roman"/>
          <w:szCs w:val="21"/>
        </w:rPr>
        <w:t>。受地形、地质条件等因素的限制，推荐坝址无法完全避让生态红线。工程占地面积有限，根据植被调查情况，</w:t>
      </w:r>
      <w:r>
        <w:rPr>
          <w:rFonts w:hint="eastAsia" w:cs="Times New Roman"/>
          <w:szCs w:val="21"/>
          <w:lang w:eastAsia="zh-CN"/>
        </w:rPr>
        <w:t>占用地区植被</w:t>
      </w:r>
      <w:r>
        <w:rPr>
          <w:rFonts w:cs="Times New Roman"/>
          <w:szCs w:val="21"/>
        </w:rPr>
        <w:t>稀疏，无山地森林分布，可通过施工结束后植被恢复及绿化措施缓解，在此基础上，本工程的建设不会导致生态保护红线区水源涵养功能降低。本环评</w:t>
      </w:r>
      <w:r>
        <w:rPr>
          <w:rFonts w:hint="eastAsia" w:cs="Times New Roman"/>
          <w:szCs w:val="21"/>
          <w:lang w:eastAsia="zh-CN"/>
        </w:rPr>
        <w:t>将</w:t>
      </w:r>
      <w:r>
        <w:rPr>
          <w:rFonts w:cs="Times New Roman"/>
          <w:szCs w:val="21"/>
        </w:rPr>
        <w:t>根据生态保护红线的相关保护要求提出相应保护措施。</w:t>
      </w:r>
    </w:p>
    <w:p>
      <w:pPr>
        <w:ind w:firstLine="480"/>
        <w:rPr>
          <w:rFonts w:cs="Times New Roman"/>
        </w:rPr>
      </w:pPr>
      <w:r>
        <w:rPr>
          <w:rFonts w:cs="Times New Roman"/>
        </w:rPr>
        <w:t>（2）水生生态</w:t>
      </w:r>
    </w:p>
    <w:p>
      <w:pPr>
        <w:ind w:firstLine="480"/>
        <w:rPr>
          <w:rFonts w:cs="Times New Roman"/>
        </w:rPr>
      </w:pPr>
      <w:r>
        <w:rPr>
          <w:rFonts w:cs="Times New Roman"/>
        </w:rPr>
        <w:t>根据水生生态调查，代尔昆代郭勒河无鱼类分布，因此，本次评价仅</w:t>
      </w:r>
      <w:r>
        <w:rPr>
          <w:rFonts w:hint="eastAsia" w:cs="Times New Roman"/>
          <w:lang w:val="en-US" w:eastAsia="zh-CN"/>
        </w:rPr>
        <w:t>从</w:t>
      </w:r>
      <w:r>
        <w:rPr>
          <w:rFonts w:cs="Times New Roman"/>
        </w:rPr>
        <w:t>库区及坝址断面下泄流量变化角度，简要分析水库建成后，对水生生物的影响。</w:t>
      </w:r>
    </w:p>
    <w:p>
      <w:pPr>
        <w:pStyle w:val="62"/>
        <w:rPr>
          <w:rFonts w:cs="Times New Roman"/>
        </w:rPr>
      </w:pPr>
      <w:r>
        <w:fldChar w:fldCharType="begin"/>
      </w:r>
      <w:r>
        <w:instrText xml:space="preserve"> HYPERLINK \l "_Toc126665912" </w:instrText>
      </w:r>
      <w:r>
        <w:fldChar w:fldCharType="separate"/>
      </w:r>
      <w:r>
        <w:rPr>
          <w:rStyle w:val="44"/>
          <w:rFonts w:cs="Times New Roman"/>
          <w:bCs w:val="0"/>
        </w:rPr>
        <w:t>3.4.3.6 对土壤环境影响</w:t>
      </w:r>
      <w:r>
        <w:rPr>
          <w:rStyle w:val="44"/>
          <w:rFonts w:cs="Times New Roman"/>
          <w:bCs w:val="0"/>
        </w:rPr>
        <w:fldChar w:fldCharType="end"/>
      </w:r>
    </w:p>
    <w:p>
      <w:pPr>
        <w:ind w:firstLine="480"/>
        <w:rPr>
          <w:rFonts w:cs="Times New Roman"/>
        </w:rPr>
      </w:pPr>
      <w:r>
        <w:rPr>
          <w:rFonts w:cs="Times New Roman"/>
        </w:rPr>
        <w:t>工程建设对土壤环境的影响主要表现为：建设占地及施工活动可能对占地区及施工区域土壤理化性质产生影响；本次评价</w:t>
      </w:r>
      <w:r>
        <w:rPr>
          <w:rFonts w:hint="eastAsia" w:cs="Times New Roman"/>
          <w:lang w:eastAsia="zh-CN"/>
        </w:rPr>
        <w:t>将</w:t>
      </w:r>
      <w:r>
        <w:rPr>
          <w:rFonts w:cs="Times New Roman"/>
        </w:rPr>
        <w:t>根据工程占地区土壤环境特征，结合工程建设特点，分析工程永久建筑物及临时设施建设，对土壤环境的影响。</w:t>
      </w:r>
    </w:p>
    <w:p>
      <w:pPr>
        <w:pStyle w:val="62"/>
      </w:pPr>
      <w:r>
        <w:fldChar w:fldCharType="begin"/>
      </w:r>
      <w:r>
        <w:instrText xml:space="preserve"> HYPERLINK \l "_Toc126665913" </w:instrText>
      </w:r>
      <w:r>
        <w:fldChar w:fldCharType="separate"/>
      </w:r>
      <w:r>
        <w:t>3.4.3.7 对敏感区的影响</w:t>
      </w:r>
      <w:r>
        <w:fldChar w:fldCharType="end"/>
      </w:r>
    </w:p>
    <w:p>
      <w:pPr>
        <w:pStyle w:val="62"/>
        <w:rPr>
          <w:rFonts w:cs="Times New Roman"/>
        </w:rPr>
      </w:pPr>
      <w:r>
        <w:fldChar w:fldCharType="begin"/>
      </w:r>
      <w:r>
        <w:instrText xml:space="preserve"> HYPERLINK \l "_Toc126665913" </w:instrText>
      </w:r>
      <w:r>
        <w:fldChar w:fldCharType="separate"/>
      </w:r>
      <w:r>
        <w:rPr>
          <w:rStyle w:val="44"/>
          <w:rFonts w:cs="Times New Roman"/>
          <w:bCs w:val="0"/>
        </w:rPr>
        <w:t>3.4.3.8 固体废弃物对环境的影响</w:t>
      </w:r>
      <w:r>
        <w:rPr>
          <w:rStyle w:val="44"/>
          <w:rFonts w:cs="Times New Roman"/>
          <w:bCs w:val="0"/>
        </w:rPr>
        <w:fldChar w:fldCharType="end"/>
      </w:r>
    </w:p>
    <w:p>
      <w:pPr>
        <w:ind w:firstLine="480"/>
        <w:rPr>
          <w:rFonts w:cs="Times New Roman"/>
        </w:rPr>
      </w:pPr>
      <w:r>
        <w:rPr>
          <w:rFonts w:cs="Times New Roman"/>
        </w:rPr>
        <w:t>代尔昆代水库工程运行管理区运行管理人员定员10人，以每人每天生活垃圾排放量0.8kg计，管理区每天生活垃圾排放量约为8kg，此部分生活垃圾采取集中收集，定期清运，运至伊吾县已建生活垃圾填埋场填埋处理，以防对周边及工作人员生活环境产生不利影响。</w:t>
      </w:r>
    </w:p>
    <w:p>
      <w:pPr>
        <w:pStyle w:val="62"/>
        <w:rPr>
          <w:rFonts w:cs="Times New Roman"/>
        </w:rPr>
      </w:pPr>
      <w:r>
        <w:fldChar w:fldCharType="begin"/>
      </w:r>
      <w:r>
        <w:instrText xml:space="preserve"> HYPERLINK \l "_Toc126665914" </w:instrText>
      </w:r>
      <w:r>
        <w:fldChar w:fldCharType="separate"/>
      </w:r>
      <w:r>
        <w:rPr>
          <w:rStyle w:val="44"/>
          <w:rFonts w:cs="Times New Roman"/>
          <w:bCs w:val="0"/>
        </w:rPr>
        <w:t>3.4.3.9 对社会环境影响</w:t>
      </w:r>
      <w:r>
        <w:rPr>
          <w:rStyle w:val="44"/>
          <w:rFonts w:cs="Times New Roman"/>
          <w:bCs w:val="0"/>
        </w:rPr>
        <w:fldChar w:fldCharType="end"/>
      </w:r>
    </w:p>
    <w:p>
      <w:pPr>
        <w:ind w:firstLine="480"/>
        <w:rPr>
          <w:rFonts w:cs="Times New Roman"/>
        </w:rPr>
      </w:pPr>
      <w:r>
        <w:rPr>
          <w:rFonts w:cs="Times New Roman"/>
        </w:rPr>
        <w:t>代尔昆代水库为伊吾县</w:t>
      </w:r>
      <w:r>
        <w:rPr>
          <w:rFonts w:hint="eastAsia" w:cs="Times New Roman"/>
          <w:lang w:eastAsia="zh-CN"/>
        </w:rPr>
        <w:t>“</w:t>
      </w:r>
      <w:r>
        <w:rPr>
          <w:rFonts w:cs="Times New Roman"/>
        </w:rPr>
        <w:t>十四五</w:t>
      </w:r>
      <w:r>
        <w:rPr>
          <w:rFonts w:hint="eastAsia" w:cs="Times New Roman"/>
          <w:lang w:eastAsia="zh-CN"/>
        </w:rPr>
        <w:t>”</w:t>
      </w:r>
      <w:r>
        <w:rPr>
          <w:rFonts w:cs="Times New Roman"/>
        </w:rPr>
        <w:t>期间水资源配置方案中的重要水源工程，通过建设代尔昆代水库工程，充分利用代尔昆代水源，95%保证率下每年可向下游供水359.57万m</w:t>
      </w:r>
      <w:r>
        <w:rPr>
          <w:rFonts w:cs="Times New Roman"/>
          <w:vertAlign w:val="superscript"/>
        </w:rPr>
        <w:t>3</w:t>
      </w:r>
      <w:r>
        <w:rPr>
          <w:rFonts w:cs="Times New Roman"/>
        </w:rPr>
        <w:t>。保障下游淖毛湖区域人畜饮水和调节农业灌溉用水，提高人民群众生活水平，推进县域经济发展，助推乡村振兴。</w:t>
      </w:r>
    </w:p>
    <w:p>
      <w:pPr>
        <w:ind w:firstLine="480"/>
        <w:rPr>
          <w:rFonts w:cs="Times New Roman"/>
        </w:rPr>
      </w:pPr>
    </w:p>
    <w:p>
      <w:pPr>
        <w:pStyle w:val="3"/>
        <w:rPr>
          <w:rFonts w:cs="Times New Roman"/>
        </w:rPr>
      </w:pPr>
      <w:bookmarkStart w:id="76" w:name="_Toc181381607"/>
      <w:r>
        <w:rPr>
          <w:rFonts w:cs="Times New Roman"/>
        </w:rPr>
        <w:t>3.5 环境影响识别和重点环境要素的筛选</w:t>
      </w:r>
      <w:bookmarkEnd w:id="76"/>
    </w:p>
    <w:p>
      <w:pPr>
        <w:pStyle w:val="4"/>
        <w:rPr>
          <w:rFonts w:cs="Times New Roman"/>
        </w:rPr>
      </w:pPr>
      <w:r>
        <w:rPr>
          <w:rFonts w:cs="Times New Roman"/>
        </w:rPr>
        <w:t>3.5.1 环境影响识别</w:t>
      </w:r>
    </w:p>
    <w:p>
      <w:pPr>
        <w:ind w:firstLine="480"/>
        <w:rPr>
          <w:rFonts w:cs="Times New Roman"/>
        </w:rPr>
      </w:pPr>
      <w:r>
        <w:rPr>
          <w:rFonts w:cs="Times New Roman"/>
        </w:rPr>
        <w:t>采用矩阵识别分析方法明确工程不同时段各影响因素对自然环境和社会环境的影响性质及影响程度，分析结果见表3.5-1。</w:t>
      </w:r>
    </w:p>
    <w:p>
      <w:pPr>
        <w:pStyle w:val="137"/>
        <w:spacing w:before="62"/>
      </w:pPr>
      <w:r>
        <w:t>表3.5-1             代尔昆代水库工程环境影响识别矩阵</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527"/>
        <w:gridCol w:w="980"/>
        <w:gridCol w:w="406"/>
        <w:gridCol w:w="406"/>
        <w:gridCol w:w="436"/>
        <w:gridCol w:w="467"/>
        <w:gridCol w:w="497"/>
        <w:gridCol w:w="497"/>
        <w:gridCol w:w="497"/>
        <w:gridCol w:w="497"/>
        <w:gridCol w:w="497"/>
        <w:gridCol w:w="467"/>
        <w:gridCol w:w="497"/>
        <w:gridCol w:w="497"/>
        <w:gridCol w:w="497"/>
        <w:gridCol w:w="497"/>
        <w:gridCol w:w="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84" w:type="dxa"/>
            <w:gridSpan w:val="3"/>
            <w:vMerge w:val="restart"/>
            <w:vAlign w:val="center"/>
          </w:tcPr>
          <w:p>
            <w:pPr>
              <w:pStyle w:val="136"/>
            </w:pPr>
            <w:r>
              <w:t>影响因素</w:t>
            </w:r>
          </w:p>
        </w:tc>
        <w:tc>
          <w:tcPr>
            <w:tcW w:w="5471" w:type="dxa"/>
            <w:gridSpan w:val="12"/>
            <w:vAlign w:val="center"/>
          </w:tcPr>
          <w:p>
            <w:pPr>
              <w:pStyle w:val="136"/>
            </w:pPr>
            <w:r>
              <w:t>自然环境</w:t>
            </w:r>
          </w:p>
        </w:tc>
        <w:tc>
          <w:tcPr>
            <w:tcW w:w="0" w:type="auto"/>
            <w:gridSpan w:val="3"/>
            <w:vAlign w:val="center"/>
          </w:tcPr>
          <w:p>
            <w:pPr>
              <w:pStyle w:val="136"/>
            </w:pPr>
            <w:r>
              <w:t>社会环境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84" w:type="dxa"/>
            <w:gridSpan w:val="3"/>
            <w:vMerge w:val="continue"/>
            <w:vAlign w:val="center"/>
          </w:tcPr>
          <w:p>
            <w:pPr>
              <w:pStyle w:val="136"/>
            </w:pPr>
          </w:p>
        </w:tc>
        <w:tc>
          <w:tcPr>
            <w:tcW w:w="396" w:type="dxa"/>
            <w:vAlign w:val="center"/>
          </w:tcPr>
          <w:p>
            <w:pPr>
              <w:pStyle w:val="136"/>
            </w:pPr>
            <w:r>
              <w:t>水文</w:t>
            </w:r>
          </w:p>
        </w:tc>
        <w:tc>
          <w:tcPr>
            <w:tcW w:w="0" w:type="auto"/>
            <w:vAlign w:val="center"/>
          </w:tcPr>
          <w:p>
            <w:pPr>
              <w:pStyle w:val="136"/>
            </w:pPr>
            <w:r>
              <w:t>水</w:t>
            </w:r>
          </w:p>
          <w:p>
            <w:pPr>
              <w:pStyle w:val="136"/>
            </w:pPr>
            <w:r>
              <w:t>温</w:t>
            </w:r>
          </w:p>
        </w:tc>
        <w:tc>
          <w:tcPr>
            <w:tcW w:w="0" w:type="auto"/>
            <w:vAlign w:val="center"/>
          </w:tcPr>
          <w:p>
            <w:pPr>
              <w:pStyle w:val="136"/>
            </w:pPr>
            <w:r>
              <w:t>水质</w:t>
            </w:r>
          </w:p>
        </w:tc>
        <w:tc>
          <w:tcPr>
            <w:tcW w:w="0" w:type="auto"/>
            <w:vAlign w:val="center"/>
          </w:tcPr>
          <w:p>
            <w:pPr>
              <w:pStyle w:val="136"/>
            </w:pPr>
            <w:r>
              <w:t>地下水</w:t>
            </w:r>
          </w:p>
        </w:tc>
        <w:tc>
          <w:tcPr>
            <w:tcW w:w="0" w:type="auto"/>
            <w:vAlign w:val="center"/>
          </w:tcPr>
          <w:p>
            <w:pPr>
              <w:pStyle w:val="136"/>
            </w:pPr>
            <w:r>
              <w:t>陆生植物</w:t>
            </w:r>
          </w:p>
        </w:tc>
        <w:tc>
          <w:tcPr>
            <w:tcW w:w="0" w:type="auto"/>
            <w:vAlign w:val="center"/>
          </w:tcPr>
          <w:p>
            <w:pPr>
              <w:pStyle w:val="136"/>
            </w:pPr>
            <w:r>
              <w:t>陆生动物</w:t>
            </w:r>
          </w:p>
        </w:tc>
        <w:tc>
          <w:tcPr>
            <w:tcW w:w="0" w:type="auto"/>
            <w:vAlign w:val="center"/>
          </w:tcPr>
          <w:p>
            <w:pPr>
              <w:pStyle w:val="136"/>
            </w:pPr>
            <w:r>
              <w:t>水生动物</w:t>
            </w:r>
          </w:p>
        </w:tc>
        <w:tc>
          <w:tcPr>
            <w:tcW w:w="0" w:type="auto"/>
            <w:vAlign w:val="center"/>
          </w:tcPr>
          <w:p>
            <w:pPr>
              <w:pStyle w:val="136"/>
            </w:pPr>
            <w:r>
              <w:t>环境空气</w:t>
            </w:r>
          </w:p>
        </w:tc>
        <w:tc>
          <w:tcPr>
            <w:tcW w:w="0" w:type="auto"/>
            <w:vAlign w:val="center"/>
          </w:tcPr>
          <w:p>
            <w:pPr>
              <w:pStyle w:val="136"/>
            </w:pPr>
            <w:r>
              <w:t>土壤环境</w:t>
            </w:r>
          </w:p>
        </w:tc>
        <w:tc>
          <w:tcPr>
            <w:tcW w:w="0" w:type="auto"/>
            <w:vAlign w:val="center"/>
          </w:tcPr>
          <w:p>
            <w:pPr>
              <w:pStyle w:val="136"/>
            </w:pPr>
            <w:r>
              <w:t>声环境</w:t>
            </w:r>
          </w:p>
        </w:tc>
        <w:tc>
          <w:tcPr>
            <w:tcW w:w="0" w:type="auto"/>
            <w:vAlign w:val="center"/>
          </w:tcPr>
          <w:p>
            <w:pPr>
              <w:pStyle w:val="136"/>
            </w:pPr>
            <w:r>
              <w:t>土地占用</w:t>
            </w:r>
          </w:p>
        </w:tc>
        <w:tc>
          <w:tcPr>
            <w:tcW w:w="0" w:type="auto"/>
            <w:vAlign w:val="center"/>
          </w:tcPr>
          <w:p>
            <w:pPr>
              <w:pStyle w:val="136"/>
            </w:pPr>
            <w:r>
              <w:t>水土流失</w:t>
            </w:r>
          </w:p>
        </w:tc>
        <w:tc>
          <w:tcPr>
            <w:tcW w:w="0" w:type="auto"/>
            <w:vAlign w:val="center"/>
          </w:tcPr>
          <w:p>
            <w:pPr>
              <w:pStyle w:val="136"/>
            </w:pPr>
            <w:r>
              <w:t>自然景观</w:t>
            </w:r>
          </w:p>
        </w:tc>
        <w:tc>
          <w:tcPr>
            <w:tcW w:w="0" w:type="auto"/>
            <w:vAlign w:val="center"/>
          </w:tcPr>
          <w:p>
            <w:pPr>
              <w:pStyle w:val="136"/>
            </w:pPr>
            <w:r>
              <w:t>人群健康</w:t>
            </w:r>
          </w:p>
        </w:tc>
        <w:tc>
          <w:tcPr>
            <w:tcW w:w="0" w:type="auto"/>
            <w:vAlign w:val="center"/>
          </w:tcPr>
          <w:p>
            <w:pPr>
              <w:pStyle w:val="136"/>
            </w:pPr>
            <w:r>
              <w:t>经济</w:t>
            </w:r>
          </w:p>
          <w:p>
            <w:pPr>
              <w:pStyle w:val="136"/>
            </w:pPr>
            <w:r>
              <w:t>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vAlign w:val="center"/>
          </w:tcPr>
          <w:p>
            <w:pPr>
              <w:pStyle w:val="136"/>
            </w:pPr>
            <w:r>
              <w:t>工</w:t>
            </w:r>
          </w:p>
          <w:p>
            <w:pPr>
              <w:pStyle w:val="136"/>
            </w:pPr>
            <w:r>
              <w:t>程</w:t>
            </w:r>
          </w:p>
          <w:p>
            <w:pPr>
              <w:pStyle w:val="136"/>
            </w:pPr>
            <w:r>
              <w:t>作</w:t>
            </w:r>
          </w:p>
          <w:p>
            <w:pPr>
              <w:pStyle w:val="136"/>
            </w:pPr>
            <w:r>
              <w:t>用</w:t>
            </w:r>
          </w:p>
          <w:p>
            <w:pPr>
              <w:pStyle w:val="136"/>
            </w:pPr>
            <w:r>
              <w:t>因</w:t>
            </w:r>
          </w:p>
          <w:p>
            <w:pPr>
              <w:pStyle w:val="136"/>
            </w:pPr>
            <w:r>
              <w:t>素</w:t>
            </w:r>
          </w:p>
        </w:tc>
        <w:tc>
          <w:tcPr>
            <w:tcW w:w="0" w:type="auto"/>
            <w:vMerge w:val="restart"/>
            <w:shd w:val="clear" w:color="auto" w:fill="auto"/>
            <w:vAlign w:val="center"/>
          </w:tcPr>
          <w:p>
            <w:pPr>
              <w:pStyle w:val="136"/>
            </w:pPr>
            <w:r>
              <w:t>准备期</w:t>
            </w:r>
          </w:p>
        </w:tc>
        <w:tc>
          <w:tcPr>
            <w:tcW w:w="980" w:type="dxa"/>
            <w:vAlign w:val="center"/>
          </w:tcPr>
          <w:p>
            <w:pPr>
              <w:pStyle w:val="136"/>
            </w:pPr>
            <w:r>
              <w:t>场地平整</w:t>
            </w:r>
          </w:p>
        </w:tc>
        <w:tc>
          <w:tcPr>
            <w:tcW w:w="396" w:type="dxa"/>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vAlign w:val="center"/>
          </w:tcPr>
          <w:p>
            <w:pPr>
              <w:pStyle w:val="136"/>
            </w:pPr>
          </w:p>
        </w:tc>
        <w:tc>
          <w:tcPr>
            <w:tcW w:w="0" w:type="auto"/>
            <w:vMerge w:val="continue"/>
            <w:shd w:val="clear" w:color="auto" w:fill="auto"/>
            <w:vAlign w:val="center"/>
          </w:tcPr>
          <w:p>
            <w:pPr>
              <w:pStyle w:val="136"/>
            </w:pPr>
          </w:p>
        </w:tc>
        <w:tc>
          <w:tcPr>
            <w:tcW w:w="980" w:type="dxa"/>
            <w:vAlign w:val="center"/>
          </w:tcPr>
          <w:p>
            <w:pPr>
              <w:pStyle w:val="136"/>
            </w:pPr>
            <w:r>
              <w:t>施工交通</w:t>
            </w:r>
          </w:p>
        </w:tc>
        <w:tc>
          <w:tcPr>
            <w:tcW w:w="396" w:type="dxa"/>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vAlign w:val="center"/>
          </w:tcPr>
          <w:p>
            <w:pPr>
              <w:pStyle w:val="136"/>
            </w:pPr>
          </w:p>
        </w:tc>
        <w:tc>
          <w:tcPr>
            <w:tcW w:w="0" w:type="auto"/>
            <w:vMerge w:val="restart"/>
            <w:shd w:val="clear" w:color="auto" w:fill="auto"/>
            <w:vAlign w:val="center"/>
          </w:tcPr>
          <w:p>
            <w:pPr>
              <w:pStyle w:val="136"/>
            </w:pPr>
            <w:r>
              <w:t>主体施工期</w:t>
            </w:r>
          </w:p>
        </w:tc>
        <w:tc>
          <w:tcPr>
            <w:tcW w:w="980" w:type="dxa"/>
            <w:vAlign w:val="center"/>
          </w:tcPr>
          <w:p>
            <w:pPr>
              <w:pStyle w:val="136"/>
            </w:pPr>
            <w:r>
              <w:t>料场开采</w:t>
            </w:r>
          </w:p>
        </w:tc>
        <w:tc>
          <w:tcPr>
            <w:tcW w:w="396" w:type="dxa"/>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vAlign w:val="center"/>
          </w:tcPr>
          <w:p>
            <w:pPr>
              <w:pStyle w:val="136"/>
            </w:pPr>
          </w:p>
        </w:tc>
        <w:tc>
          <w:tcPr>
            <w:tcW w:w="0" w:type="auto"/>
            <w:vMerge w:val="continue"/>
            <w:vAlign w:val="center"/>
          </w:tcPr>
          <w:p>
            <w:pPr>
              <w:pStyle w:val="136"/>
            </w:pPr>
          </w:p>
        </w:tc>
        <w:tc>
          <w:tcPr>
            <w:tcW w:w="980" w:type="dxa"/>
            <w:vAlign w:val="center"/>
          </w:tcPr>
          <w:p>
            <w:pPr>
              <w:pStyle w:val="136"/>
            </w:pPr>
            <w:r>
              <w:t>主体施工</w:t>
            </w:r>
          </w:p>
        </w:tc>
        <w:tc>
          <w:tcPr>
            <w:tcW w:w="396" w:type="dxa"/>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vAlign w:val="center"/>
          </w:tcPr>
          <w:p>
            <w:pPr>
              <w:pStyle w:val="136"/>
            </w:pPr>
          </w:p>
        </w:tc>
        <w:tc>
          <w:tcPr>
            <w:tcW w:w="0" w:type="auto"/>
            <w:vMerge w:val="continue"/>
            <w:vAlign w:val="center"/>
          </w:tcPr>
          <w:p>
            <w:pPr>
              <w:pStyle w:val="136"/>
            </w:pPr>
          </w:p>
        </w:tc>
        <w:tc>
          <w:tcPr>
            <w:tcW w:w="980" w:type="dxa"/>
            <w:vAlign w:val="center"/>
          </w:tcPr>
          <w:p>
            <w:pPr>
              <w:pStyle w:val="136"/>
            </w:pPr>
            <w:r>
              <w:t>施工场地</w:t>
            </w:r>
          </w:p>
        </w:tc>
        <w:tc>
          <w:tcPr>
            <w:tcW w:w="396" w:type="dxa"/>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vAlign w:val="center"/>
          </w:tcPr>
          <w:p>
            <w:pPr>
              <w:pStyle w:val="136"/>
            </w:pPr>
          </w:p>
        </w:tc>
        <w:tc>
          <w:tcPr>
            <w:tcW w:w="0" w:type="auto"/>
            <w:vMerge w:val="continue"/>
            <w:vAlign w:val="center"/>
          </w:tcPr>
          <w:p>
            <w:pPr>
              <w:pStyle w:val="136"/>
            </w:pPr>
          </w:p>
        </w:tc>
        <w:tc>
          <w:tcPr>
            <w:tcW w:w="980" w:type="dxa"/>
            <w:vAlign w:val="center"/>
          </w:tcPr>
          <w:p>
            <w:pPr>
              <w:pStyle w:val="136"/>
            </w:pPr>
            <w:r>
              <w:t>施工人员</w:t>
            </w:r>
          </w:p>
        </w:tc>
        <w:tc>
          <w:tcPr>
            <w:tcW w:w="396" w:type="dxa"/>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r>
              <w:t xml:space="preserve">  </w:t>
            </w:r>
          </w:p>
        </w:tc>
        <w:tc>
          <w:tcPr>
            <w:tcW w:w="0" w:type="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vAlign w:val="center"/>
          </w:tcPr>
          <w:p>
            <w:pPr>
              <w:pStyle w:val="136"/>
            </w:pPr>
          </w:p>
        </w:tc>
        <w:tc>
          <w:tcPr>
            <w:tcW w:w="0" w:type="auto"/>
            <w:vMerge w:val="continue"/>
            <w:vAlign w:val="center"/>
          </w:tcPr>
          <w:p>
            <w:pPr>
              <w:pStyle w:val="136"/>
            </w:pPr>
          </w:p>
        </w:tc>
        <w:tc>
          <w:tcPr>
            <w:tcW w:w="980" w:type="dxa"/>
            <w:vAlign w:val="center"/>
          </w:tcPr>
          <w:p>
            <w:pPr>
              <w:pStyle w:val="136"/>
            </w:pPr>
            <w:r>
              <w:t>附属工厂</w:t>
            </w:r>
          </w:p>
        </w:tc>
        <w:tc>
          <w:tcPr>
            <w:tcW w:w="396" w:type="dxa"/>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vAlign w:val="center"/>
          </w:tcPr>
          <w:p>
            <w:pPr>
              <w:pStyle w:val="136"/>
            </w:pPr>
          </w:p>
        </w:tc>
        <w:tc>
          <w:tcPr>
            <w:tcW w:w="0" w:type="auto"/>
            <w:vMerge w:val="continue"/>
            <w:vAlign w:val="center"/>
          </w:tcPr>
          <w:p>
            <w:pPr>
              <w:pStyle w:val="136"/>
            </w:pPr>
          </w:p>
        </w:tc>
        <w:tc>
          <w:tcPr>
            <w:tcW w:w="980" w:type="dxa"/>
            <w:vAlign w:val="center"/>
          </w:tcPr>
          <w:p>
            <w:pPr>
              <w:pStyle w:val="136"/>
            </w:pPr>
            <w:r>
              <w:t>弃渣场</w:t>
            </w:r>
          </w:p>
        </w:tc>
        <w:tc>
          <w:tcPr>
            <w:tcW w:w="396" w:type="dxa"/>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r>
              <w:t>▼</w:t>
            </w:r>
          </w:p>
        </w:tc>
        <w:tc>
          <w:tcPr>
            <w:tcW w:w="0" w:type="auto"/>
            <w:vAlign w:val="center"/>
          </w:tcPr>
          <w:p>
            <w:pPr>
              <w:pStyle w:val="136"/>
            </w:pP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vAlign w:val="center"/>
          </w:tcPr>
          <w:p>
            <w:pPr>
              <w:pStyle w:val="136"/>
            </w:pPr>
          </w:p>
        </w:tc>
        <w:tc>
          <w:tcPr>
            <w:tcW w:w="1472" w:type="dxa"/>
            <w:gridSpan w:val="2"/>
            <w:vAlign w:val="center"/>
          </w:tcPr>
          <w:p>
            <w:pPr>
              <w:pStyle w:val="136"/>
            </w:pPr>
            <w:r>
              <w:t>淹没与占地</w:t>
            </w:r>
          </w:p>
        </w:tc>
        <w:tc>
          <w:tcPr>
            <w:tcW w:w="396" w:type="dxa"/>
            <w:vAlign w:val="center"/>
          </w:tcPr>
          <w:p>
            <w:pPr>
              <w:pStyle w:val="136"/>
            </w:pPr>
            <w: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r>
              <w:t>▼</w:t>
            </w:r>
          </w:p>
        </w:tc>
        <w:tc>
          <w:tcPr>
            <w:tcW w:w="0" w:type="auto"/>
            <w:vAlign w:val="center"/>
          </w:tcPr>
          <w:p>
            <w:pPr>
              <w:pStyle w:val="136"/>
            </w:pPr>
          </w:p>
        </w:tc>
        <w:tc>
          <w:tcPr>
            <w:tcW w:w="0" w:type="auto"/>
            <w:vAlign w:val="center"/>
          </w:tcPr>
          <w:p>
            <w:pPr>
              <w:pStyle w:val="136"/>
            </w:pPr>
            <w:r>
              <w:t>▼</w:t>
            </w:r>
          </w:p>
        </w:tc>
        <w:tc>
          <w:tcPr>
            <w:tcW w:w="0" w:type="auto"/>
            <w:vAlign w:val="center"/>
          </w:tcPr>
          <w:p>
            <w:pPr>
              <w:pStyle w:val="136"/>
            </w:pPr>
            <w: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0" w:type="auto"/>
            <w:vMerge w:val="continue"/>
            <w:vAlign w:val="center"/>
          </w:tcPr>
          <w:p>
            <w:pPr>
              <w:pStyle w:val="136"/>
            </w:pPr>
          </w:p>
        </w:tc>
        <w:tc>
          <w:tcPr>
            <w:tcW w:w="0" w:type="auto"/>
            <w:vMerge w:val="restart"/>
            <w:vAlign w:val="center"/>
          </w:tcPr>
          <w:p>
            <w:pPr>
              <w:pStyle w:val="136"/>
            </w:pPr>
            <w:r>
              <w:t>运行期</w:t>
            </w:r>
          </w:p>
        </w:tc>
        <w:tc>
          <w:tcPr>
            <w:tcW w:w="980" w:type="dxa"/>
            <w:vAlign w:val="center"/>
          </w:tcPr>
          <w:p>
            <w:pPr>
              <w:pStyle w:val="136"/>
            </w:pPr>
            <w:r>
              <w:t>运行调度</w:t>
            </w:r>
          </w:p>
        </w:tc>
        <w:tc>
          <w:tcPr>
            <w:tcW w:w="396" w:type="dxa"/>
            <w:vAlign w:val="center"/>
          </w:tcPr>
          <w:p>
            <w:pPr>
              <w:pStyle w:val="136"/>
            </w:pPr>
            <w:r>
              <w:t>▼</w:t>
            </w:r>
          </w:p>
        </w:tc>
        <w:tc>
          <w:tcPr>
            <w:tcW w:w="0" w:type="auto"/>
            <w:vAlign w:val="center"/>
          </w:tcPr>
          <w:p>
            <w:pPr>
              <w:pStyle w:val="136"/>
            </w:pPr>
            <w:r>
              <w:rPr>
                <w:rFonts w:ascii="Cambria Math" w:hAnsi="Cambria Math" w:cs="Cambria Math"/>
              </w:rPr>
              <w:t>▽</w:t>
            </w:r>
          </w:p>
        </w:tc>
        <w:tc>
          <w:tcPr>
            <w:tcW w:w="0" w:type="auto"/>
            <w:vAlign w:val="center"/>
          </w:tcPr>
          <w:p>
            <w:pPr>
              <w:pStyle w:val="136"/>
            </w:pPr>
            <w:r>
              <w:rPr>
                <w:rFonts w:ascii="Cambria Math" w:hAnsi="Cambria Math" w:cs="Cambria Math"/>
              </w:rPr>
              <w:t>▽</w:t>
            </w:r>
          </w:p>
        </w:tc>
        <w:tc>
          <w:tcPr>
            <w:tcW w:w="0" w:type="auto"/>
            <w:vAlign w:val="center"/>
          </w:tcPr>
          <w:p>
            <w:pPr>
              <w:pStyle w:val="136"/>
            </w:pPr>
            <w:r>
              <w:t>▼</w:t>
            </w: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0" w:type="auto"/>
            <w:vMerge w:val="continue"/>
            <w:vAlign w:val="center"/>
          </w:tcPr>
          <w:p>
            <w:pPr>
              <w:pStyle w:val="136"/>
            </w:pPr>
          </w:p>
        </w:tc>
        <w:tc>
          <w:tcPr>
            <w:tcW w:w="0" w:type="auto"/>
            <w:vMerge w:val="continue"/>
            <w:vAlign w:val="center"/>
          </w:tcPr>
          <w:p>
            <w:pPr>
              <w:pStyle w:val="136"/>
            </w:pPr>
          </w:p>
        </w:tc>
        <w:tc>
          <w:tcPr>
            <w:tcW w:w="980" w:type="dxa"/>
            <w:vAlign w:val="center"/>
          </w:tcPr>
          <w:p>
            <w:pPr>
              <w:pStyle w:val="136"/>
            </w:pPr>
            <w:r>
              <w:t>工程管理</w:t>
            </w:r>
          </w:p>
        </w:tc>
        <w:tc>
          <w:tcPr>
            <w:tcW w:w="396" w:type="dxa"/>
            <w:vAlign w:val="center"/>
          </w:tcPr>
          <w:p>
            <w:pPr>
              <w:pStyle w:val="136"/>
            </w:pPr>
          </w:p>
        </w:tc>
        <w:tc>
          <w:tcPr>
            <w:tcW w:w="0" w:type="auto"/>
            <w:vAlign w:val="center"/>
          </w:tcPr>
          <w:p>
            <w:pPr>
              <w:pStyle w:val="136"/>
            </w:pPr>
          </w:p>
        </w:tc>
        <w:tc>
          <w:tcPr>
            <w:tcW w:w="0" w:type="auto"/>
            <w:vAlign w:val="center"/>
          </w:tcPr>
          <w:p>
            <w:pPr>
              <w:pStyle w:val="136"/>
            </w:pPr>
            <w:r>
              <w:rPr>
                <w:rFonts w:ascii="Cambria Math" w:hAnsi="Cambria Math" w:cs="Cambria Math"/>
              </w:rPr>
              <w:t>▽</w:t>
            </w: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c>
          <w:tcPr>
            <w:tcW w:w="0" w:type="auto"/>
            <w:vAlign w:val="center"/>
          </w:tcPr>
          <w:p>
            <w:pPr>
              <w:pStyle w:val="136"/>
            </w:pPr>
          </w:p>
        </w:tc>
      </w:tr>
    </w:tbl>
    <w:p>
      <w:pPr>
        <w:pStyle w:val="113"/>
        <w:ind w:firstLine="180"/>
      </w:pPr>
      <w:r>
        <w:t>注：▼为显著不利影响；为较小不利影响；▲为显著有利影响；为较小有利影响。</w:t>
      </w:r>
    </w:p>
    <w:p>
      <w:pPr>
        <w:ind w:firstLine="480"/>
        <w:rPr>
          <w:rFonts w:cs="Times New Roman"/>
        </w:rPr>
      </w:pPr>
    </w:p>
    <w:p>
      <w:pPr>
        <w:pStyle w:val="4"/>
        <w:rPr>
          <w:rFonts w:cs="Times New Roman"/>
        </w:rPr>
      </w:pPr>
      <w:r>
        <w:rPr>
          <w:rFonts w:cs="Times New Roman"/>
        </w:rPr>
        <w:t>3.5.2 重点环境要素筛选</w:t>
      </w:r>
    </w:p>
    <w:p>
      <w:pPr>
        <w:ind w:firstLine="480"/>
        <w:rPr>
          <w:rFonts w:cs="Times New Roman"/>
        </w:rPr>
      </w:pPr>
      <w:r>
        <w:rPr>
          <w:rFonts w:cs="Times New Roman"/>
        </w:rPr>
        <w:t>根据对工程各阶段环境影响源及其影响因素的分析，通过上述环境影响识别，筛选出以下环境问题作为本次评价工作的重点内容：</w:t>
      </w:r>
    </w:p>
    <w:p>
      <w:pPr>
        <w:ind w:firstLine="480"/>
        <w:rPr>
          <w:rFonts w:cs="Times New Roman"/>
        </w:rPr>
      </w:pPr>
      <w:r>
        <w:rPr>
          <w:rFonts w:cs="Times New Roman"/>
        </w:rPr>
        <w:t>（1）对水文情势的影响</w:t>
      </w:r>
    </w:p>
    <w:p>
      <w:pPr>
        <w:ind w:firstLine="480"/>
        <w:rPr>
          <w:rFonts w:cs="Times New Roman"/>
        </w:rPr>
      </w:pPr>
      <w:r>
        <w:rPr>
          <w:rFonts w:cs="Times New Roman"/>
        </w:rPr>
        <w:t>（2）对地表水环境的影响</w:t>
      </w:r>
    </w:p>
    <w:p>
      <w:pPr>
        <w:ind w:firstLine="480"/>
        <w:rPr>
          <w:rFonts w:cs="Times New Roman"/>
        </w:rPr>
      </w:pPr>
      <w:r>
        <w:rPr>
          <w:rFonts w:hint="eastAsia" w:ascii="宋体" w:hAnsi="宋体" w:cs="宋体"/>
        </w:rPr>
        <w:t>①</w:t>
      </w:r>
      <w:r>
        <w:rPr>
          <w:rFonts w:cs="Times New Roman"/>
        </w:rPr>
        <w:t>对河流水质的影响</w:t>
      </w:r>
    </w:p>
    <w:p>
      <w:pPr>
        <w:ind w:firstLine="480"/>
        <w:rPr>
          <w:rFonts w:cs="Times New Roman"/>
        </w:rPr>
      </w:pPr>
      <w:r>
        <w:rPr>
          <w:rFonts w:hint="eastAsia" w:ascii="宋体" w:hAnsi="宋体" w:cs="宋体"/>
        </w:rPr>
        <w:t>②</w:t>
      </w:r>
      <w:r>
        <w:rPr>
          <w:rFonts w:cs="Times New Roman"/>
        </w:rPr>
        <w:t>对水温的影响</w:t>
      </w:r>
    </w:p>
    <w:p>
      <w:pPr>
        <w:ind w:firstLine="480"/>
        <w:rPr>
          <w:rFonts w:cs="Times New Roman"/>
        </w:rPr>
      </w:pPr>
      <w:r>
        <w:rPr>
          <w:rFonts w:cs="Times New Roman"/>
        </w:rPr>
        <w:t>（3）对地下水环境的影响</w:t>
      </w:r>
    </w:p>
    <w:p>
      <w:pPr>
        <w:ind w:firstLine="480"/>
        <w:rPr>
          <w:rFonts w:cs="Times New Roman"/>
        </w:rPr>
      </w:pPr>
      <w:r>
        <w:rPr>
          <w:rFonts w:cs="Times New Roman"/>
        </w:rPr>
        <w:t>（4）对陆生生态的影响预测</w:t>
      </w:r>
    </w:p>
    <w:p>
      <w:pPr>
        <w:ind w:firstLine="48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hint="eastAsia" w:ascii="宋体" w:hAnsi="宋体" w:cs="宋体"/>
        </w:rPr>
        <w:t>①</w:t>
      </w:r>
      <w:r>
        <w:rPr>
          <w:rFonts w:cs="Times New Roman"/>
        </w:rPr>
        <w:fldChar w:fldCharType="end"/>
      </w:r>
      <w:r>
        <w:rPr>
          <w:rFonts w:cs="Times New Roman"/>
        </w:rPr>
        <w:t>对生态系统的结构与功能影响分析</w:t>
      </w:r>
    </w:p>
    <w:p>
      <w:pPr>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对陆生动、植物的影响</w:t>
      </w:r>
    </w:p>
    <w:p>
      <w:pPr>
        <w:ind w:firstLine="480"/>
        <w:rPr>
          <w:rFonts w:cs="Times New Roman"/>
        </w:rPr>
      </w:pPr>
      <w:r>
        <w:rPr>
          <w:rFonts w:cs="Times New Roman"/>
        </w:rPr>
        <w:t>（5）对土壤环境的影响预测</w:t>
      </w:r>
    </w:p>
    <w:p>
      <w:pPr>
        <w:ind w:firstLine="480"/>
        <w:rPr>
          <w:rFonts w:cs="Times New Roman"/>
        </w:rPr>
      </w:pPr>
      <w:r>
        <w:rPr>
          <w:rFonts w:cs="Times New Roman"/>
        </w:rPr>
        <w:t>（6）对水生生态的影响</w:t>
      </w:r>
    </w:p>
    <w:p>
      <w:pPr>
        <w:ind w:firstLine="480"/>
        <w:rPr>
          <w:rFonts w:cs="Times New Roman"/>
        </w:rPr>
      </w:pPr>
      <w:r>
        <w:rPr>
          <w:rFonts w:cs="Times New Roman"/>
        </w:rPr>
        <w:t>（7）施工期环境影响</w:t>
      </w:r>
    </w:p>
    <w:p>
      <w:pPr>
        <w:ind w:firstLine="480"/>
        <w:rPr>
          <w:rFonts w:cs="Times New Roman"/>
        </w:rPr>
      </w:pPr>
      <w:r>
        <w:rPr>
          <w:rFonts w:cs="Times New Roman"/>
        </w:rPr>
        <w:t>（8）对社会环境的影响</w:t>
      </w:r>
    </w:p>
    <w:p>
      <w:pPr>
        <w:ind w:firstLine="480"/>
        <w:rPr>
          <w:rFonts w:cs="Times New Roman"/>
        </w:rPr>
      </w:pPr>
      <w:r>
        <w:rPr>
          <w:rFonts w:cs="Times New Roman"/>
        </w:rPr>
        <w:t>其中地下水环境、陆生生态影响分析是本次环评的重点。地表水环境评价的重点是对水文情势的影响；地下水环境评价的重点是对下游下马崖乡泉水的影响；陆生生态评价的重点是对生态完整性的影响，并提出相应的环境保护对策措施。</w:t>
      </w:r>
      <w:r>
        <w:rPr>
          <w:rFonts w:cs="Times New Roman"/>
        </w:rPr>
        <w:br w:type="page"/>
      </w:r>
    </w:p>
    <w:p>
      <w:pPr>
        <w:pStyle w:val="2"/>
        <w:rPr>
          <w:rFonts w:cs="Times New Roman"/>
        </w:rPr>
      </w:pPr>
      <w:bookmarkStart w:id="77" w:name="_Toc181381608"/>
      <w:r>
        <w:rPr>
          <w:rFonts w:cs="Times New Roman"/>
        </w:rPr>
        <w:t>4. 环境概况</w:t>
      </w:r>
      <w:bookmarkEnd w:id="77"/>
    </w:p>
    <w:p>
      <w:pPr>
        <w:pStyle w:val="3"/>
        <w:rPr>
          <w:rFonts w:cs="Times New Roman"/>
        </w:rPr>
      </w:pPr>
      <w:bookmarkStart w:id="78" w:name="_Toc181381609"/>
      <w:r>
        <w:rPr>
          <w:rFonts w:cs="Times New Roman"/>
        </w:rPr>
        <w:t>4.1 流域环境概况</w:t>
      </w:r>
      <w:bookmarkEnd w:id="78"/>
    </w:p>
    <w:p>
      <w:pPr>
        <w:ind w:firstLine="480"/>
        <w:rPr>
          <w:rFonts w:cs="Times New Roman"/>
        </w:rPr>
      </w:pPr>
      <w:r>
        <w:rPr>
          <w:rFonts w:cs="Times New Roman"/>
        </w:rPr>
        <w:t>代尔昆代郭勒河流域位于伊吾县境内，地处天山山脉东段，西与伊吾河相接，南面以天山山脊线为界，北部为淖毛湖灌区。</w:t>
      </w:r>
    </w:p>
    <w:p>
      <w:pPr>
        <w:ind w:firstLine="480"/>
        <w:rPr>
          <w:rFonts w:cs="Times New Roman"/>
        </w:rPr>
      </w:pPr>
      <w:r>
        <w:rPr>
          <w:rFonts w:cs="Times New Roman"/>
        </w:rPr>
        <w:t>代尔昆代郭勒河发源于东天山末端喀尔里克山北坡，属于山溪性河流；该河由阿腊萨拉和亚喀萨拉两支流汇合形成，河流整体流向自西南向东北，出山后流经广袤的下马崖戈壁，后经下马崖乡后折向北流，最终消失在茫茫戈壁滩。流域总面积1412km</w:t>
      </w:r>
      <w:r>
        <w:rPr>
          <w:rFonts w:cs="Times New Roman"/>
          <w:vertAlign w:val="superscript"/>
        </w:rPr>
        <w:t>2</w:t>
      </w:r>
      <w:r>
        <w:rPr>
          <w:rFonts w:cs="Times New Roman"/>
        </w:rPr>
        <w:t>，河长总计约142km。</w:t>
      </w:r>
    </w:p>
    <w:p>
      <w:pPr>
        <w:ind w:firstLine="480"/>
        <w:rPr>
          <w:rFonts w:cs="Times New Roman"/>
        </w:rPr>
      </w:pPr>
      <w:r>
        <w:rPr>
          <w:rFonts w:cs="Times New Roman"/>
        </w:rPr>
        <w:t>根据河流沿线地貌特征等，代尔昆代郭勒河可分为上中下游三段。</w:t>
      </w:r>
    </w:p>
    <w:p>
      <w:pPr>
        <w:ind w:firstLine="480"/>
        <w:rPr>
          <w:rFonts w:cs="Times New Roman"/>
        </w:rPr>
      </w:pPr>
      <w:r>
        <w:rPr>
          <w:rFonts w:cs="Times New Roman"/>
        </w:rPr>
        <w:t>代尔昆代郭勒河出山口以上河段为上游，河道自北向南流经中高山和丘陵地带，河道狭长且下切严重，河漫滩不发育，河水归槽现象明显，两岸植被不发育，以荒漠类灌木为主；河长约18km，流域面积约86.9km</w:t>
      </w:r>
      <w:r>
        <w:rPr>
          <w:rFonts w:cs="Times New Roman"/>
          <w:vertAlign w:val="superscript"/>
        </w:rPr>
        <w:t>2</w:t>
      </w:r>
      <w:r>
        <w:rPr>
          <w:rFonts w:cs="Times New Roman"/>
        </w:rPr>
        <w:t>。代尔昆代水库即位于该河段，水库坝址距下游出山口断面约6km，坝址断面年均径流量834万m</w:t>
      </w:r>
      <w:r>
        <w:rPr>
          <w:rFonts w:cs="Times New Roman"/>
          <w:vertAlign w:val="superscript"/>
        </w:rPr>
        <w:t>3</w:t>
      </w:r>
      <w:r>
        <w:rPr>
          <w:rFonts w:cs="Times New Roman"/>
        </w:rPr>
        <w:t>、年均流量0.26m</w:t>
      </w:r>
      <w:r>
        <w:rPr>
          <w:rFonts w:cs="Times New Roman"/>
          <w:vertAlign w:val="superscript"/>
        </w:rPr>
        <w:t>3</w:t>
      </w:r>
      <w:r>
        <w:rPr>
          <w:rFonts w:cs="Times New Roman"/>
        </w:rPr>
        <w:t>/s；代尔昆代郭勒河主要由季节性融雪水、夏季降雨补给为主，同时基岩裂隙水也具有一定补给作用。由于补给源不稳定且补给量小，加之河床覆盖层以第四系卵砾石为主，下渗严重，山区河段（上游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平原区河段（中下游河段）几乎无地表明流，仅汛期，当代尔昆代郭勒河发生洪水时，由于河流的坡降大，区域产生的融雪洪水或暴雨洪水往往洪量少流速大，地表明流可流出山口断面，但很快会消散于下马崖戈壁。</w:t>
      </w:r>
    </w:p>
    <w:p>
      <w:pPr>
        <w:ind w:firstLine="480"/>
        <w:rPr>
          <w:rFonts w:cs="Times New Roman"/>
        </w:rPr>
      </w:pPr>
      <w:r>
        <w:rPr>
          <w:rFonts w:cs="Times New Roman"/>
        </w:rPr>
        <w:t>出山口至下游下马崖乡附近铁道线路之间河段为中游河段，河长约47km，期间无支流汇入，处于径流损失区，河道常年无地表径流，河水以地下潜流形式向下游排泄，部分地下潜流以泉的形式在下马崖乡与周边区域山沟潜流相汇后出露并用于下马崖乡农业灌溉；本段河道比降4%～5%，海拔高度介于860～1990m之间，地形狭窄，具有明显的山间谷地特征。河道呈南向北流向，河谷宽阔，河谷切割深度1～3m，河床宽30～400m，两岸分布1～2级阶地。由于干旱剥蚀及强烈的风蚀作用，地表呈现明显戈壁样，分布有下马崖戈壁，大部分区域仅分布有稀疏的荒漠类植物，多为真旱生和广旱生、丛生禾草组成的植物群落，多为沙生针茅、棱狐茅、芨芨草及超旱生小半灌木的合头草、白刺、中麻黄和其他旱生灌木。</w:t>
      </w:r>
    </w:p>
    <w:p>
      <w:pPr>
        <w:ind w:firstLine="480"/>
        <w:rPr>
          <w:rFonts w:cs="Times New Roman"/>
        </w:rPr>
      </w:pPr>
      <w:r>
        <w:rPr>
          <w:rFonts w:cs="Times New Roman"/>
        </w:rPr>
        <w:t>下马崖乡附近铁道线路以下代尔昆代郭勒河河道为下游河段，河长约77km，该河段亦无支流汇入，同处于径流损失区，河道常年无地表径流，河水以地下潜流形式向下游排泄。该段河道长度为75.73km，平均纵坡为1.04%，海拔高度介于440～860m之间，地势平坦，河道呈南向北流向，常年为干涸戈壁，河道两岸大部分区域仅分布有稀疏的荒漠类植物。</w:t>
      </w:r>
    </w:p>
    <w:p>
      <w:pPr>
        <w:ind w:firstLine="480"/>
        <w:rPr>
          <w:rFonts w:cs="Times New Roman"/>
        </w:rPr>
      </w:pPr>
    </w:p>
    <w:p>
      <w:pPr>
        <w:pStyle w:val="3"/>
        <w:rPr>
          <w:rFonts w:cs="Times New Roman"/>
        </w:rPr>
      </w:pPr>
      <w:bookmarkStart w:id="79" w:name="_Toc181381610"/>
      <w:r>
        <w:rPr>
          <w:rFonts w:cs="Times New Roman"/>
        </w:rPr>
        <w:t>4.2 工程影响区环境概况</w:t>
      </w:r>
      <w:bookmarkEnd w:id="79"/>
    </w:p>
    <w:p>
      <w:pPr>
        <w:pStyle w:val="4"/>
        <w:rPr>
          <w:rFonts w:cs="Times New Roman"/>
        </w:rPr>
      </w:pPr>
      <w:r>
        <w:rPr>
          <w:rFonts w:cs="Times New Roman"/>
        </w:rPr>
        <w:t>4.2.1 自然环境概况</w:t>
      </w:r>
    </w:p>
    <w:p>
      <w:pPr>
        <w:pStyle w:val="62"/>
        <w:rPr>
          <w:rFonts w:cs="Times New Roman"/>
        </w:rPr>
      </w:pPr>
      <w:r>
        <w:rPr>
          <w:rFonts w:cs="Times New Roman"/>
        </w:rPr>
        <w:t>4.2.1.1 地形地貌</w:t>
      </w:r>
    </w:p>
    <w:p>
      <w:pPr>
        <w:ind w:firstLine="480"/>
        <w:rPr>
          <w:rFonts w:cs="Times New Roman"/>
        </w:rPr>
      </w:pPr>
      <w:r>
        <w:rPr>
          <w:rFonts w:cs="Times New Roman"/>
        </w:rPr>
        <w:t>（1）水库区</w:t>
      </w:r>
    </w:p>
    <w:p>
      <w:pPr>
        <w:ind w:firstLine="480"/>
        <w:rPr>
          <w:rFonts w:cs="Times New Roman"/>
        </w:rPr>
      </w:pPr>
      <w:r>
        <w:rPr>
          <w:rFonts w:cs="Times New Roman"/>
        </w:rPr>
        <w:t>代尔昆代水库库区位于代尔昆代郭勒沟口以上约6.5km至7.5km河段，为侵蚀构造低中山地貌，地形南高北低，河床平均坡降2.8%左右，河谷呈“U”型谷，底宽30.00～80.00m，河谷与两岸山顶相对高差90.00m至160.00m。河床发育Ⅰ～Ⅱ级阶地，库区近坝段河床较为宽阔，河谷底宽195～315m，远坝段河床狭窄，平均宽度仅约80m。</w:t>
      </w:r>
    </w:p>
    <w:p>
      <w:pPr>
        <w:ind w:firstLine="480"/>
        <w:rPr>
          <w:rFonts w:cs="Times New Roman"/>
        </w:rPr>
      </w:pPr>
      <w:r>
        <w:rPr>
          <w:rFonts w:cs="Times New Roman"/>
        </w:rPr>
        <w:t>（2）坝址区</w:t>
      </w:r>
    </w:p>
    <w:p>
      <w:pPr>
        <w:ind w:firstLine="480"/>
        <w:rPr>
          <w:rFonts w:cs="Times New Roman"/>
        </w:rPr>
      </w:pPr>
      <w:r>
        <w:rPr>
          <w:rFonts w:cs="Times New Roman"/>
        </w:rPr>
        <w:t>代尔昆代水库坝址位于代尔昆代郭勒沟口以上6.5km处，为侵蚀构造低中山地貌，地形南高北低，地理坐标东经94°47′24″；北纬43°07′40″；河谷走向约NW18.0°，河床坡降2.6%，左岸坡度25.0°～41.0°,右岸坡度11.0～50°。河谷类型为“U”型谷，谷底宽度59.00m。左坝肩岸坡自然边坡坡度为25~41.0°，基岩裸露，部分山坡散布少量崩塌岩块。</w:t>
      </w:r>
    </w:p>
    <w:p>
      <w:pPr>
        <w:pStyle w:val="62"/>
        <w:rPr>
          <w:rFonts w:cs="Times New Roman"/>
        </w:rPr>
      </w:pPr>
      <w:r>
        <w:rPr>
          <w:rFonts w:cs="Times New Roman"/>
        </w:rPr>
        <w:t>4.2.1.2 气候条件</w:t>
      </w:r>
    </w:p>
    <w:p>
      <w:pPr>
        <w:ind w:firstLine="480"/>
        <w:rPr>
          <w:rFonts w:cs="Times New Roman"/>
        </w:rPr>
      </w:pPr>
      <w:r>
        <w:rPr>
          <w:rFonts w:cs="Times New Roman"/>
        </w:rPr>
        <w:t>代尔昆代郭勒流域地处欧亚大陆腹地，远离海洋，周围有高山阻隔，流域内呈典型的温带大陆性气候，其主要特点是：气温年内变化较大，日差较大，空气干燥，日照长，蒸发强烈，降水量较少。</w:t>
      </w:r>
    </w:p>
    <w:p>
      <w:pPr>
        <w:ind w:firstLine="480"/>
        <w:rPr>
          <w:rFonts w:cs="Times New Roman"/>
        </w:rPr>
      </w:pPr>
      <w:r>
        <w:rPr>
          <w:rFonts w:cs="Times New Roman"/>
        </w:rPr>
        <w:t>代尔昆代郭勒流域无国家基本水文气象站网，属无资料区域，在流域西北部有国家气象站伊吾气象站，与流域地貌和气候条件相似，本着距离较近、高程相近的原则，以伊吾县气象站气象资料为代表，气象观测资料统计成果详见表4.2-1。</w:t>
      </w:r>
    </w:p>
    <w:p>
      <w:pPr>
        <w:ind w:firstLine="480"/>
        <w:rPr>
          <w:rFonts w:cs="Times New Roman"/>
        </w:rPr>
      </w:pPr>
      <w:r>
        <w:rPr>
          <w:rFonts w:cs="Times New Roman"/>
        </w:rPr>
        <w:t>代尔昆代郭勒流域气温四季变化不明显，热量不足，年内只分暖季和冷季，暖季凉爽，冷季寒冷，冷季历时超过暖季，冷季历时约200天，暖季约165天，最热月份是7月，最冷月份是1月，多年平均气温为3.8℃，最冷月1月平均气温-12.2℃，最热月7月平均气温18.7℃。伊吾气象站历年极端最高气温32.6℃，历年极端最低气温-31.2℃。</w:t>
      </w:r>
    </w:p>
    <w:p>
      <w:pPr>
        <w:ind w:firstLine="480"/>
        <w:rPr>
          <w:rFonts w:cs="Times New Roman"/>
        </w:rPr>
      </w:pPr>
      <w:r>
        <w:rPr>
          <w:rFonts w:cs="Times New Roman"/>
        </w:rPr>
        <w:t>伊吾气象站的降水量年内分配不均，连续最大四个月（5～8月）的降水量占全年降水量的73.9%，最大月降水量出现在7月，占年降水量的28.1%，最小月降水量出现在2月，仅占年降水量的0.8%。据伊吾气象站降水资料分析，年均降水量97.7mm，最大年降水量196.7mm（1998年），最小年降水量35.1mm（1985年），最大年与最小年比值为5.6倍。</w:t>
      </w:r>
    </w:p>
    <w:p>
      <w:pPr>
        <w:ind w:firstLine="480"/>
        <w:rPr>
          <w:rFonts w:cs="Times New Roman"/>
        </w:rPr>
      </w:pPr>
      <w:r>
        <w:rPr>
          <w:rFonts w:cs="Times New Roman"/>
        </w:rPr>
        <w:t>流域邻近东天山末端喀尔里克山的北坡，由于莫钦乌拉山和东天山几乎呈二字型自东向西挺立在哈密大地，来自西伯利亚的冷空气多经两山的区间通过，多年平均风速3.7m/s，其中春季最大，夏季次之，冬季最小，伊吾气象站1月最大风速24m/s，最大风速28m/s（偏北风），瞬间最大风速34m/s。</w:t>
      </w:r>
    </w:p>
    <w:p>
      <w:pPr>
        <w:ind w:firstLine="480"/>
        <w:rPr>
          <w:rFonts w:cs="Times New Roman"/>
        </w:rPr>
      </w:pPr>
      <w:r>
        <w:rPr>
          <w:rFonts w:cs="Times New Roman"/>
        </w:rPr>
        <w:t>一般年份冻土深1.2～1.5m，历史最大冻土深2.2m。</w:t>
      </w:r>
    </w:p>
    <w:p>
      <w:pPr>
        <w:ind w:firstLine="480"/>
        <w:rPr>
          <w:rFonts w:cs="Times New Roman"/>
        </w:rPr>
      </w:pPr>
      <w:r>
        <w:rPr>
          <w:rFonts w:cs="Times New Roman"/>
        </w:rPr>
        <w:t>据伊吾县气象站的蒸发量资料，该站多年平均蒸发量为2113.1mm（φ20cm），最大年蒸发量为2545.9mm，最小年蒸发量1181.9mm。观测值折算为E-601型水面蒸发量，多年平均水面蒸发量为1405.0mm，最大月出现在5月，占年蒸发量的15.1％，最小月出现在2月，占蒸发量的2.6</w:t>
      </w:r>
      <w:r>
        <w:rPr>
          <w:rFonts w:hint="eastAsia" w:cs="Times New Roman"/>
        </w:rPr>
        <w:t>%</w:t>
      </w:r>
      <w:r>
        <w:rPr>
          <w:rFonts w:cs="Times New Roman"/>
        </w:rPr>
        <w:t>。</w:t>
      </w:r>
    </w:p>
    <w:p>
      <w:pPr>
        <w:pStyle w:val="62"/>
        <w:rPr>
          <w:rFonts w:cs="Times New Roman"/>
        </w:rPr>
      </w:pPr>
      <w:r>
        <w:rPr>
          <w:rFonts w:cs="Times New Roman"/>
        </w:rPr>
        <w:t>4.2.1.3 工程地质</w:t>
      </w:r>
    </w:p>
    <w:p>
      <w:pPr>
        <w:ind w:firstLine="480"/>
        <w:rPr>
          <w:rFonts w:cs="Times New Roman"/>
        </w:rPr>
      </w:pPr>
      <w:r>
        <w:rPr>
          <w:rFonts w:cs="Times New Roman"/>
        </w:rPr>
        <w:t>（1）库坝区</w:t>
      </w:r>
    </w:p>
    <w:p>
      <w:pPr>
        <w:ind w:firstLine="480"/>
        <w:rPr>
          <w:rFonts w:cs="Times New Roman"/>
        </w:rPr>
      </w:pPr>
      <w:r>
        <w:rPr>
          <w:rFonts w:cs="Times New Roman"/>
        </w:rPr>
        <w:t>库坝区为侵蚀构造低中山地貌，地形南高北低，河谷与两岸山顶相对高差90.00m至160.00m。由于新构造运动影响，地壳间歇抬升，河段内发育2级阶地，阶地类型为堆积阶地。Ⅰ级阶地保留比较完整，Ⅱ级阶地为残留阶地。库区出露地层为石炭系下统亚曼苏组第二亚组深灰色凝灰岩，第四系地层分布在河谷、河流阶地及冲沟中，岩性为上更新统洪积（Q</w:t>
      </w:r>
      <w:r>
        <w:rPr>
          <w:rFonts w:cs="Times New Roman"/>
          <w:vertAlign w:val="subscript"/>
        </w:rPr>
        <w:t>3</w:t>
      </w:r>
      <w:r>
        <w:rPr>
          <w:rFonts w:cs="Times New Roman"/>
          <w:vertAlign w:val="superscript"/>
        </w:rPr>
        <w:t>pl</w:t>
      </w:r>
      <w:r>
        <w:rPr>
          <w:rFonts w:cs="Times New Roman"/>
        </w:rPr>
        <w:t>）漂卵、砾石层，全新统冲、洪积（Q</w:t>
      </w:r>
      <w:r>
        <w:rPr>
          <w:rFonts w:cs="Times New Roman"/>
          <w:vertAlign w:val="subscript"/>
        </w:rPr>
        <w:t>4</w:t>
      </w:r>
      <w:r>
        <w:rPr>
          <w:rFonts w:cs="Times New Roman"/>
          <w:vertAlign w:val="superscript"/>
        </w:rPr>
        <w:t>a.pl</w:t>
      </w:r>
      <w:r>
        <w:rPr>
          <w:rFonts w:cs="Times New Roman"/>
        </w:rPr>
        <w:t>）漂卵、砾石层，粉质粘土和全新统坡积（Q</w:t>
      </w:r>
      <w:r>
        <w:rPr>
          <w:rFonts w:cs="Times New Roman"/>
          <w:vertAlign w:val="subscript"/>
        </w:rPr>
        <w:t>4</w:t>
      </w:r>
      <w:r>
        <w:rPr>
          <w:rFonts w:cs="Times New Roman"/>
          <w:vertAlign w:val="superscript"/>
        </w:rPr>
        <w:t>dl</w:t>
      </w:r>
      <w:r>
        <w:rPr>
          <w:rFonts w:cs="Times New Roman"/>
        </w:rPr>
        <w:t>）漂卵石、角砾土层。库区河床上部为第四系松散沉积物，该层为强透水层。下伏地层为深灰色凝灰岩。</w:t>
      </w:r>
    </w:p>
    <w:p>
      <w:pPr>
        <w:ind w:firstLine="480"/>
        <w:rPr>
          <w:rFonts w:cs="Times New Roman"/>
        </w:rPr>
      </w:pPr>
      <w:r>
        <w:rPr>
          <w:rFonts w:cs="Times New Roman"/>
        </w:rPr>
        <w:t>（2）导流洞</w:t>
      </w:r>
    </w:p>
    <w:p>
      <w:pPr>
        <w:ind w:firstLine="480"/>
        <w:rPr>
          <w:rFonts w:cs="Times New Roman"/>
        </w:rPr>
      </w:pPr>
      <w:r>
        <w:rPr>
          <w:rFonts w:cs="Times New Roman"/>
        </w:rPr>
        <w:t>导流（放水）隧洞布置在左岸山体内，为傍山隧洞。导流洞围岩为深灰色凝灰砂岩，受区域构造影响，基岩裂隙发育，较为破碎，镶嵌碎裂状～次块状结构。围岩类别：D0+018—D0+295.5段，上伏基岩厚度 7.0—26.0m，围岩类别Ⅳ类，围岩稳定性较差，成洞性较差。</w:t>
      </w:r>
    </w:p>
    <w:p>
      <w:pPr>
        <w:pStyle w:val="62"/>
        <w:rPr>
          <w:rFonts w:cs="Times New Roman"/>
        </w:rPr>
      </w:pPr>
      <w:r>
        <w:rPr>
          <w:rFonts w:cs="Times New Roman"/>
        </w:rPr>
        <w:t>4.2.1.4 水文</w:t>
      </w:r>
    </w:p>
    <w:p>
      <w:pPr>
        <w:ind w:firstLine="480"/>
        <w:rPr>
          <w:rFonts w:cs="Times New Roman"/>
        </w:rPr>
      </w:pPr>
      <w:r>
        <w:rPr>
          <w:rFonts w:cs="Times New Roman"/>
        </w:rPr>
        <w:t>（1）径流特性</w:t>
      </w:r>
    </w:p>
    <w:p>
      <w:pPr>
        <w:ind w:firstLine="480"/>
        <w:rPr>
          <w:rFonts w:cs="Times New Roman"/>
        </w:rPr>
      </w:pPr>
      <w:r>
        <w:rPr>
          <w:rFonts w:cs="Times New Roman"/>
        </w:rPr>
        <w:t>代尔昆代郭勒河是发源于东天山末端喀尔里克山北坡的一条山溪性小河流，主要补给源为大气降水和高、中低山带的季节性积雪融水。根据可研报告水文章节，由于代尔昆代郭勒沟无水文站，采用流域高程修正法推求出代尔昆代郭勒河多年平均径流量为834万m³，主要集中在4～6月，约占年径流的57.8%，其中5月约占年径流的30.4%。代尔昆代郭勒河多年平均年径流量分配见表4.2-2，工程坝址断面不同频率下天然径流年内分配见表4.2-3。</w:t>
      </w:r>
    </w:p>
    <w:p>
      <w:pPr>
        <w:ind w:firstLine="480"/>
        <w:rPr>
          <w:rFonts w:cs="Times New Roman"/>
        </w:rPr>
      </w:pPr>
      <w:r>
        <w:rPr>
          <w:rFonts w:cs="Times New Roman"/>
        </w:rPr>
        <w:t>（2）洪水</w:t>
      </w:r>
    </w:p>
    <w:p>
      <w:pPr>
        <w:ind w:firstLine="480"/>
        <w:rPr>
          <w:rFonts w:cs="Times New Roman"/>
        </w:rPr>
      </w:pPr>
      <w:r>
        <w:rPr>
          <w:rFonts w:cs="Times New Roman"/>
        </w:rPr>
        <w:t>代尔昆代郭勒河洪水类型主要有季节性融雪型洪水和暴雨型两种。</w:t>
      </w:r>
    </w:p>
    <w:p>
      <w:pPr>
        <w:ind w:firstLine="480"/>
        <w:rPr>
          <w:rFonts w:cs="Times New Roman"/>
        </w:rPr>
      </w:pPr>
      <w:r>
        <w:rPr>
          <w:rFonts w:cs="Times New Roman"/>
        </w:rPr>
        <w:t>融冰融雪型洪水多发生在每年4～5月中旬，随着天山山区气温的升高，山区积雪随之消融，随之产生融雪型洪水，洪水的大小取决于山区前期的降雪量、积雪深度、积雪面积、积雪过程和升温快慢及温度的变化过程，具有明显的日周期变化规律，一日一峰，且一天比一天大，春洪往往是陡涨缓落，一般持续1个月左右。一般情况下，洪水流出控制断面后顺自然河道流淌，受下游地质条件影响，洪水水量在流淌过程中大量下渗，最终转换成地下水，故整个下马崖戈壁下游侧的下马崖乡一带泉水丰富。由于地域原因，这类洪水往往构成该流域主要洪水，且每年都会发生，发生次数视山区积雪条件和气温变化情况，对下游造成的危害不大。</w:t>
      </w:r>
    </w:p>
    <w:p>
      <w:pPr>
        <w:ind w:firstLine="480"/>
        <w:rPr>
          <w:rFonts w:cs="Times New Roman"/>
        </w:rPr>
      </w:pPr>
      <w:r>
        <w:rPr>
          <w:rFonts w:cs="Times New Roman"/>
        </w:rPr>
        <w:t>暴雨型洪水一般发生在每年6月下旬～8月中旬，易发生局地暴雨洪水和大范围暴雨洪水两种类型洪水。其中，局地暴雨洪水具有历时短、强度大、突发性强的特点；大范围暴雨具有降雨涉及范围大、历时长、强度高的特点，洪水往往峰高量大、历时长，陡涨缓落的特点。洪水流出山口后不久就会扩散，洪峰小则很快消散在山口以下的冲积扇，或者消散在下马崖戈壁。</w:t>
      </w:r>
    </w:p>
    <w:p>
      <w:pPr>
        <w:ind w:firstLine="480"/>
        <w:rPr>
          <w:rFonts w:cs="Times New Roman"/>
        </w:rPr>
      </w:pPr>
      <w:r>
        <w:rPr>
          <w:rFonts w:cs="Times New Roman"/>
        </w:rPr>
        <w:t>根据工程可研报告，由于代尔昆代郭勒河流域河流坡降大，融雪洪水或暴雨洪水往往洪量少流速大。因自然河道内地质构造原因，来水大量下渗，洪水持续时间短。经调查了解，本流域的洪水过程一般情况下历时只有3～5小时，故本次设计洪量的推求仅计算1日洪量。代尔昆代水库坝址断面设计洪水成果见表4.2-4。</w:t>
      </w:r>
    </w:p>
    <w:p>
      <w:pPr>
        <w:ind w:firstLine="0" w:firstLineChars="0"/>
        <w:rPr>
          <w:rFonts w:cs="Times New Roman"/>
        </w:rPr>
        <w:sectPr>
          <w:headerReference r:id="rId25" w:type="first"/>
          <w:footerReference r:id="rId28" w:type="first"/>
          <w:headerReference r:id="rId23" w:type="default"/>
          <w:footerReference r:id="rId26" w:type="default"/>
          <w:headerReference r:id="rId24" w:type="even"/>
          <w:footerReference r:id="rId27" w:type="even"/>
          <w:pgSz w:w="11906" w:h="16838"/>
          <w:pgMar w:top="1418" w:right="1559" w:bottom="1418" w:left="1559" w:header="851" w:footer="992" w:gutter="0"/>
          <w:cols w:space="425" w:num="1"/>
          <w:docGrid w:type="lines" w:linePitch="312" w:charSpace="0"/>
        </w:sectPr>
      </w:pPr>
    </w:p>
    <w:p>
      <w:pPr>
        <w:pStyle w:val="137"/>
        <w:spacing w:before="65"/>
      </w:pPr>
      <w:r>
        <w:t>表4.2-1                                              工程区气象要素特征值统计表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2246"/>
        <w:gridCol w:w="677"/>
        <w:gridCol w:w="736"/>
        <w:gridCol w:w="736"/>
        <w:gridCol w:w="736"/>
        <w:gridCol w:w="736"/>
        <w:gridCol w:w="736"/>
        <w:gridCol w:w="736"/>
        <w:gridCol w:w="736"/>
        <w:gridCol w:w="736"/>
        <w:gridCol w:w="736"/>
        <w:gridCol w:w="736"/>
        <w:gridCol w:w="736"/>
        <w:gridCol w:w="73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Align w:val="center"/>
          </w:tcPr>
          <w:p>
            <w:pPr>
              <w:pStyle w:val="136"/>
            </w:pPr>
            <w:r>
              <w:t>站名</w:t>
            </w:r>
          </w:p>
        </w:tc>
        <w:tc>
          <w:tcPr>
            <w:tcW w:w="806" w:type="pct"/>
            <w:vAlign w:val="center"/>
          </w:tcPr>
          <w:p>
            <w:pPr>
              <w:pStyle w:val="136"/>
            </w:pPr>
            <w:r>
              <w:t>项目</w:t>
            </w:r>
          </w:p>
        </w:tc>
        <w:tc>
          <w:tcPr>
            <w:tcW w:w="243" w:type="pct"/>
            <w:vAlign w:val="center"/>
          </w:tcPr>
          <w:p>
            <w:pPr>
              <w:pStyle w:val="136"/>
            </w:pPr>
            <w:r>
              <w:t>单位</w:t>
            </w:r>
          </w:p>
        </w:tc>
        <w:tc>
          <w:tcPr>
            <w:tcW w:w="264" w:type="pct"/>
            <w:vAlign w:val="center"/>
          </w:tcPr>
          <w:p>
            <w:pPr>
              <w:pStyle w:val="136"/>
            </w:pPr>
            <w:r>
              <w:t>1月</w:t>
            </w:r>
          </w:p>
        </w:tc>
        <w:tc>
          <w:tcPr>
            <w:tcW w:w="264" w:type="pct"/>
            <w:vAlign w:val="center"/>
          </w:tcPr>
          <w:p>
            <w:pPr>
              <w:pStyle w:val="136"/>
            </w:pPr>
            <w:r>
              <w:t>2月</w:t>
            </w:r>
          </w:p>
        </w:tc>
        <w:tc>
          <w:tcPr>
            <w:tcW w:w="264" w:type="pct"/>
            <w:vAlign w:val="center"/>
          </w:tcPr>
          <w:p>
            <w:pPr>
              <w:pStyle w:val="136"/>
            </w:pPr>
            <w:r>
              <w:t>3月</w:t>
            </w:r>
          </w:p>
        </w:tc>
        <w:tc>
          <w:tcPr>
            <w:tcW w:w="264" w:type="pct"/>
            <w:vAlign w:val="center"/>
          </w:tcPr>
          <w:p>
            <w:pPr>
              <w:pStyle w:val="136"/>
            </w:pPr>
            <w:r>
              <w:t>4月</w:t>
            </w:r>
          </w:p>
        </w:tc>
        <w:tc>
          <w:tcPr>
            <w:tcW w:w="264" w:type="pct"/>
            <w:vAlign w:val="center"/>
          </w:tcPr>
          <w:p>
            <w:pPr>
              <w:pStyle w:val="136"/>
            </w:pPr>
            <w:r>
              <w:t>5月</w:t>
            </w:r>
          </w:p>
        </w:tc>
        <w:tc>
          <w:tcPr>
            <w:tcW w:w="264" w:type="pct"/>
            <w:vAlign w:val="center"/>
          </w:tcPr>
          <w:p>
            <w:pPr>
              <w:pStyle w:val="136"/>
            </w:pPr>
            <w:r>
              <w:t>6月</w:t>
            </w:r>
          </w:p>
        </w:tc>
        <w:tc>
          <w:tcPr>
            <w:tcW w:w="264" w:type="pct"/>
            <w:vAlign w:val="center"/>
          </w:tcPr>
          <w:p>
            <w:pPr>
              <w:pStyle w:val="136"/>
            </w:pPr>
            <w:r>
              <w:t>7月</w:t>
            </w:r>
          </w:p>
        </w:tc>
        <w:tc>
          <w:tcPr>
            <w:tcW w:w="264" w:type="pct"/>
            <w:vAlign w:val="center"/>
          </w:tcPr>
          <w:p>
            <w:pPr>
              <w:pStyle w:val="136"/>
            </w:pPr>
            <w:r>
              <w:t>8月</w:t>
            </w:r>
          </w:p>
        </w:tc>
        <w:tc>
          <w:tcPr>
            <w:tcW w:w="264" w:type="pct"/>
            <w:vAlign w:val="center"/>
          </w:tcPr>
          <w:p>
            <w:pPr>
              <w:pStyle w:val="136"/>
            </w:pPr>
            <w:r>
              <w:t>9月</w:t>
            </w:r>
          </w:p>
        </w:tc>
        <w:tc>
          <w:tcPr>
            <w:tcW w:w="264" w:type="pct"/>
            <w:vAlign w:val="center"/>
          </w:tcPr>
          <w:p>
            <w:pPr>
              <w:pStyle w:val="136"/>
            </w:pPr>
            <w:r>
              <w:t>10月</w:t>
            </w:r>
          </w:p>
        </w:tc>
        <w:tc>
          <w:tcPr>
            <w:tcW w:w="264" w:type="pct"/>
            <w:vAlign w:val="center"/>
          </w:tcPr>
          <w:p>
            <w:pPr>
              <w:pStyle w:val="136"/>
            </w:pPr>
            <w:r>
              <w:t>11月</w:t>
            </w:r>
          </w:p>
        </w:tc>
        <w:tc>
          <w:tcPr>
            <w:tcW w:w="264" w:type="pct"/>
            <w:vAlign w:val="center"/>
          </w:tcPr>
          <w:p>
            <w:pPr>
              <w:pStyle w:val="136"/>
            </w:pPr>
            <w:r>
              <w:t>12月</w:t>
            </w:r>
          </w:p>
        </w:tc>
        <w:tc>
          <w:tcPr>
            <w:tcW w:w="299" w:type="pct"/>
            <w:vAlign w:val="center"/>
          </w:tcPr>
          <w:p>
            <w:pPr>
              <w:pStyle w:val="136"/>
            </w:pPr>
            <w: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Merge w:val="restart"/>
            <w:vAlign w:val="center"/>
          </w:tcPr>
          <w:p>
            <w:pPr>
              <w:pStyle w:val="136"/>
            </w:pPr>
            <w:r>
              <w:t>伊吾气象站</w:t>
            </w:r>
          </w:p>
        </w:tc>
        <w:tc>
          <w:tcPr>
            <w:tcW w:w="806" w:type="pct"/>
            <w:vAlign w:val="center"/>
          </w:tcPr>
          <w:p>
            <w:pPr>
              <w:pStyle w:val="136"/>
            </w:pPr>
            <w:r>
              <w:t>月平均气温</w:t>
            </w:r>
          </w:p>
        </w:tc>
        <w:tc>
          <w:tcPr>
            <w:tcW w:w="243" w:type="pct"/>
            <w:vAlign w:val="center"/>
          </w:tcPr>
          <w:p>
            <w:pPr>
              <w:pStyle w:val="136"/>
            </w:pPr>
            <w:r>
              <w:t>℃</w:t>
            </w:r>
          </w:p>
        </w:tc>
        <w:tc>
          <w:tcPr>
            <w:tcW w:w="264" w:type="pct"/>
            <w:vAlign w:val="center"/>
          </w:tcPr>
          <w:p>
            <w:pPr>
              <w:pStyle w:val="136"/>
            </w:pPr>
            <w:r>
              <w:t>-12</w:t>
            </w:r>
          </w:p>
        </w:tc>
        <w:tc>
          <w:tcPr>
            <w:tcW w:w="264" w:type="pct"/>
            <w:vAlign w:val="center"/>
          </w:tcPr>
          <w:p>
            <w:pPr>
              <w:pStyle w:val="136"/>
            </w:pPr>
            <w:r>
              <w:t>-9.4</w:t>
            </w:r>
          </w:p>
        </w:tc>
        <w:tc>
          <w:tcPr>
            <w:tcW w:w="264" w:type="pct"/>
            <w:vAlign w:val="center"/>
          </w:tcPr>
          <w:p>
            <w:pPr>
              <w:pStyle w:val="136"/>
            </w:pPr>
            <w:r>
              <w:t>-2.7</w:t>
            </w:r>
          </w:p>
        </w:tc>
        <w:tc>
          <w:tcPr>
            <w:tcW w:w="264" w:type="pct"/>
            <w:vAlign w:val="center"/>
          </w:tcPr>
          <w:p>
            <w:pPr>
              <w:pStyle w:val="136"/>
            </w:pPr>
            <w:r>
              <w:t>5.7</w:t>
            </w:r>
          </w:p>
        </w:tc>
        <w:tc>
          <w:tcPr>
            <w:tcW w:w="264" w:type="pct"/>
            <w:vAlign w:val="center"/>
          </w:tcPr>
          <w:p>
            <w:pPr>
              <w:pStyle w:val="136"/>
            </w:pPr>
            <w:r>
              <w:t>12.6</w:t>
            </w:r>
          </w:p>
        </w:tc>
        <w:tc>
          <w:tcPr>
            <w:tcW w:w="264" w:type="pct"/>
            <w:vAlign w:val="center"/>
          </w:tcPr>
          <w:p>
            <w:pPr>
              <w:pStyle w:val="136"/>
            </w:pPr>
            <w:r>
              <w:t>17.2</w:t>
            </w:r>
          </w:p>
        </w:tc>
        <w:tc>
          <w:tcPr>
            <w:tcW w:w="264" w:type="pct"/>
            <w:vAlign w:val="center"/>
          </w:tcPr>
          <w:p>
            <w:pPr>
              <w:pStyle w:val="136"/>
            </w:pPr>
            <w:r>
              <w:t>18.7</w:t>
            </w:r>
          </w:p>
        </w:tc>
        <w:tc>
          <w:tcPr>
            <w:tcW w:w="264" w:type="pct"/>
            <w:vAlign w:val="center"/>
          </w:tcPr>
          <w:p>
            <w:pPr>
              <w:pStyle w:val="136"/>
            </w:pPr>
            <w:r>
              <w:t>17.2</w:t>
            </w:r>
          </w:p>
        </w:tc>
        <w:tc>
          <w:tcPr>
            <w:tcW w:w="264" w:type="pct"/>
            <w:vAlign w:val="center"/>
          </w:tcPr>
          <w:p>
            <w:pPr>
              <w:pStyle w:val="136"/>
            </w:pPr>
            <w:r>
              <w:t>11.5</w:t>
            </w:r>
          </w:p>
        </w:tc>
        <w:tc>
          <w:tcPr>
            <w:tcW w:w="264" w:type="pct"/>
            <w:vAlign w:val="center"/>
          </w:tcPr>
          <w:p>
            <w:pPr>
              <w:pStyle w:val="136"/>
            </w:pPr>
            <w:r>
              <w:t>3.7</w:t>
            </w:r>
          </w:p>
        </w:tc>
        <w:tc>
          <w:tcPr>
            <w:tcW w:w="264" w:type="pct"/>
            <w:vAlign w:val="center"/>
          </w:tcPr>
          <w:p>
            <w:pPr>
              <w:pStyle w:val="136"/>
            </w:pPr>
            <w:r>
              <w:t>-4.6</w:t>
            </w:r>
          </w:p>
        </w:tc>
        <w:tc>
          <w:tcPr>
            <w:tcW w:w="264" w:type="pct"/>
            <w:vAlign w:val="center"/>
          </w:tcPr>
          <w:p>
            <w:pPr>
              <w:pStyle w:val="136"/>
            </w:pPr>
            <w:r>
              <w:t>-10.2</w:t>
            </w:r>
          </w:p>
        </w:tc>
        <w:tc>
          <w:tcPr>
            <w:tcW w:w="299" w:type="pct"/>
            <w:vAlign w:val="center"/>
          </w:tcPr>
          <w:p>
            <w:pPr>
              <w:pStyle w:val="136"/>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Merge w:val="continue"/>
            <w:vAlign w:val="center"/>
          </w:tcPr>
          <w:p>
            <w:pPr>
              <w:pStyle w:val="136"/>
            </w:pPr>
          </w:p>
        </w:tc>
        <w:tc>
          <w:tcPr>
            <w:tcW w:w="806" w:type="pct"/>
            <w:vAlign w:val="center"/>
          </w:tcPr>
          <w:p>
            <w:pPr>
              <w:pStyle w:val="136"/>
            </w:pPr>
            <w:r>
              <w:t>月平均降水量</w:t>
            </w:r>
          </w:p>
        </w:tc>
        <w:tc>
          <w:tcPr>
            <w:tcW w:w="243" w:type="pct"/>
            <w:vAlign w:val="center"/>
          </w:tcPr>
          <w:p>
            <w:pPr>
              <w:pStyle w:val="136"/>
            </w:pPr>
            <w:r>
              <w:t>mm</w:t>
            </w:r>
          </w:p>
        </w:tc>
        <w:tc>
          <w:tcPr>
            <w:tcW w:w="264" w:type="pct"/>
            <w:vAlign w:val="center"/>
          </w:tcPr>
          <w:p>
            <w:pPr>
              <w:pStyle w:val="136"/>
            </w:pPr>
            <w:r>
              <w:t>0.9</w:t>
            </w:r>
          </w:p>
        </w:tc>
        <w:tc>
          <w:tcPr>
            <w:tcW w:w="264" w:type="pct"/>
            <w:vAlign w:val="center"/>
          </w:tcPr>
          <w:p>
            <w:pPr>
              <w:pStyle w:val="136"/>
            </w:pPr>
            <w:r>
              <w:t>0.8</w:t>
            </w:r>
          </w:p>
        </w:tc>
        <w:tc>
          <w:tcPr>
            <w:tcW w:w="264" w:type="pct"/>
            <w:vAlign w:val="center"/>
          </w:tcPr>
          <w:p>
            <w:pPr>
              <w:pStyle w:val="136"/>
            </w:pPr>
            <w:r>
              <w:t>4.4</w:t>
            </w:r>
          </w:p>
        </w:tc>
        <w:tc>
          <w:tcPr>
            <w:tcW w:w="264" w:type="pct"/>
            <w:vAlign w:val="center"/>
          </w:tcPr>
          <w:p>
            <w:pPr>
              <w:pStyle w:val="136"/>
            </w:pPr>
            <w:r>
              <w:t>5.5</w:t>
            </w:r>
          </w:p>
        </w:tc>
        <w:tc>
          <w:tcPr>
            <w:tcW w:w="264" w:type="pct"/>
            <w:vAlign w:val="center"/>
          </w:tcPr>
          <w:p>
            <w:pPr>
              <w:pStyle w:val="136"/>
            </w:pPr>
            <w:r>
              <w:t>9.6</w:t>
            </w:r>
          </w:p>
        </w:tc>
        <w:tc>
          <w:tcPr>
            <w:tcW w:w="264" w:type="pct"/>
            <w:vAlign w:val="center"/>
          </w:tcPr>
          <w:p>
            <w:pPr>
              <w:pStyle w:val="136"/>
            </w:pPr>
            <w:r>
              <w:t>19.2</w:t>
            </w:r>
          </w:p>
        </w:tc>
        <w:tc>
          <w:tcPr>
            <w:tcW w:w="264" w:type="pct"/>
            <w:vAlign w:val="center"/>
          </w:tcPr>
          <w:p>
            <w:pPr>
              <w:pStyle w:val="136"/>
            </w:pPr>
            <w:r>
              <w:t>28.1</w:t>
            </w:r>
          </w:p>
        </w:tc>
        <w:tc>
          <w:tcPr>
            <w:tcW w:w="264" w:type="pct"/>
            <w:vAlign w:val="center"/>
          </w:tcPr>
          <w:p>
            <w:pPr>
              <w:pStyle w:val="136"/>
            </w:pPr>
            <w:r>
              <w:t>15.2</w:t>
            </w:r>
          </w:p>
        </w:tc>
        <w:tc>
          <w:tcPr>
            <w:tcW w:w="264" w:type="pct"/>
            <w:vAlign w:val="center"/>
          </w:tcPr>
          <w:p>
            <w:pPr>
              <w:pStyle w:val="136"/>
            </w:pPr>
            <w:r>
              <w:t>7.6</w:t>
            </w:r>
          </w:p>
        </w:tc>
        <w:tc>
          <w:tcPr>
            <w:tcW w:w="264" w:type="pct"/>
            <w:vAlign w:val="center"/>
          </w:tcPr>
          <w:p>
            <w:pPr>
              <w:pStyle w:val="136"/>
            </w:pPr>
            <w:r>
              <w:t>4.7</w:t>
            </w:r>
          </w:p>
        </w:tc>
        <w:tc>
          <w:tcPr>
            <w:tcW w:w="264" w:type="pct"/>
            <w:vAlign w:val="center"/>
          </w:tcPr>
          <w:p>
            <w:pPr>
              <w:pStyle w:val="136"/>
            </w:pPr>
            <w:r>
              <w:t>1.7</w:t>
            </w:r>
          </w:p>
        </w:tc>
        <w:tc>
          <w:tcPr>
            <w:tcW w:w="264" w:type="pct"/>
            <w:vAlign w:val="center"/>
          </w:tcPr>
          <w:p>
            <w:pPr>
              <w:pStyle w:val="136"/>
            </w:pPr>
            <w:r>
              <w:t>1.1</w:t>
            </w:r>
          </w:p>
        </w:tc>
        <w:tc>
          <w:tcPr>
            <w:tcW w:w="299" w:type="pct"/>
            <w:vAlign w:val="center"/>
          </w:tcPr>
          <w:p>
            <w:pPr>
              <w:pStyle w:val="136"/>
            </w:pPr>
            <w:r>
              <w:t>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Merge w:val="continue"/>
            <w:vAlign w:val="center"/>
          </w:tcPr>
          <w:p>
            <w:pPr>
              <w:pStyle w:val="136"/>
            </w:pPr>
          </w:p>
        </w:tc>
        <w:tc>
          <w:tcPr>
            <w:tcW w:w="806" w:type="pct"/>
            <w:vAlign w:val="center"/>
          </w:tcPr>
          <w:p>
            <w:pPr>
              <w:pStyle w:val="136"/>
            </w:pPr>
            <w:r>
              <w:t>月平均蒸发量φ20cm</w:t>
            </w:r>
          </w:p>
        </w:tc>
        <w:tc>
          <w:tcPr>
            <w:tcW w:w="243" w:type="pct"/>
            <w:vAlign w:val="center"/>
          </w:tcPr>
          <w:p>
            <w:pPr>
              <w:pStyle w:val="136"/>
            </w:pPr>
            <w:r>
              <w:t>mm</w:t>
            </w:r>
          </w:p>
        </w:tc>
        <w:tc>
          <w:tcPr>
            <w:tcW w:w="264" w:type="pct"/>
            <w:vAlign w:val="center"/>
          </w:tcPr>
          <w:p>
            <w:pPr>
              <w:pStyle w:val="136"/>
            </w:pPr>
            <w:r>
              <w:t>44.3</w:t>
            </w:r>
          </w:p>
        </w:tc>
        <w:tc>
          <w:tcPr>
            <w:tcW w:w="264" w:type="pct"/>
            <w:vAlign w:val="center"/>
          </w:tcPr>
          <w:p>
            <w:pPr>
              <w:pStyle w:val="136"/>
            </w:pPr>
            <w:r>
              <w:t>35.9</w:t>
            </w:r>
          </w:p>
        </w:tc>
        <w:tc>
          <w:tcPr>
            <w:tcW w:w="264" w:type="pct"/>
            <w:vAlign w:val="center"/>
          </w:tcPr>
          <w:p>
            <w:pPr>
              <w:pStyle w:val="136"/>
            </w:pPr>
            <w:r>
              <w:t>51.1</w:t>
            </w:r>
          </w:p>
        </w:tc>
        <w:tc>
          <w:tcPr>
            <w:tcW w:w="264" w:type="pct"/>
            <w:vAlign w:val="center"/>
          </w:tcPr>
          <w:p>
            <w:pPr>
              <w:pStyle w:val="136"/>
            </w:pPr>
            <w:r>
              <w:t>140.7</w:t>
            </w:r>
          </w:p>
        </w:tc>
        <w:tc>
          <w:tcPr>
            <w:tcW w:w="264" w:type="pct"/>
            <w:vAlign w:val="center"/>
          </w:tcPr>
          <w:p>
            <w:pPr>
              <w:pStyle w:val="136"/>
            </w:pPr>
            <w:r>
              <w:t>212.4</w:t>
            </w:r>
          </w:p>
        </w:tc>
        <w:tc>
          <w:tcPr>
            <w:tcW w:w="264" w:type="pct"/>
            <w:vAlign w:val="center"/>
          </w:tcPr>
          <w:p>
            <w:pPr>
              <w:pStyle w:val="136"/>
            </w:pPr>
            <w:r>
              <w:t>201.2</w:t>
            </w:r>
          </w:p>
        </w:tc>
        <w:tc>
          <w:tcPr>
            <w:tcW w:w="264" w:type="pct"/>
            <w:vAlign w:val="center"/>
          </w:tcPr>
          <w:p>
            <w:pPr>
              <w:pStyle w:val="136"/>
            </w:pPr>
            <w:r>
              <w:t>192.3</w:t>
            </w:r>
          </w:p>
        </w:tc>
        <w:tc>
          <w:tcPr>
            <w:tcW w:w="264" w:type="pct"/>
            <w:vAlign w:val="center"/>
          </w:tcPr>
          <w:p>
            <w:pPr>
              <w:pStyle w:val="136"/>
            </w:pPr>
            <w:r>
              <w:t>180.4</w:t>
            </w:r>
          </w:p>
        </w:tc>
        <w:tc>
          <w:tcPr>
            <w:tcW w:w="264" w:type="pct"/>
            <w:vAlign w:val="center"/>
          </w:tcPr>
          <w:p>
            <w:pPr>
              <w:pStyle w:val="136"/>
            </w:pPr>
            <w:r>
              <w:t>153.0</w:t>
            </w:r>
          </w:p>
        </w:tc>
        <w:tc>
          <w:tcPr>
            <w:tcW w:w="264" w:type="pct"/>
            <w:vAlign w:val="center"/>
          </w:tcPr>
          <w:p>
            <w:pPr>
              <w:pStyle w:val="136"/>
            </w:pPr>
            <w:r>
              <w:t>89.8</w:t>
            </w:r>
          </w:p>
        </w:tc>
        <w:tc>
          <w:tcPr>
            <w:tcW w:w="264" w:type="pct"/>
            <w:vAlign w:val="center"/>
          </w:tcPr>
          <w:p>
            <w:pPr>
              <w:pStyle w:val="136"/>
            </w:pPr>
            <w:r>
              <w:t>44.9</w:t>
            </w:r>
          </w:p>
        </w:tc>
        <w:tc>
          <w:tcPr>
            <w:tcW w:w="264" w:type="pct"/>
            <w:vAlign w:val="center"/>
          </w:tcPr>
          <w:p>
            <w:pPr>
              <w:pStyle w:val="136"/>
            </w:pPr>
            <w:r>
              <w:t>59.2</w:t>
            </w:r>
          </w:p>
        </w:tc>
        <w:tc>
          <w:tcPr>
            <w:tcW w:w="299" w:type="pct"/>
            <w:vAlign w:val="center"/>
          </w:tcPr>
          <w:p>
            <w:pPr>
              <w:pStyle w:val="136"/>
            </w:pPr>
            <w:r>
              <w:t>1405.0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Merge w:val="continue"/>
            <w:vAlign w:val="center"/>
          </w:tcPr>
          <w:p>
            <w:pPr>
              <w:pStyle w:val="136"/>
            </w:pPr>
          </w:p>
        </w:tc>
        <w:tc>
          <w:tcPr>
            <w:tcW w:w="806" w:type="pct"/>
            <w:vAlign w:val="center"/>
          </w:tcPr>
          <w:p>
            <w:pPr>
              <w:pStyle w:val="136"/>
            </w:pPr>
            <w:r>
              <w:t>多年平均日照时数</w:t>
            </w:r>
          </w:p>
        </w:tc>
        <w:tc>
          <w:tcPr>
            <w:tcW w:w="243" w:type="pct"/>
            <w:vAlign w:val="center"/>
          </w:tcPr>
          <w:p>
            <w:pPr>
              <w:pStyle w:val="136"/>
            </w:pPr>
            <w:r>
              <w:t>h</w:t>
            </w:r>
          </w:p>
        </w:tc>
        <w:tc>
          <w:tcPr>
            <w:tcW w:w="264" w:type="pct"/>
            <w:vAlign w:val="center"/>
          </w:tcPr>
          <w:p>
            <w:pPr>
              <w:pStyle w:val="136"/>
            </w:pPr>
            <w:r>
              <w:t>221.0</w:t>
            </w:r>
          </w:p>
        </w:tc>
        <w:tc>
          <w:tcPr>
            <w:tcW w:w="264" w:type="pct"/>
            <w:vAlign w:val="center"/>
          </w:tcPr>
          <w:p>
            <w:pPr>
              <w:pStyle w:val="136"/>
            </w:pPr>
            <w:r>
              <w:t>235.9</w:t>
            </w:r>
          </w:p>
        </w:tc>
        <w:tc>
          <w:tcPr>
            <w:tcW w:w="264" w:type="pct"/>
            <w:vAlign w:val="center"/>
          </w:tcPr>
          <w:p>
            <w:pPr>
              <w:pStyle w:val="136"/>
            </w:pPr>
            <w:r>
              <w:t>266.0</w:t>
            </w:r>
          </w:p>
        </w:tc>
        <w:tc>
          <w:tcPr>
            <w:tcW w:w="264" w:type="pct"/>
            <w:vAlign w:val="center"/>
          </w:tcPr>
          <w:p>
            <w:pPr>
              <w:pStyle w:val="136"/>
            </w:pPr>
            <w:r>
              <w:t>268.6</w:t>
            </w:r>
          </w:p>
        </w:tc>
        <w:tc>
          <w:tcPr>
            <w:tcW w:w="264" w:type="pct"/>
            <w:vAlign w:val="center"/>
          </w:tcPr>
          <w:p>
            <w:pPr>
              <w:pStyle w:val="136"/>
            </w:pPr>
            <w:r>
              <w:t>322.7</w:t>
            </w:r>
          </w:p>
        </w:tc>
        <w:tc>
          <w:tcPr>
            <w:tcW w:w="264" w:type="pct"/>
            <w:vAlign w:val="center"/>
          </w:tcPr>
          <w:p>
            <w:pPr>
              <w:pStyle w:val="136"/>
            </w:pPr>
            <w:r>
              <w:t>296.1</w:t>
            </w:r>
          </w:p>
        </w:tc>
        <w:tc>
          <w:tcPr>
            <w:tcW w:w="264" w:type="pct"/>
            <w:vAlign w:val="center"/>
          </w:tcPr>
          <w:p>
            <w:pPr>
              <w:pStyle w:val="136"/>
            </w:pPr>
            <w:r>
              <w:t>296.2</w:t>
            </w:r>
          </w:p>
        </w:tc>
        <w:tc>
          <w:tcPr>
            <w:tcW w:w="264" w:type="pct"/>
            <w:vAlign w:val="center"/>
          </w:tcPr>
          <w:p>
            <w:pPr>
              <w:pStyle w:val="136"/>
            </w:pPr>
            <w:r>
              <w:t>313.6</w:t>
            </w:r>
          </w:p>
        </w:tc>
        <w:tc>
          <w:tcPr>
            <w:tcW w:w="264" w:type="pct"/>
            <w:vAlign w:val="center"/>
          </w:tcPr>
          <w:p>
            <w:pPr>
              <w:pStyle w:val="136"/>
            </w:pPr>
            <w:r>
              <w:t>293.0</w:t>
            </w:r>
          </w:p>
        </w:tc>
        <w:tc>
          <w:tcPr>
            <w:tcW w:w="264" w:type="pct"/>
            <w:vAlign w:val="center"/>
          </w:tcPr>
          <w:p>
            <w:pPr>
              <w:pStyle w:val="136"/>
            </w:pPr>
            <w:r>
              <w:t>277.2</w:t>
            </w:r>
          </w:p>
        </w:tc>
        <w:tc>
          <w:tcPr>
            <w:tcW w:w="264" w:type="pct"/>
            <w:vAlign w:val="center"/>
          </w:tcPr>
          <w:p>
            <w:pPr>
              <w:pStyle w:val="136"/>
            </w:pPr>
            <w:r>
              <w:t>224.8</w:t>
            </w:r>
          </w:p>
        </w:tc>
        <w:tc>
          <w:tcPr>
            <w:tcW w:w="264" w:type="pct"/>
            <w:vAlign w:val="center"/>
          </w:tcPr>
          <w:p>
            <w:pPr>
              <w:pStyle w:val="136"/>
            </w:pPr>
            <w:r>
              <w:t>206.9</w:t>
            </w:r>
          </w:p>
        </w:tc>
        <w:tc>
          <w:tcPr>
            <w:tcW w:w="299" w:type="pct"/>
            <w:vAlign w:val="center"/>
          </w:tcPr>
          <w:p>
            <w:pPr>
              <w:pStyle w:val="136"/>
            </w:pPr>
            <w:r>
              <w:t>3240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Merge w:val="continue"/>
            <w:vAlign w:val="center"/>
          </w:tcPr>
          <w:p>
            <w:pPr>
              <w:pStyle w:val="136"/>
            </w:pPr>
          </w:p>
        </w:tc>
        <w:tc>
          <w:tcPr>
            <w:tcW w:w="806" w:type="pct"/>
            <w:vAlign w:val="center"/>
          </w:tcPr>
          <w:p>
            <w:pPr>
              <w:pStyle w:val="136"/>
            </w:pPr>
            <w:r>
              <w:t>多年平均风速</w:t>
            </w:r>
          </w:p>
        </w:tc>
        <w:tc>
          <w:tcPr>
            <w:tcW w:w="243" w:type="pct"/>
            <w:vAlign w:val="center"/>
          </w:tcPr>
          <w:p>
            <w:pPr>
              <w:pStyle w:val="136"/>
            </w:pPr>
            <w:r>
              <w:t>m/s</w:t>
            </w:r>
          </w:p>
        </w:tc>
        <w:tc>
          <w:tcPr>
            <w:tcW w:w="264" w:type="pct"/>
            <w:vAlign w:val="center"/>
          </w:tcPr>
          <w:p>
            <w:pPr>
              <w:pStyle w:val="136"/>
            </w:pPr>
            <w:r>
              <w:t>2.5</w:t>
            </w:r>
          </w:p>
        </w:tc>
        <w:tc>
          <w:tcPr>
            <w:tcW w:w="264" w:type="pct"/>
            <w:vAlign w:val="center"/>
          </w:tcPr>
          <w:p>
            <w:pPr>
              <w:pStyle w:val="136"/>
            </w:pPr>
            <w:r>
              <w:t>2.8</w:t>
            </w:r>
          </w:p>
        </w:tc>
        <w:tc>
          <w:tcPr>
            <w:tcW w:w="264" w:type="pct"/>
            <w:vAlign w:val="center"/>
          </w:tcPr>
          <w:p>
            <w:pPr>
              <w:pStyle w:val="136"/>
            </w:pPr>
            <w:r>
              <w:t>3.5</w:t>
            </w:r>
          </w:p>
        </w:tc>
        <w:tc>
          <w:tcPr>
            <w:tcW w:w="264" w:type="pct"/>
            <w:vAlign w:val="center"/>
          </w:tcPr>
          <w:p>
            <w:pPr>
              <w:pStyle w:val="136"/>
            </w:pPr>
            <w:r>
              <w:t>4.6</w:t>
            </w:r>
          </w:p>
        </w:tc>
        <w:tc>
          <w:tcPr>
            <w:tcW w:w="264" w:type="pct"/>
            <w:vAlign w:val="center"/>
          </w:tcPr>
          <w:p>
            <w:pPr>
              <w:pStyle w:val="136"/>
            </w:pPr>
            <w:r>
              <w:t>4.7</w:t>
            </w:r>
          </w:p>
        </w:tc>
        <w:tc>
          <w:tcPr>
            <w:tcW w:w="264" w:type="pct"/>
            <w:vAlign w:val="center"/>
          </w:tcPr>
          <w:p>
            <w:pPr>
              <w:pStyle w:val="136"/>
            </w:pPr>
            <w:r>
              <w:t>4.4</w:t>
            </w:r>
          </w:p>
        </w:tc>
        <w:tc>
          <w:tcPr>
            <w:tcW w:w="264" w:type="pct"/>
            <w:vAlign w:val="center"/>
          </w:tcPr>
          <w:p>
            <w:pPr>
              <w:pStyle w:val="136"/>
            </w:pPr>
            <w:r>
              <w:t>3.9</w:t>
            </w:r>
          </w:p>
        </w:tc>
        <w:tc>
          <w:tcPr>
            <w:tcW w:w="264" w:type="pct"/>
            <w:vAlign w:val="center"/>
          </w:tcPr>
          <w:p>
            <w:pPr>
              <w:pStyle w:val="136"/>
            </w:pPr>
            <w:r>
              <w:t>3.6</w:t>
            </w:r>
          </w:p>
        </w:tc>
        <w:tc>
          <w:tcPr>
            <w:tcW w:w="264" w:type="pct"/>
            <w:vAlign w:val="center"/>
          </w:tcPr>
          <w:p>
            <w:pPr>
              <w:pStyle w:val="136"/>
            </w:pPr>
            <w:r>
              <w:t>3.6</w:t>
            </w:r>
          </w:p>
        </w:tc>
        <w:tc>
          <w:tcPr>
            <w:tcW w:w="264" w:type="pct"/>
            <w:vAlign w:val="center"/>
          </w:tcPr>
          <w:p>
            <w:pPr>
              <w:pStyle w:val="136"/>
            </w:pPr>
            <w:r>
              <w:t>3.2</w:t>
            </w:r>
          </w:p>
        </w:tc>
        <w:tc>
          <w:tcPr>
            <w:tcW w:w="264" w:type="pct"/>
            <w:vAlign w:val="center"/>
          </w:tcPr>
          <w:p>
            <w:pPr>
              <w:pStyle w:val="136"/>
            </w:pPr>
            <w:r>
              <w:t>3.0</w:t>
            </w:r>
          </w:p>
        </w:tc>
        <w:tc>
          <w:tcPr>
            <w:tcW w:w="264" w:type="pct"/>
            <w:vAlign w:val="center"/>
          </w:tcPr>
          <w:p>
            <w:pPr>
              <w:pStyle w:val="136"/>
            </w:pPr>
            <w:r>
              <w:t>2.7</w:t>
            </w:r>
          </w:p>
        </w:tc>
        <w:tc>
          <w:tcPr>
            <w:tcW w:w="299" w:type="pct"/>
            <w:vAlign w:val="center"/>
          </w:tcPr>
          <w:p>
            <w:pPr>
              <w:pStyle w:val="136"/>
            </w:pPr>
            <w:r>
              <w:t>3.54</w:t>
            </w:r>
          </w:p>
        </w:tc>
      </w:tr>
    </w:tbl>
    <w:p>
      <w:pPr>
        <w:ind w:firstLine="0" w:firstLineChars="0"/>
        <w:jc w:val="center"/>
        <w:rPr>
          <w:rFonts w:cs="Times New Roman"/>
        </w:rPr>
      </w:pPr>
    </w:p>
    <w:p>
      <w:pPr>
        <w:pStyle w:val="137"/>
        <w:spacing w:before="65"/>
      </w:pPr>
      <w:r>
        <w:t>表4.2-2                           代尔昆代郭勒站设计年径流年内分配表（参证头道沟）</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1039"/>
        <w:gridCol w:w="839"/>
        <w:gridCol w:w="840"/>
        <w:gridCol w:w="840"/>
        <w:gridCol w:w="840"/>
        <w:gridCol w:w="840"/>
        <w:gridCol w:w="840"/>
        <w:gridCol w:w="840"/>
        <w:gridCol w:w="840"/>
        <w:gridCol w:w="840"/>
        <w:gridCol w:w="982"/>
        <w:gridCol w:w="982"/>
        <w:gridCol w:w="98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31" w:type="pct"/>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项目</w:t>
            </w:r>
          </w:p>
        </w:tc>
        <w:tc>
          <w:tcPr>
            <w:tcW w:w="373" w:type="pct"/>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r>
              <w:rPr>
                <w:rFonts w:hint="eastAsia" w:ascii="宋体" w:hAnsi="宋体" w:cs="Times New Roman"/>
                <w:color w:val="000000"/>
                <w:kern w:val="0"/>
                <w:sz w:val="18"/>
                <w:szCs w:val="18"/>
              </w:rPr>
              <w:t>月</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r>
              <w:rPr>
                <w:rFonts w:hint="eastAsia" w:ascii="宋体" w:hAnsi="宋体" w:cs="Times New Roman"/>
                <w:color w:val="000000"/>
                <w:kern w:val="0"/>
                <w:sz w:val="18"/>
                <w:szCs w:val="18"/>
              </w:rPr>
              <w:t>月</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w:t>
            </w:r>
            <w:r>
              <w:rPr>
                <w:rFonts w:hint="eastAsia" w:ascii="宋体" w:hAnsi="宋体" w:cs="Times New Roman"/>
                <w:color w:val="000000"/>
                <w:kern w:val="0"/>
                <w:sz w:val="18"/>
                <w:szCs w:val="18"/>
              </w:rPr>
              <w:t>月</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w:t>
            </w:r>
            <w:r>
              <w:rPr>
                <w:rFonts w:hint="eastAsia" w:ascii="宋体" w:hAnsi="宋体" w:cs="Times New Roman"/>
                <w:color w:val="000000"/>
                <w:kern w:val="0"/>
                <w:sz w:val="18"/>
                <w:szCs w:val="18"/>
              </w:rPr>
              <w:t>月</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r>
              <w:rPr>
                <w:rFonts w:hint="eastAsia" w:ascii="宋体" w:hAnsi="宋体" w:cs="Times New Roman"/>
                <w:color w:val="000000"/>
                <w:kern w:val="0"/>
                <w:sz w:val="18"/>
                <w:szCs w:val="18"/>
              </w:rPr>
              <w:t>月</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w:t>
            </w:r>
            <w:r>
              <w:rPr>
                <w:rFonts w:hint="eastAsia" w:ascii="宋体" w:hAnsi="宋体" w:cs="Times New Roman"/>
                <w:color w:val="000000"/>
                <w:kern w:val="0"/>
                <w:sz w:val="18"/>
                <w:szCs w:val="18"/>
              </w:rPr>
              <w:t>月</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w:t>
            </w:r>
            <w:r>
              <w:rPr>
                <w:rFonts w:hint="eastAsia" w:ascii="宋体" w:hAnsi="宋体" w:cs="Times New Roman"/>
                <w:color w:val="000000"/>
                <w:kern w:val="0"/>
                <w:sz w:val="18"/>
                <w:szCs w:val="18"/>
              </w:rPr>
              <w:t>月</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w:t>
            </w:r>
            <w:r>
              <w:rPr>
                <w:rFonts w:hint="eastAsia" w:ascii="宋体" w:hAnsi="宋体" w:cs="Times New Roman"/>
                <w:color w:val="000000"/>
                <w:kern w:val="0"/>
                <w:sz w:val="18"/>
                <w:szCs w:val="18"/>
              </w:rPr>
              <w:t>月</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w:t>
            </w:r>
            <w:r>
              <w:rPr>
                <w:rFonts w:hint="eastAsia" w:ascii="宋体" w:hAnsi="宋体" w:cs="Times New Roman"/>
                <w:color w:val="000000"/>
                <w:kern w:val="0"/>
                <w:sz w:val="18"/>
                <w:szCs w:val="18"/>
              </w:rPr>
              <w:t>月</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w:t>
            </w:r>
            <w:r>
              <w:rPr>
                <w:rFonts w:hint="eastAsia" w:ascii="宋体" w:hAnsi="宋体" w:cs="Times New Roman"/>
                <w:color w:val="000000"/>
                <w:kern w:val="0"/>
                <w:sz w:val="18"/>
                <w:szCs w:val="18"/>
              </w:rPr>
              <w:t>月</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11</w:t>
            </w:r>
            <w:r>
              <w:rPr>
                <w:rFonts w:hint="eastAsia" w:ascii="宋体" w:hAnsi="宋体" w:cs="Times New Roman"/>
                <w:color w:val="000000"/>
                <w:kern w:val="0"/>
                <w:sz w:val="18"/>
                <w:szCs w:val="18"/>
              </w:rPr>
              <w:t>月</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w:t>
            </w:r>
            <w:r>
              <w:rPr>
                <w:rFonts w:hint="eastAsia" w:ascii="宋体" w:hAnsi="宋体" w:cs="Times New Roman"/>
                <w:color w:val="000000"/>
                <w:kern w:val="0"/>
                <w:sz w:val="18"/>
                <w:szCs w:val="18"/>
              </w:rPr>
              <w:t>月</w:t>
            </w:r>
          </w:p>
        </w:tc>
        <w:tc>
          <w:tcPr>
            <w:tcW w:w="327" w:type="pct"/>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1" w:type="pct"/>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月均流量</w:t>
            </w:r>
          </w:p>
        </w:tc>
        <w:tc>
          <w:tcPr>
            <w:tcW w:w="373"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m</w:t>
            </w:r>
            <w:r>
              <w:rPr>
                <w:rFonts w:cs="Times New Roman"/>
                <w:color w:val="000000"/>
                <w:kern w:val="0"/>
                <w:sz w:val="18"/>
                <w:szCs w:val="18"/>
                <w:vertAlign w:val="superscript"/>
              </w:rPr>
              <w:t>3</w:t>
            </w:r>
            <w:r>
              <w:rPr>
                <w:rFonts w:cs="Times New Roman"/>
                <w:color w:val="000000"/>
                <w:kern w:val="0"/>
                <w:sz w:val="18"/>
                <w:szCs w:val="18"/>
              </w:rPr>
              <w:t>/s</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0.08</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0.08</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0.55</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0.95</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0.33</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0.23</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0.22</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0.23</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0.18</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0.13</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w:t>
            </w:r>
          </w:p>
        </w:tc>
        <w:tc>
          <w:tcPr>
            <w:tcW w:w="327"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1" w:type="pct"/>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月径流量</w:t>
            </w:r>
          </w:p>
        </w:tc>
        <w:tc>
          <w:tcPr>
            <w:tcW w:w="373"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w:t>
            </w:r>
            <w:r>
              <w:rPr>
                <w:rFonts w:cs="Times New Roman"/>
                <w:color w:val="000000"/>
                <w:kern w:val="0"/>
                <w:sz w:val="18"/>
                <w:szCs w:val="18"/>
                <w:vertAlign w:val="superscript"/>
              </w:rPr>
              <w:t>4</w:t>
            </w:r>
            <w:r>
              <w:rPr>
                <w:rFonts w:cs="Times New Roman"/>
                <w:color w:val="000000"/>
                <w:kern w:val="0"/>
                <w:sz w:val="18"/>
                <w:szCs w:val="18"/>
              </w:rPr>
              <w:t>m</w:t>
            </w:r>
            <w:r>
              <w:rPr>
                <w:rFonts w:cs="Times New Roman"/>
                <w:color w:val="000000"/>
                <w:kern w:val="0"/>
                <w:sz w:val="18"/>
                <w:szCs w:val="18"/>
                <w:vertAlign w:val="superscript"/>
              </w:rPr>
              <w:t>3</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20.9</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18.3</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26.7</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142</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254</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86.7</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60.9</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59.2</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58.4</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49.2</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32.5</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25.9</w:t>
            </w:r>
          </w:p>
        </w:tc>
        <w:tc>
          <w:tcPr>
            <w:tcW w:w="327"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1" w:type="pct"/>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百分率</w:t>
            </w:r>
          </w:p>
        </w:tc>
        <w:tc>
          <w:tcPr>
            <w:tcW w:w="373"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2.5</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2.2</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3.2</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17</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30.4</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10.4</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7.3</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7.1</w:t>
            </w:r>
          </w:p>
        </w:tc>
        <w:tc>
          <w:tcPr>
            <w:tcW w:w="301"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5.9</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352"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3.1</w:t>
            </w:r>
          </w:p>
        </w:tc>
        <w:tc>
          <w:tcPr>
            <w:tcW w:w="327"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100</w:t>
            </w:r>
          </w:p>
        </w:tc>
      </w:tr>
    </w:tbl>
    <w:p>
      <w:pPr>
        <w:ind w:firstLine="480"/>
        <w:rPr>
          <w:rFonts w:cs="Times New Roman"/>
        </w:rPr>
      </w:pPr>
    </w:p>
    <w:p>
      <w:pPr>
        <w:pStyle w:val="137"/>
        <w:spacing w:before="65"/>
      </w:pPr>
      <w:r>
        <w:t>表4.2-3                         代尔昆代郭坝址断面不同频率下天然径流年内分配成果表                  单位：m</w:t>
      </w:r>
      <w:r>
        <w:rPr>
          <w:vertAlign w:val="superscript"/>
        </w:rPr>
        <w:t>3</w:t>
      </w:r>
      <w:r>
        <w:t>/s、10</w:t>
      </w:r>
      <w:r>
        <w:rPr>
          <w:vertAlign w:val="superscript"/>
        </w:rPr>
        <w:t>4</w:t>
      </w:r>
      <w:r>
        <w:t>m</w:t>
      </w:r>
      <w:r>
        <w:rPr>
          <w:vertAlign w:val="superscript"/>
        </w:rPr>
        <w:t>3</w:t>
      </w:r>
    </w:p>
    <w:tbl>
      <w:tblPr>
        <w:tblStyle w:val="40"/>
        <w:tblW w:w="5000" w:type="pct"/>
        <w:tblInd w:w="0" w:type="dxa"/>
        <w:tblLayout w:type="autofit"/>
        <w:tblCellMar>
          <w:top w:w="0" w:type="dxa"/>
          <w:left w:w="108" w:type="dxa"/>
          <w:bottom w:w="0" w:type="dxa"/>
          <w:right w:w="108" w:type="dxa"/>
        </w:tblCellMar>
      </w:tblPr>
      <w:tblGrid>
        <w:gridCol w:w="1125"/>
        <w:gridCol w:w="799"/>
        <w:gridCol w:w="800"/>
        <w:gridCol w:w="800"/>
        <w:gridCol w:w="800"/>
        <w:gridCol w:w="800"/>
        <w:gridCol w:w="800"/>
        <w:gridCol w:w="800"/>
        <w:gridCol w:w="800"/>
        <w:gridCol w:w="800"/>
        <w:gridCol w:w="934"/>
        <w:gridCol w:w="934"/>
        <w:gridCol w:w="934"/>
        <w:gridCol w:w="1408"/>
        <w:gridCol w:w="1402"/>
      </w:tblGrid>
      <w:tr>
        <w:tblPrEx>
          <w:tblCellMar>
            <w:top w:w="0" w:type="dxa"/>
            <w:left w:w="108" w:type="dxa"/>
            <w:bottom w:w="0" w:type="dxa"/>
            <w:right w:w="108" w:type="dxa"/>
          </w:tblCellMar>
        </w:tblPrEx>
        <w:trPr>
          <w:trHeight w:val="285" w:hRule="atLeast"/>
        </w:trPr>
        <w:tc>
          <w:tcPr>
            <w:tcW w:w="404" w:type="pct"/>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widowControl/>
              <w:spacing w:line="240" w:lineRule="auto"/>
              <w:ind w:firstLine="0" w:firstLineChars="0"/>
              <w:jc w:val="right"/>
              <w:rPr>
                <w:rFonts w:ascii="宋体" w:hAnsi="宋体" w:cs="宋体"/>
                <w:color w:val="000000"/>
                <w:kern w:val="0"/>
                <w:sz w:val="18"/>
                <w:szCs w:val="18"/>
              </w:rPr>
            </w:pPr>
            <w:r>
              <w:rPr>
                <w:rFonts w:hint="eastAsia" w:ascii="宋体" w:hAnsi="宋体" w:cs="宋体"/>
                <w:color w:val="000000"/>
                <w:kern w:val="0"/>
                <w:sz w:val="18"/>
                <w:szCs w:val="18"/>
              </w:rPr>
              <w:t>月份</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频率</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r>
              <w:rPr>
                <w:rFonts w:hint="eastAsia" w:ascii="宋体" w:hAnsi="宋体" w:cs="Times New Roman"/>
                <w:color w:val="000000"/>
                <w:kern w:val="0"/>
                <w:sz w:val="18"/>
                <w:szCs w:val="18"/>
              </w:rPr>
              <w:t>月</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r>
              <w:rPr>
                <w:rFonts w:hint="eastAsia" w:ascii="宋体" w:hAnsi="宋体" w:cs="Times New Roman"/>
                <w:color w:val="000000"/>
                <w:kern w:val="0"/>
                <w:sz w:val="18"/>
                <w:szCs w:val="18"/>
              </w:rPr>
              <w:t>月</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w:t>
            </w:r>
            <w:r>
              <w:rPr>
                <w:rFonts w:hint="eastAsia" w:ascii="宋体" w:hAnsi="宋体" w:cs="Times New Roman"/>
                <w:color w:val="000000"/>
                <w:kern w:val="0"/>
                <w:sz w:val="18"/>
                <w:szCs w:val="18"/>
              </w:rPr>
              <w:t>月</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w:t>
            </w:r>
            <w:r>
              <w:rPr>
                <w:rFonts w:hint="eastAsia" w:ascii="宋体" w:hAnsi="宋体" w:cs="Times New Roman"/>
                <w:color w:val="000000"/>
                <w:kern w:val="0"/>
                <w:sz w:val="18"/>
                <w:szCs w:val="18"/>
              </w:rPr>
              <w:t>月</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r>
              <w:rPr>
                <w:rFonts w:hint="eastAsia" w:ascii="宋体" w:hAnsi="宋体" w:cs="Times New Roman"/>
                <w:color w:val="000000"/>
                <w:kern w:val="0"/>
                <w:sz w:val="18"/>
                <w:szCs w:val="18"/>
              </w:rPr>
              <w:t>月</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w:t>
            </w:r>
            <w:r>
              <w:rPr>
                <w:rFonts w:hint="eastAsia" w:ascii="宋体" w:hAnsi="宋体" w:cs="Times New Roman"/>
                <w:color w:val="000000"/>
                <w:kern w:val="0"/>
                <w:sz w:val="18"/>
                <w:szCs w:val="18"/>
              </w:rPr>
              <w:t>月</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w:t>
            </w:r>
            <w:r>
              <w:rPr>
                <w:rFonts w:hint="eastAsia" w:ascii="宋体" w:hAnsi="宋体" w:cs="Times New Roman"/>
                <w:color w:val="000000"/>
                <w:kern w:val="0"/>
                <w:sz w:val="18"/>
                <w:szCs w:val="18"/>
              </w:rPr>
              <w:t>月</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w:t>
            </w:r>
            <w:r>
              <w:rPr>
                <w:rFonts w:hint="eastAsia" w:ascii="宋体" w:hAnsi="宋体" w:cs="Times New Roman"/>
                <w:color w:val="000000"/>
                <w:kern w:val="0"/>
                <w:sz w:val="18"/>
                <w:szCs w:val="18"/>
              </w:rPr>
              <w:t>月</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w:t>
            </w:r>
            <w:r>
              <w:rPr>
                <w:rFonts w:hint="eastAsia" w:ascii="宋体" w:hAnsi="宋体" w:cs="Times New Roman"/>
                <w:color w:val="000000"/>
                <w:kern w:val="0"/>
                <w:sz w:val="18"/>
                <w:szCs w:val="18"/>
              </w:rPr>
              <w:t>月</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w:t>
            </w:r>
            <w:r>
              <w:rPr>
                <w:rFonts w:hint="eastAsia" w:ascii="宋体" w:hAnsi="宋体" w:cs="Times New Roman"/>
                <w:color w:val="000000"/>
                <w:kern w:val="0"/>
                <w:sz w:val="18"/>
                <w:szCs w:val="18"/>
              </w:rPr>
              <w:t>月</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11</w:t>
            </w:r>
            <w:r>
              <w:rPr>
                <w:rFonts w:hint="eastAsia" w:ascii="宋体" w:hAnsi="宋体" w:cs="Times New Roman"/>
                <w:color w:val="000000"/>
                <w:kern w:val="0"/>
                <w:sz w:val="18"/>
                <w:szCs w:val="18"/>
              </w:rPr>
              <w:t>月</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w:t>
            </w:r>
            <w:r>
              <w:rPr>
                <w:rFonts w:hint="eastAsia" w:ascii="宋体" w:hAnsi="宋体" w:cs="Times New Roman"/>
                <w:color w:val="000000"/>
                <w:kern w:val="0"/>
                <w:sz w:val="18"/>
                <w:szCs w:val="18"/>
              </w:rPr>
              <w:t>月</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年均流量</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年径流量</w:t>
            </w:r>
          </w:p>
        </w:tc>
      </w:tr>
      <w:tr>
        <w:tblPrEx>
          <w:tblCellMar>
            <w:top w:w="0" w:type="dxa"/>
            <w:left w:w="108" w:type="dxa"/>
            <w:bottom w:w="0" w:type="dxa"/>
            <w:right w:w="108" w:type="dxa"/>
          </w:tblCellMar>
        </w:tblPrEx>
        <w:trPr>
          <w:trHeight w:val="285"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P=50%</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47.1</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34.7</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55.7</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196</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181</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54.5</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50.8</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35.9</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47.1</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43.3</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16.1</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17.4</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0.25</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779</w:t>
            </w:r>
          </w:p>
        </w:tc>
      </w:tr>
      <w:tr>
        <w:trPr>
          <w:trHeight w:val="285"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P=75%</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21.8</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21.2</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31.3</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109</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168</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45.4</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37.8</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43.7</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46</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30.7</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14.8</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20.7</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0.19</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590</w:t>
            </w:r>
          </w:p>
        </w:tc>
      </w:tr>
      <w:tr>
        <w:trPr>
          <w:trHeight w:val="285"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P=90%</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24.6</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26.4</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25.8</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67.8</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127</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35.4</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35.8</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28.3</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28.6</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28.7</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20.9</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8.56</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0.15</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458</w:t>
            </w:r>
          </w:p>
        </w:tc>
      </w:tr>
    </w:tbl>
    <w:p>
      <w:pPr>
        <w:ind w:firstLine="0" w:firstLineChars="0"/>
        <w:rPr>
          <w:rFonts w:cs="Times New Roman"/>
        </w:rPr>
      </w:pPr>
    </w:p>
    <w:p>
      <w:pPr>
        <w:pStyle w:val="137"/>
        <w:spacing w:before="65"/>
      </w:pPr>
      <w:r>
        <w:t>表4.2-4                                  代尔昆代水库坝址断面设计洪水成果表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1249"/>
        <w:gridCol w:w="1249"/>
        <w:gridCol w:w="1249"/>
        <w:gridCol w:w="1249"/>
        <w:gridCol w:w="1249"/>
        <w:gridCol w:w="1249"/>
        <w:gridCol w:w="1249"/>
        <w:gridCol w:w="1249"/>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66" w:type="pct"/>
            <w:vAlign w:val="center"/>
          </w:tcPr>
          <w:p>
            <w:pPr>
              <w:pStyle w:val="136"/>
            </w:pPr>
            <w:r>
              <w:t>频率（%）</w:t>
            </w:r>
          </w:p>
        </w:tc>
        <w:tc>
          <w:tcPr>
            <w:tcW w:w="448" w:type="pct"/>
            <w:vAlign w:val="center"/>
          </w:tcPr>
          <w:p>
            <w:pPr>
              <w:pStyle w:val="136"/>
            </w:pPr>
            <w:r>
              <w:t>0.1</w:t>
            </w:r>
          </w:p>
        </w:tc>
        <w:tc>
          <w:tcPr>
            <w:tcW w:w="448" w:type="pct"/>
            <w:vAlign w:val="center"/>
          </w:tcPr>
          <w:p>
            <w:pPr>
              <w:pStyle w:val="136"/>
            </w:pPr>
            <w:r>
              <w:t>0.2</w:t>
            </w:r>
          </w:p>
        </w:tc>
        <w:tc>
          <w:tcPr>
            <w:tcW w:w="448" w:type="pct"/>
            <w:vAlign w:val="center"/>
          </w:tcPr>
          <w:p>
            <w:pPr>
              <w:pStyle w:val="136"/>
            </w:pPr>
            <w:r>
              <w:t>0.5</w:t>
            </w:r>
          </w:p>
        </w:tc>
        <w:tc>
          <w:tcPr>
            <w:tcW w:w="448" w:type="pct"/>
            <w:vAlign w:val="center"/>
          </w:tcPr>
          <w:p>
            <w:pPr>
              <w:pStyle w:val="136"/>
            </w:pPr>
            <w:r>
              <w:t>1</w:t>
            </w:r>
          </w:p>
        </w:tc>
        <w:tc>
          <w:tcPr>
            <w:tcW w:w="448" w:type="pct"/>
            <w:vAlign w:val="center"/>
          </w:tcPr>
          <w:p>
            <w:pPr>
              <w:pStyle w:val="136"/>
            </w:pPr>
            <w:r>
              <w:t>2</w:t>
            </w:r>
          </w:p>
        </w:tc>
        <w:tc>
          <w:tcPr>
            <w:tcW w:w="448" w:type="pct"/>
            <w:vAlign w:val="center"/>
          </w:tcPr>
          <w:p>
            <w:pPr>
              <w:pStyle w:val="136"/>
            </w:pPr>
            <w:r>
              <w:t>3.33</w:t>
            </w:r>
          </w:p>
        </w:tc>
        <w:tc>
          <w:tcPr>
            <w:tcW w:w="448" w:type="pct"/>
            <w:vAlign w:val="center"/>
          </w:tcPr>
          <w:p>
            <w:pPr>
              <w:pStyle w:val="136"/>
            </w:pPr>
            <w:r>
              <w:t>5</w:t>
            </w:r>
          </w:p>
        </w:tc>
        <w:tc>
          <w:tcPr>
            <w:tcW w:w="448" w:type="pct"/>
            <w:vAlign w:val="center"/>
          </w:tcPr>
          <w:p>
            <w:pPr>
              <w:pStyle w:val="136"/>
            </w:pPr>
            <w:r>
              <w:t>10</w:t>
            </w:r>
          </w:p>
        </w:tc>
        <w:tc>
          <w:tcPr>
            <w:tcW w:w="448" w:type="pct"/>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pct"/>
            <w:vAlign w:val="center"/>
          </w:tcPr>
          <w:p>
            <w:pPr>
              <w:pStyle w:val="136"/>
            </w:pPr>
            <w:r>
              <w:t>洪峰流量（m</w:t>
            </w:r>
            <w:r>
              <w:rPr>
                <w:vertAlign w:val="superscript"/>
              </w:rPr>
              <w:t>3</w:t>
            </w:r>
            <w:r>
              <w:t>/s）</w:t>
            </w:r>
          </w:p>
        </w:tc>
        <w:tc>
          <w:tcPr>
            <w:tcW w:w="448" w:type="pct"/>
            <w:vAlign w:val="center"/>
          </w:tcPr>
          <w:p>
            <w:pPr>
              <w:pStyle w:val="136"/>
            </w:pPr>
            <w:r>
              <w:t>347</w:t>
            </w:r>
          </w:p>
        </w:tc>
        <w:tc>
          <w:tcPr>
            <w:tcW w:w="448" w:type="pct"/>
            <w:vAlign w:val="center"/>
          </w:tcPr>
          <w:p>
            <w:pPr>
              <w:pStyle w:val="136"/>
            </w:pPr>
            <w:r>
              <w:t>282</w:t>
            </w:r>
          </w:p>
        </w:tc>
        <w:tc>
          <w:tcPr>
            <w:tcW w:w="448" w:type="pct"/>
            <w:vAlign w:val="center"/>
          </w:tcPr>
          <w:p>
            <w:pPr>
              <w:pStyle w:val="136"/>
            </w:pPr>
            <w:r>
              <w:t>237</w:t>
            </w:r>
          </w:p>
        </w:tc>
        <w:tc>
          <w:tcPr>
            <w:tcW w:w="448" w:type="pct"/>
            <w:vAlign w:val="center"/>
          </w:tcPr>
          <w:p>
            <w:pPr>
              <w:pStyle w:val="136"/>
            </w:pPr>
            <w:r>
              <w:t>145</w:t>
            </w:r>
          </w:p>
        </w:tc>
        <w:tc>
          <w:tcPr>
            <w:tcW w:w="448" w:type="pct"/>
            <w:vAlign w:val="center"/>
          </w:tcPr>
          <w:p>
            <w:pPr>
              <w:pStyle w:val="136"/>
            </w:pPr>
            <w:r>
              <w:t>95.1</w:t>
            </w:r>
          </w:p>
        </w:tc>
        <w:tc>
          <w:tcPr>
            <w:tcW w:w="448" w:type="pct"/>
            <w:vAlign w:val="center"/>
          </w:tcPr>
          <w:p>
            <w:pPr>
              <w:pStyle w:val="136"/>
            </w:pPr>
            <w:r>
              <w:t>64.4</w:t>
            </w:r>
          </w:p>
        </w:tc>
        <w:tc>
          <w:tcPr>
            <w:tcW w:w="448" w:type="pct"/>
            <w:vAlign w:val="center"/>
          </w:tcPr>
          <w:p>
            <w:pPr>
              <w:pStyle w:val="136"/>
            </w:pPr>
            <w:r>
              <w:t>44.2</w:t>
            </w:r>
          </w:p>
        </w:tc>
        <w:tc>
          <w:tcPr>
            <w:tcW w:w="448" w:type="pct"/>
            <w:vAlign w:val="center"/>
          </w:tcPr>
          <w:p>
            <w:pPr>
              <w:pStyle w:val="136"/>
            </w:pPr>
            <w:r>
              <w:t>21.3</w:t>
            </w:r>
          </w:p>
        </w:tc>
        <w:tc>
          <w:tcPr>
            <w:tcW w:w="448" w:type="pct"/>
            <w:vAlign w:val="center"/>
          </w:tcPr>
          <w:p>
            <w:pPr>
              <w:pStyle w:val="136"/>
            </w:pPr>
            <w: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pct"/>
            <w:vAlign w:val="center"/>
          </w:tcPr>
          <w:p>
            <w:pPr>
              <w:pStyle w:val="136"/>
            </w:pPr>
            <w:r>
              <w:t>1日洪量（10</w:t>
            </w:r>
            <w:r>
              <w:rPr>
                <w:vertAlign w:val="superscript"/>
              </w:rPr>
              <w:t>4</w:t>
            </w:r>
            <w:r>
              <w:t>m</w:t>
            </w:r>
            <w:r>
              <w:rPr>
                <w:vertAlign w:val="superscript"/>
              </w:rPr>
              <w:t>3</w:t>
            </w:r>
            <w:r>
              <w:t>）</w:t>
            </w:r>
          </w:p>
        </w:tc>
        <w:tc>
          <w:tcPr>
            <w:tcW w:w="448" w:type="pct"/>
            <w:vAlign w:val="center"/>
          </w:tcPr>
          <w:p>
            <w:pPr>
              <w:pStyle w:val="136"/>
            </w:pPr>
            <w:r>
              <w:t>373.3</w:t>
            </w:r>
          </w:p>
        </w:tc>
        <w:tc>
          <w:tcPr>
            <w:tcW w:w="448" w:type="pct"/>
            <w:vAlign w:val="center"/>
          </w:tcPr>
          <w:p>
            <w:pPr>
              <w:pStyle w:val="136"/>
            </w:pPr>
            <w:r>
              <w:t>319.9</w:t>
            </w:r>
          </w:p>
        </w:tc>
        <w:tc>
          <w:tcPr>
            <w:tcW w:w="448" w:type="pct"/>
            <w:vAlign w:val="center"/>
          </w:tcPr>
          <w:p>
            <w:pPr>
              <w:pStyle w:val="136"/>
            </w:pPr>
            <w:r>
              <w:t>282.2</w:t>
            </w:r>
          </w:p>
        </w:tc>
        <w:tc>
          <w:tcPr>
            <w:tcW w:w="448" w:type="pct"/>
            <w:vAlign w:val="center"/>
          </w:tcPr>
          <w:p>
            <w:pPr>
              <w:pStyle w:val="136"/>
            </w:pPr>
            <w:r>
              <w:t>202.5</w:t>
            </w:r>
          </w:p>
        </w:tc>
        <w:tc>
          <w:tcPr>
            <w:tcW w:w="448" w:type="pct"/>
            <w:vAlign w:val="center"/>
          </w:tcPr>
          <w:p>
            <w:pPr>
              <w:pStyle w:val="136"/>
            </w:pPr>
            <w:r>
              <w:t>156.3</w:t>
            </w:r>
          </w:p>
        </w:tc>
        <w:tc>
          <w:tcPr>
            <w:tcW w:w="448" w:type="pct"/>
            <w:vAlign w:val="center"/>
          </w:tcPr>
          <w:p>
            <w:pPr>
              <w:pStyle w:val="136"/>
            </w:pPr>
            <w:r>
              <w:t>124.8</w:t>
            </w:r>
          </w:p>
        </w:tc>
        <w:tc>
          <w:tcPr>
            <w:tcW w:w="448" w:type="pct"/>
            <w:vAlign w:val="center"/>
          </w:tcPr>
          <w:p>
            <w:pPr>
              <w:pStyle w:val="136"/>
            </w:pPr>
            <w:r>
              <w:t>102.1</w:t>
            </w:r>
          </w:p>
        </w:tc>
        <w:tc>
          <w:tcPr>
            <w:tcW w:w="448" w:type="pct"/>
            <w:vAlign w:val="center"/>
          </w:tcPr>
          <w:p>
            <w:pPr>
              <w:pStyle w:val="136"/>
            </w:pPr>
            <w:r>
              <w:t>68.2</w:t>
            </w:r>
          </w:p>
        </w:tc>
        <w:tc>
          <w:tcPr>
            <w:tcW w:w="448" w:type="pct"/>
            <w:vAlign w:val="center"/>
          </w:tcPr>
          <w:p>
            <w:pPr>
              <w:pStyle w:val="136"/>
            </w:pPr>
            <w:r>
              <w:t>43.8</w:t>
            </w:r>
          </w:p>
        </w:tc>
      </w:tr>
    </w:tbl>
    <w:p>
      <w:pPr>
        <w:ind w:firstLine="480"/>
        <w:rPr>
          <w:rFonts w:cs="Times New Roman"/>
        </w:rPr>
      </w:pPr>
    </w:p>
    <w:p>
      <w:pPr>
        <w:ind w:firstLine="480"/>
        <w:rPr>
          <w:rFonts w:cs="Times New Roman"/>
        </w:rPr>
        <w:sectPr>
          <w:pgSz w:w="16838" w:h="11906" w:orient="landscape"/>
          <w:pgMar w:top="1418" w:right="1559" w:bottom="1418" w:left="1559" w:header="851" w:footer="992" w:gutter="0"/>
          <w:cols w:space="425" w:num="1"/>
          <w:docGrid w:type="lines" w:linePitch="326" w:charSpace="0"/>
        </w:sectPr>
      </w:pPr>
    </w:p>
    <w:p>
      <w:pPr>
        <w:ind w:firstLine="480"/>
        <w:rPr>
          <w:rFonts w:cs="Times New Roman"/>
        </w:rPr>
      </w:pPr>
      <w:r>
        <w:rPr>
          <w:rFonts w:cs="Times New Roman"/>
        </w:rPr>
        <w:t>（3）泥沙</w:t>
      </w:r>
    </w:p>
    <w:p>
      <w:pPr>
        <w:ind w:firstLine="480"/>
        <w:rPr>
          <w:rFonts w:cs="Times New Roman"/>
        </w:rPr>
      </w:pPr>
      <w:r>
        <w:rPr>
          <w:rFonts w:cs="Times New Roman"/>
        </w:rPr>
        <w:t>代尔昆代郭勒流域地处东天山喀尔里克山北坡，邻近东天山末端，河流水量小、流程短、渗漏大，河流泥沙主要来源于山区。因该流域未设水文站，无泥沙资料。</w:t>
      </w:r>
    </w:p>
    <w:p>
      <w:pPr>
        <w:ind w:firstLine="480"/>
        <w:rPr>
          <w:rFonts w:cs="Times New Roman"/>
        </w:rPr>
      </w:pPr>
      <w:r>
        <w:rPr>
          <w:rFonts w:cs="Times New Roman"/>
        </w:rPr>
        <w:t>选用头道沟水文站1986～2021年的输沙数据作为泥沙数据计算参考，按专用站实测资料推算出代尔昆代水库坝址断面多年平均悬移质输沙量为2.854万t；多年平均推移泥沙量为0.856万t；多年平均输沙总量约3.71万t。</w:t>
      </w:r>
    </w:p>
    <w:p>
      <w:pPr>
        <w:ind w:firstLine="480"/>
        <w:rPr>
          <w:rFonts w:cs="Times New Roman"/>
        </w:rPr>
      </w:pPr>
      <w:r>
        <w:rPr>
          <w:rFonts w:cs="Times New Roman"/>
        </w:rPr>
        <w:t>（4）冰情</w:t>
      </w:r>
    </w:p>
    <w:p>
      <w:pPr>
        <w:ind w:firstLine="480"/>
        <w:rPr>
          <w:rFonts w:cs="Times New Roman"/>
        </w:rPr>
      </w:pPr>
      <w:r>
        <w:rPr>
          <w:rFonts w:cs="Times New Roman"/>
        </w:rPr>
        <w:t>代尔昆代郭勒河无冰情观测资料，以头道沟水文站多年冰情观测资料反映代尔昆代郭勒冰情特性；最早结冰时间</w:t>
      </w:r>
      <w:r>
        <w:rPr>
          <w:rFonts w:hint="eastAsia" w:cs="Times New Roman"/>
          <w:lang w:eastAsia="zh-CN"/>
        </w:rPr>
        <w:t>为</w:t>
      </w:r>
      <w:r>
        <w:rPr>
          <w:rFonts w:cs="Times New Roman"/>
        </w:rPr>
        <w:t>11月中旬，最晚解冻时间为5月下旬，最大冰封天数193天，最小冰封天数93天，平均封冻天数为110天。</w:t>
      </w:r>
    </w:p>
    <w:p>
      <w:pPr>
        <w:ind w:firstLine="480"/>
        <w:rPr>
          <w:rFonts w:cs="Times New Roman"/>
        </w:rPr>
      </w:pPr>
      <w:r>
        <w:rPr>
          <w:rFonts w:cs="Times New Roman"/>
        </w:rPr>
        <w:t>（5）水温</w:t>
      </w:r>
    </w:p>
    <w:p>
      <w:pPr>
        <w:ind w:firstLine="480"/>
        <w:rPr>
          <w:rFonts w:cs="Times New Roman"/>
        </w:rPr>
      </w:pPr>
      <w:r>
        <w:rPr>
          <w:rFonts w:cs="Times New Roman"/>
        </w:rPr>
        <w:t>代尔昆代郭勒流域无水温观测资料。</w:t>
      </w:r>
    </w:p>
    <w:p>
      <w:pPr>
        <w:pStyle w:val="62"/>
        <w:rPr>
          <w:rFonts w:cs="Times New Roman"/>
        </w:rPr>
      </w:pPr>
      <w:r>
        <w:rPr>
          <w:rFonts w:cs="Times New Roman"/>
        </w:rPr>
        <w:t>4.2.1.5 水文地质</w:t>
      </w:r>
    </w:p>
    <w:p>
      <w:pPr>
        <w:ind w:firstLine="480"/>
        <w:rPr>
          <w:rFonts w:cs="Times New Roman"/>
        </w:rPr>
      </w:pPr>
      <w:r>
        <w:rPr>
          <w:rFonts w:cs="Times New Roman"/>
        </w:rPr>
        <w:t>（1）区域水文地质</w:t>
      </w:r>
    </w:p>
    <w:p>
      <w:pPr>
        <w:ind w:firstLine="480"/>
        <w:rPr>
          <w:rFonts w:cs="Times New Roman"/>
        </w:rPr>
      </w:pPr>
      <w:r>
        <w:rPr>
          <w:rFonts w:cs="Times New Roman"/>
        </w:rPr>
        <w:t>代尔昆代郭勒河从地形上大致可分为山区和冲洪积平原区，因此，本次区域水文地质条件介绍，则分为山区和冲洪积平原区两部分分别介绍。</w:t>
      </w:r>
    </w:p>
    <w:p>
      <w:pPr>
        <w:pStyle w:val="89"/>
        <w:numPr>
          <w:ilvl w:val="0"/>
          <w:numId w:val="5"/>
        </w:numPr>
        <w:ind w:firstLineChars="0"/>
        <w:rPr>
          <w:rFonts w:cs="Times New Roman"/>
        </w:rPr>
      </w:pPr>
      <w:r>
        <w:rPr>
          <w:rFonts w:cs="Times New Roman"/>
        </w:rPr>
        <w:t>山区水文地质条件</w:t>
      </w:r>
    </w:p>
    <w:p>
      <w:pPr>
        <w:ind w:firstLine="480"/>
        <w:rPr>
          <w:rFonts w:cs="Times New Roman"/>
        </w:rPr>
      </w:pPr>
      <w:r>
        <w:rPr>
          <w:rFonts w:cs="Times New Roman"/>
        </w:rPr>
        <w:t>代尔昆代郭勒河出山口以上河段为上游，河道自北向南流经中高山和丘陵地带，河道狭长且下切严重，河漫滩不发育，河水归槽现象明显，两岸植被不发育，以荒漠类灌木为主；河长约18km，流域山区汇水面积约86.9km</w:t>
      </w:r>
      <w:r>
        <w:rPr>
          <w:rFonts w:cs="Times New Roman"/>
          <w:vertAlign w:val="superscript"/>
        </w:rPr>
        <w:t>2</w:t>
      </w:r>
      <w:r>
        <w:rPr>
          <w:rFonts w:cs="Times New Roman"/>
        </w:rPr>
        <w:t>。代尔昆代水库即位于该河段，水库坝址距下游出山口断面约6km，坝址断面年均径流量834万m</w:t>
      </w:r>
      <w:r>
        <w:rPr>
          <w:rFonts w:cs="Times New Roman"/>
          <w:vertAlign w:val="superscript"/>
        </w:rPr>
        <w:t>3</w:t>
      </w:r>
      <w:r>
        <w:rPr>
          <w:rFonts w:cs="Times New Roman"/>
        </w:rPr>
        <w:t>、年均流量0.26m</w:t>
      </w:r>
      <w:r>
        <w:rPr>
          <w:rFonts w:cs="Times New Roman"/>
          <w:vertAlign w:val="superscript"/>
        </w:rPr>
        <w:t>3</w:t>
      </w:r>
      <w:r>
        <w:rPr>
          <w:rFonts w:cs="Times New Roman"/>
        </w:rPr>
        <w:t>/s；代尔昆代郭勒河主要由季节性融雪水、夏季降雨补给为主，同时基岩裂隙水也具有一定补给作用。由于补给源不稳定且补给量小，加之河床覆盖层以第四系卵砾石为主，下渗严重，山区河段（上游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平原区河段（中下游河段）几乎无地表明流，仅汛期，当代尔昆代郭勒河发生洪水时，由于河流的坡降大，区域产生的融雪洪水或暴雨洪水往往洪量少流速大，地表明流可流出山口断面，但很快会消散于下马崖戈壁。</w:t>
      </w:r>
    </w:p>
    <w:p>
      <w:pPr>
        <w:ind w:firstLine="480"/>
        <w:rPr>
          <w:rFonts w:cs="Times New Roman"/>
        </w:rPr>
      </w:pPr>
      <w:r>
        <w:rPr>
          <w:rFonts w:cs="Times New Roman"/>
        </w:rPr>
        <w:t>代尔昆代郭勒河流域年降水量小而蒸发量大，径流小且不稳定，导致区域地下水资源贫乏。</w:t>
      </w:r>
    </w:p>
    <w:p>
      <w:pPr>
        <w:ind w:firstLine="480"/>
        <w:rPr>
          <w:rFonts w:cs="Times New Roman"/>
        </w:rPr>
      </w:pPr>
      <w:r>
        <w:rPr>
          <w:rFonts w:cs="Times New Roman"/>
        </w:rPr>
        <w:t>A.地下水含水层</w:t>
      </w:r>
    </w:p>
    <w:p>
      <w:pPr>
        <w:ind w:firstLine="480"/>
        <w:rPr>
          <w:rFonts w:cs="Times New Roman"/>
        </w:rPr>
      </w:pPr>
      <w:r>
        <w:rPr>
          <w:rFonts w:cs="Times New Roman"/>
        </w:rPr>
        <w:t>代尔昆代郭勒河地下水潜水含水层，按埋藏条件可分为第四系松散堆积物孔隙潜水和基岩孔隙裂隙潜水。</w:t>
      </w:r>
    </w:p>
    <w:p>
      <w:pPr>
        <w:ind w:firstLine="480"/>
        <w:rPr>
          <w:rFonts w:cs="Times New Roman"/>
        </w:rPr>
      </w:pPr>
      <w:r>
        <w:rPr>
          <w:rFonts w:cs="Times New Roman"/>
        </w:rPr>
        <w:t>山区河段基岩节理、裂隙发育，较为密集，河床沉积较厚，卵、砾石层，地下水流通条件较好。山区河谷呈“U”型河谷，两岸山体基岩基本裸露，岩体较为完整，岩性为两层，上层为第四系冲洪积卵、砾石层，根据物探和钻孔资料推测，坝址区最大厚度20.5m，河床下伏地层为石炭系下统亚曼苏组第二亚组深灰色凝灰岩，根据压水试验资料q＞5Lu下限埋深在基岩界面以下19.0～25.0m，以下为弱透水带及微透水带q＜5Lu。</w:t>
      </w:r>
    </w:p>
    <w:p>
      <w:pPr>
        <w:ind w:firstLine="480"/>
        <w:rPr>
          <w:rFonts w:cs="Times New Roman"/>
        </w:rPr>
      </w:pPr>
      <w:r>
        <w:rPr>
          <w:rFonts w:cs="Times New Roman"/>
        </w:rPr>
        <w:t>第四系松散堆积孔隙潜水赋存于谷底透水性好的冲积砂卵砾石层和岸边崩坡积块碎石中，接受河水补给，水量相对丰富。基岩裂隙潜水赋存运移于基岩裂隙中，主要接受冰雪融水和大气降水及上游地表水补给，排泄于河谷及沟谷中。由于本区干旱少雨，地下水水量不丰，埋深大。据坝址区勘探揭露情况，库坝区多数地段两岸阶地区地下水埋深2.00～8.00m左右。</w:t>
      </w:r>
    </w:p>
    <w:p>
      <w:pPr>
        <w:ind w:firstLine="480"/>
        <w:rPr>
          <w:rFonts w:cs="Times New Roman"/>
        </w:rPr>
      </w:pPr>
      <w:r>
        <w:rPr>
          <w:rFonts w:cs="Times New Roman"/>
        </w:rPr>
        <w:t>B.地下水补径排关系</w:t>
      </w:r>
    </w:p>
    <w:p>
      <w:pPr>
        <w:ind w:firstLine="480"/>
        <w:rPr>
          <w:rFonts w:cs="Times New Roman"/>
        </w:rPr>
      </w:pPr>
      <w:r>
        <w:rPr>
          <w:rFonts w:cs="Times New Roman"/>
        </w:rPr>
        <w:t>山区河段第四系松散堆积孔隙潜水赋存于谷底透水性好的冲积砂卵砾石层（河床和河漫滩）和两岸I级阶地，主要接受大气降水、雪融水、河水、沟谷上游基岩裂隙潜水补给，沿沟谷总体向代尔昆代河排泄，水位随河水位变化明显。</w:t>
      </w:r>
    </w:p>
    <w:p>
      <w:pPr>
        <w:ind w:firstLine="480"/>
        <w:rPr>
          <w:rFonts w:cs="Times New Roman"/>
        </w:rPr>
      </w:pPr>
      <w:r>
        <w:rPr>
          <w:rFonts w:cs="Times New Roman"/>
        </w:rPr>
        <w:t>基岩裂隙潜水赋存运移于基岩裂隙中，主要分布在两岸高阶地基岩裂隙及断层带内，无统一水位，沿裂隙网络运移，向最低侵蚀面—现代河流排泄。主要接受冰雪融水和大气降水及上游地表水补给，排泄于河谷及沟谷中。</w:t>
      </w:r>
    </w:p>
    <w:p>
      <w:pPr>
        <w:ind w:firstLine="480"/>
        <w:rPr>
          <w:rFonts w:cs="Times New Roman"/>
        </w:rPr>
      </w:pPr>
      <w:r>
        <w:rPr>
          <w:rFonts w:cs="Times New Roman"/>
        </w:rPr>
        <w:t>河谷含水层厚度分布不均，中间厚，靠近两岸山体侧较薄，河流两岸河漫滩、I级阶地含水层厚可达20m甚至更高，水位埋深普遍较浅，在1～3m之间，地下水多具潜水性质，且随河水位变化而变化。河谷两岸高阶地区水位埋深较深，无统一水位，受制于干旱少雨且蒸发强烈影响，整体上水量有限。</w:t>
      </w:r>
    </w:p>
    <w:p>
      <w:pPr>
        <w:ind w:firstLine="480"/>
        <w:rPr>
          <w:rFonts w:cs="Times New Roman"/>
        </w:rPr>
      </w:pPr>
      <w:r>
        <w:rPr>
          <w:rFonts w:cs="Times New Roman"/>
        </w:rPr>
        <w:t>代尔昆代郭勒河两岸山区是本区地下水的补给区，河谷则是地下水的径流和排泄区。地下水主要补给源主要为大气降水、融雪水和河道渗漏补给。</w:t>
      </w:r>
    </w:p>
    <w:p>
      <w:pPr>
        <w:ind w:firstLine="480"/>
        <w:rPr>
          <w:rFonts w:cs="Times New Roman"/>
        </w:rPr>
      </w:pPr>
      <w:r>
        <w:rPr>
          <w:rFonts w:cs="Times New Roman"/>
        </w:rPr>
        <w:t>地下水总体流向与河流走向及地形坡向基本一致，自南向北向下游运移，同时向代尔昆代郭勒河汇集；径流强度由上游至下游递减；地下水运移速度变慢。</w:t>
      </w:r>
    </w:p>
    <w:p>
      <w:pPr>
        <w:ind w:firstLine="480"/>
        <w:rPr>
          <w:rFonts w:cs="Times New Roman"/>
        </w:rPr>
      </w:pPr>
      <w:r>
        <w:rPr>
          <w:rFonts w:cs="Times New Roman"/>
        </w:rPr>
        <w:t>地下水排泄方式主要为向下游的侧向径流排泄、潜水蒸发。</w:t>
      </w:r>
    </w:p>
    <w:p>
      <w:pPr>
        <w:ind w:firstLine="480"/>
        <w:rPr>
          <w:rFonts w:cs="Times New Roman"/>
        </w:rPr>
      </w:pPr>
      <w:r>
        <w:rPr>
          <w:rFonts w:cs="Times New Roman"/>
        </w:rPr>
        <w:t>C.地下水动态特征</w:t>
      </w:r>
    </w:p>
    <w:p>
      <w:pPr>
        <w:ind w:firstLine="480"/>
        <w:rPr>
          <w:rFonts w:cs="Times New Roman"/>
        </w:rPr>
      </w:pPr>
      <w:r>
        <w:rPr>
          <w:rFonts w:cs="Times New Roman"/>
        </w:rPr>
        <w:t>地下水年际变化很小，年内变化很大。雨季6～8月，水量相对丰富，为地下水丰水期，其他月份则贫乏，为枯水期。</w:t>
      </w:r>
    </w:p>
    <w:p>
      <w:pPr>
        <w:ind w:firstLine="480"/>
        <w:rPr>
          <w:rFonts w:cs="Times New Roman"/>
        </w:rPr>
      </w:pPr>
      <w:r>
        <w:rPr>
          <w:rFonts w:cs="Times New Roman"/>
        </w:rPr>
        <w:t>河谷近河区的河漫滩、低阶地区地下水与河水水力联系密切，地下水位变化与河水位变化同步。受制于降水少且蒸发强烈的影响，干旱季节除代尔昆代沟向Ⅰ级阶地补给地下水外，Ⅰ级阶地以上阶地和基岩几乎均无地下水。</w:t>
      </w:r>
    </w:p>
    <w:p>
      <w:pPr>
        <w:ind w:firstLine="480"/>
        <w:rPr>
          <w:rFonts w:cs="Times New Roman"/>
        </w:rPr>
      </w:pPr>
      <w:r>
        <w:rPr>
          <w:rFonts w:hint="eastAsia" w:ascii="宋体" w:hAnsi="宋体" w:cs="宋体"/>
        </w:rPr>
        <w:t>②</w:t>
      </w:r>
      <w:r>
        <w:rPr>
          <w:rFonts w:cs="Times New Roman"/>
        </w:rPr>
        <w:t>冲洪积平原区水文地质条件</w:t>
      </w:r>
    </w:p>
    <w:p>
      <w:pPr>
        <w:ind w:firstLine="480"/>
        <w:rPr>
          <w:rFonts w:cs="Times New Roman"/>
        </w:rPr>
      </w:pPr>
      <w:r>
        <w:rPr>
          <w:rFonts w:cs="Times New Roman"/>
        </w:rPr>
        <w:t>代尔昆代郭勒河出山以后，河道沿程地形大致可分为山前倾斜平原和冲积平原区。山前倾斜平原主要分布在下马崖乡以上河段，下马崖乡以下河段大多为冲积平原区。</w:t>
      </w:r>
    </w:p>
    <w:p>
      <w:pPr>
        <w:ind w:firstLine="480"/>
        <w:rPr>
          <w:rFonts w:cs="Times New Roman"/>
        </w:rPr>
      </w:pPr>
      <w:r>
        <w:rPr>
          <w:rFonts w:cs="Times New Roman"/>
        </w:rPr>
        <w:t>代尔昆代郭勒河出山口至下游下马崖乡附近铁道线路之间河段为中游河段，河长约47km，期间无支流汇入，处于径流损失区，河道常年无地表径流，河水以地下潜流形式向下游排泄，部分地下潜流以泉的形式在下马崖乡与周边区域山沟潜流相汇后出露并用于下马崖乡农业灌溉；本段河道比降4%～5%，海拔高度介于860～1990m之间，地形狭窄，具有明显的山间谷地特征。河道呈南向北流向，河谷宽阔，河谷切割深度1～3m，河床宽30～400m，两岸分布1～2级阶地。由于干旱剥蚀及强烈的风蚀作用，地表呈现明显戈壁样，分布有下马崖戈壁，大部分区域仅分布有稀疏的荒漠类植物，多为真旱生和广旱生、丛生禾草组成的植物群落，多为沙生针茅、棱狐茅、芨芨草及超旱生小半灌木的合头草、白刺、中麻黄和其他旱生灌木。</w:t>
      </w:r>
    </w:p>
    <w:p>
      <w:pPr>
        <w:ind w:firstLine="480"/>
        <w:rPr>
          <w:rFonts w:cs="Times New Roman"/>
        </w:rPr>
      </w:pPr>
      <w:r>
        <w:rPr>
          <w:rFonts w:cs="Times New Roman"/>
        </w:rPr>
        <w:t>下马崖乡附近铁道线路以下代尔昆代郭勒河河道为下游河段，河长约77km，该河段亦无支流汇入，同处于径流损失区，河道常年无地表径流，河水以地下潜流形式向下游排泄。该段河道长度为75.73km，平均纵坡为1.04%，海拔高度介于440～860m之间，地势平坦，河道呈南向北流向，常年为干涸戈壁，河道两岸大部分区域仅分布有稀疏的荒漠类植物。</w:t>
      </w:r>
    </w:p>
    <w:p>
      <w:pPr>
        <w:ind w:firstLine="480"/>
        <w:rPr>
          <w:rFonts w:cs="Times New Roman"/>
        </w:rPr>
      </w:pPr>
      <w:r>
        <w:rPr>
          <w:rFonts w:cs="Times New Roman"/>
        </w:rPr>
        <w:t>A.地层岩性</w:t>
      </w:r>
    </w:p>
    <w:p>
      <w:pPr>
        <w:ind w:firstLine="480"/>
        <w:rPr>
          <w:rFonts w:cs="Times New Roman"/>
        </w:rPr>
      </w:pPr>
      <w:r>
        <w:rPr>
          <w:rFonts w:cs="Times New Roman"/>
        </w:rPr>
        <w:t>冲洪积平原地表以第四系地层为主，其间赋存有松散岩类孔隙潜水。第四系地层以卵砾石、砂砾石和含砾中粗砂组成，孔隙发育较好，透水性强，含水介质颗粒由山前向下游盆地逐渐变细。区内主要以松散岩类孔隙水、碎屑岩类裂隙孔隙水及上覆第四系潜水为主。第四系松散岩类孔隙潜水含水层岩性为卵砾石、砂砾石、含砾中砂、中细砂和粉细砂，碎屑岩类孔隙裂隙承压水含水层岩性为砂砾岩、砂岩、砾岩和粗砂岩等。</w:t>
      </w:r>
    </w:p>
    <w:p>
      <w:pPr>
        <w:ind w:firstLine="480"/>
        <w:rPr>
          <w:rFonts w:cs="Times New Roman"/>
        </w:rPr>
      </w:pPr>
      <w:r>
        <w:rPr>
          <w:rFonts w:cs="Times New Roman"/>
        </w:rPr>
        <w:t>区域第四系厚度由南部山前的150米向北逐渐减小至20米左右，相应的潜水埋深由南部近山区的近50米向北逐渐减小为5米左右。</w:t>
      </w:r>
    </w:p>
    <w:p>
      <w:pPr>
        <w:ind w:firstLine="480"/>
        <w:jc w:val="center"/>
        <w:rPr>
          <w:rFonts w:cs="Times New Roman"/>
        </w:rPr>
      </w:pPr>
      <w:r>
        <w:rPr>
          <w:rFonts w:cs="Times New Roman"/>
        </w:rPr>
        <w:drawing>
          <wp:inline distT="0" distB="0" distL="114300" distR="114300">
            <wp:extent cx="3442335" cy="2879725"/>
            <wp:effectExtent l="0" t="0" r="5715" b="0"/>
            <wp:docPr id="13" name="图片 3" descr="潜水水化学图(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潜水水化学图(CJ)"/>
                    <pic:cNvPicPr>
                      <a:picLocks noChangeAspect="1"/>
                    </pic:cNvPicPr>
                  </pic:nvPicPr>
                  <pic:blipFill>
                    <a:blip r:embed="rId43"/>
                    <a:srcRect r="6357"/>
                    <a:stretch>
                      <a:fillRect/>
                    </a:stretch>
                  </pic:blipFill>
                  <pic:spPr>
                    <a:xfrm>
                      <a:off x="0" y="0"/>
                      <a:ext cx="3442743" cy="2880000"/>
                    </a:xfrm>
                    <a:prstGeom prst="rect">
                      <a:avLst/>
                    </a:prstGeom>
                    <a:noFill/>
                    <a:ln>
                      <a:noFill/>
                    </a:ln>
                  </pic:spPr>
                </pic:pic>
              </a:graphicData>
            </a:graphic>
          </wp:inline>
        </w:drawing>
      </w:r>
    </w:p>
    <w:p>
      <w:pPr>
        <w:pStyle w:val="147"/>
      </w:pPr>
      <w:r>
        <w:t>图4.2-1     下马崖盆地地下水系统图</w:t>
      </w:r>
    </w:p>
    <w:p>
      <w:pPr>
        <w:ind w:firstLine="480"/>
      </w:pPr>
    </w:p>
    <w:p>
      <w:pPr>
        <w:ind w:firstLine="480"/>
        <w:jc w:val="center"/>
        <w:rPr>
          <w:rFonts w:cs="Times New Roman"/>
        </w:rPr>
      </w:pPr>
      <w:r>
        <w:rPr>
          <w:rFonts w:cs="Times New Roman"/>
        </w:rPr>
        <w:drawing>
          <wp:inline distT="0" distB="0" distL="114300" distR="114300">
            <wp:extent cx="4055745" cy="2879725"/>
            <wp:effectExtent l="0" t="0" r="1905" b="0"/>
            <wp:docPr id="17" name="图片 6" descr="水文地质剖面（21）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水文地质剖面（21）线"/>
                    <pic:cNvPicPr>
                      <a:picLocks noChangeAspect="1"/>
                    </pic:cNvPicPr>
                  </pic:nvPicPr>
                  <pic:blipFill>
                    <a:blip r:embed="rId44"/>
                    <a:srcRect l="1595" t="9866" r="1826" b="2768"/>
                    <a:stretch>
                      <a:fillRect/>
                    </a:stretch>
                  </pic:blipFill>
                  <pic:spPr>
                    <a:xfrm>
                      <a:off x="0" y="0"/>
                      <a:ext cx="4056092" cy="2880000"/>
                    </a:xfrm>
                    <a:prstGeom prst="rect">
                      <a:avLst/>
                    </a:prstGeom>
                    <a:noFill/>
                    <a:ln>
                      <a:noFill/>
                    </a:ln>
                  </pic:spPr>
                </pic:pic>
              </a:graphicData>
            </a:graphic>
          </wp:inline>
        </w:drawing>
      </w:r>
    </w:p>
    <w:p>
      <w:pPr>
        <w:pStyle w:val="147"/>
      </w:pPr>
      <w:r>
        <w:t>图4.2-2   上马崖盆地上马崖-下马崖水文地质剖面图</w:t>
      </w:r>
    </w:p>
    <w:p>
      <w:pPr>
        <w:ind w:firstLine="480"/>
      </w:pPr>
    </w:p>
    <w:p>
      <w:pPr>
        <w:ind w:firstLine="480"/>
        <w:rPr>
          <w:rFonts w:cs="Times New Roman"/>
        </w:rPr>
      </w:pPr>
      <w:r>
        <w:rPr>
          <w:rFonts w:cs="Times New Roman"/>
        </w:rPr>
        <w:t>B.地下水补径排关系</w:t>
      </w:r>
    </w:p>
    <w:p>
      <w:pPr>
        <w:ind w:firstLine="480"/>
        <w:rPr>
          <w:rFonts w:cs="Times New Roman"/>
        </w:rPr>
      </w:pPr>
      <w:r>
        <w:rPr>
          <w:rFonts w:cs="Times New Roman"/>
        </w:rPr>
        <w:t>整体上，周边山区为地下水的补给区，主要补给来源为山区的大气降水和冰雪消融水，而平原区地下水的补给来源主要是河水入渗和河床潜流。洪积平原与山区接触部位为断层或不完整接触，山区基岩裂隙水对第四系或第三系含水层有侧向补给。洪积平原中上部地下水径流以水平运动为主，下部以水平和垂直运动为主，地下水径流方向大致由盆地周边向盆地中心汇聚。地下水排泄方式为潜水蒸发、地下水开采及泉水溢出为主的排泄方式，分别占总排泄量的63.1%、15.5%和19.8%，以潜水蒸发为主。</w:t>
      </w:r>
    </w:p>
    <w:p>
      <w:pPr>
        <w:ind w:firstLine="480"/>
        <w:rPr>
          <w:rFonts w:cs="Times New Roman"/>
        </w:rPr>
      </w:pPr>
      <w:r>
        <w:rPr>
          <w:rFonts w:cs="Times New Roman"/>
        </w:rPr>
        <w:t>a.补给</w:t>
      </w:r>
    </w:p>
    <w:p>
      <w:pPr>
        <w:ind w:firstLine="480"/>
        <w:rPr>
          <w:rFonts w:cs="Times New Roman"/>
        </w:rPr>
      </w:pPr>
      <w:r>
        <w:rPr>
          <w:rFonts w:cs="Times New Roman"/>
        </w:rPr>
        <w:t>区域南侧为哈尔里克山，海拔较高，其大气降水及冰川、积雪消融水成为该地下水系统的主要补给来源，因此，哈尔里克山区是平原区地下水系统的主要补给区。</w:t>
      </w:r>
    </w:p>
    <w:p>
      <w:pPr>
        <w:ind w:firstLine="480"/>
        <w:rPr>
          <w:rFonts w:cs="Times New Roman"/>
        </w:rPr>
      </w:pPr>
      <w:r>
        <w:rPr>
          <w:rFonts w:cs="Times New Roman"/>
        </w:rPr>
        <w:t>在哈尔里克山山区及山前洪积平原，由于海拔较高，年降水量多在50-200毫米，且多集中在6～8月，降雨形成的暴雨洪流对哈尔里克山山前洪积平原具有较大的补给意义。</w:t>
      </w:r>
    </w:p>
    <w:p>
      <w:pPr>
        <w:ind w:firstLine="480"/>
        <w:rPr>
          <w:rFonts w:cs="Times New Roman"/>
        </w:rPr>
      </w:pPr>
      <w:r>
        <w:rPr>
          <w:rFonts w:cs="Times New Roman"/>
        </w:rPr>
        <w:t>在哈尔里克山山前的砾质平原地区，多年平均降水量多在50-200毫米，降水会对砾质平原产生补给。</w:t>
      </w:r>
    </w:p>
    <w:p>
      <w:pPr>
        <w:ind w:firstLine="480"/>
        <w:rPr>
          <w:rFonts w:cs="Times New Roman"/>
        </w:rPr>
      </w:pPr>
      <w:r>
        <w:rPr>
          <w:rFonts w:cs="Times New Roman"/>
        </w:rPr>
        <w:t>在平原与山区的接触部位，山区基岩裂隙水通过断层或不整合接触对第四纪或新近纪含水层进行侧向补给，特别对新近纪碎屑岩类孔隙裂隙水的补给具有一定意义。</w:t>
      </w:r>
    </w:p>
    <w:p>
      <w:pPr>
        <w:ind w:firstLine="480"/>
        <w:rPr>
          <w:rFonts w:cs="Times New Roman"/>
        </w:rPr>
      </w:pPr>
      <w:r>
        <w:rPr>
          <w:rFonts w:cs="Times New Roman"/>
        </w:rPr>
        <w:t>山前泉水溢出后再次渗入补给洪积平原，但补给量较小。</w:t>
      </w:r>
    </w:p>
    <w:p>
      <w:pPr>
        <w:ind w:firstLine="480"/>
        <w:rPr>
          <w:rFonts w:cs="Times New Roman"/>
        </w:rPr>
      </w:pPr>
      <w:r>
        <w:rPr>
          <w:rFonts w:cs="Times New Roman"/>
        </w:rPr>
        <w:t>盆地中心的洪积平原区，因地势较低，区外地下水顺坡度汇流至洪积平原下部的洼地，但补给量不大。</w:t>
      </w:r>
    </w:p>
    <w:p>
      <w:pPr>
        <w:ind w:firstLine="480"/>
        <w:rPr>
          <w:rFonts w:cs="Times New Roman"/>
        </w:rPr>
      </w:pPr>
      <w:r>
        <w:rPr>
          <w:rFonts w:cs="Times New Roman"/>
        </w:rPr>
        <w:t>下马崖乡附近农田灌溉入渗、渠系入渗、水库入渗对洪积平原的补给也有一定作用。</w:t>
      </w:r>
    </w:p>
    <w:p>
      <w:pPr>
        <w:ind w:firstLine="480"/>
        <w:rPr>
          <w:rFonts w:cs="Times New Roman"/>
        </w:rPr>
      </w:pPr>
      <w:r>
        <w:rPr>
          <w:rFonts w:cs="Times New Roman"/>
        </w:rPr>
        <w:t>从上述分析可以看出，山前平原区地下水系统主要补给源有山区及山前暴雨洪流入渗、山区及上游侧向径流补给、降水入渗补给。</w:t>
      </w:r>
    </w:p>
    <w:p>
      <w:pPr>
        <w:ind w:firstLine="480"/>
        <w:rPr>
          <w:rFonts w:cs="Times New Roman"/>
        </w:rPr>
      </w:pPr>
      <w:r>
        <w:rPr>
          <w:rFonts w:cs="Times New Roman"/>
        </w:rPr>
        <w:t>b.径流</w:t>
      </w:r>
    </w:p>
    <w:p>
      <w:pPr>
        <w:ind w:firstLine="480"/>
        <w:rPr>
          <w:rFonts w:cs="Times New Roman"/>
        </w:rPr>
      </w:pPr>
      <w:r>
        <w:rPr>
          <w:rFonts w:cs="Times New Roman"/>
        </w:rPr>
        <w:t>哈尔里克山北坡的洪积平原接受山区及山前暴雨洪流入渗、侧向径流等补给后，通过洪积平原向下游径流。洪积平原中上部为卵砾石层和砂砾石层，为地下水的强径流区，水力坡度27.38‰，地下水以水平运动为主，至洪积平原中下部，地层颗粒变细，径流变缓，水力坡度降至12.20‰，地下水以垂直蒸发运动为主。</w:t>
      </w:r>
    </w:p>
    <w:p>
      <w:pPr>
        <w:ind w:firstLine="480"/>
        <w:rPr>
          <w:rFonts w:cs="Times New Roman"/>
        </w:rPr>
      </w:pPr>
      <w:r>
        <w:rPr>
          <w:rFonts w:cs="Times New Roman"/>
        </w:rPr>
        <w:t>下马崖乡附近地下水以新近系碎屑岩类孔隙裂水，其补给源主要为南部山区的侧向径流补给，补给来源和径流方向与孔隙潜水一致；其排泄方式主要有：受北部新近纪地层隆起阻挡的影响，以泉水溢出方式排泄。也由此，在下马崖乡一带由于地层颗粒变细，导致地下水水平径流受阻后，出露形成泉水。</w:t>
      </w:r>
    </w:p>
    <w:p>
      <w:pPr>
        <w:ind w:firstLine="480"/>
        <w:rPr>
          <w:rFonts w:cs="Times New Roman"/>
        </w:rPr>
      </w:pPr>
      <w:r>
        <w:rPr>
          <w:rFonts w:cs="Times New Roman"/>
        </w:rPr>
        <w:t>地下水径流方向与地形坡度基本一致，多由南向北径流。</w:t>
      </w:r>
    </w:p>
    <w:p>
      <w:pPr>
        <w:ind w:firstLine="480"/>
        <w:rPr>
          <w:rFonts w:cs="Times New Roman"/>
        </w:rPr>
      </w:pPr>
      <w:r>
        <w:rPr>
          <w:rFonts w:cs="Times New Roman"/>
        </w:rPr>
        <w:t>c.排泄</w:t>
      </w:r>
    </w:p>
    <w:p>
      <w:pPr>
        <w:ind w:firstLine="480"/>
        <w:rPr>
          <w:rFonts w:cs="Times New Roman"/>
        </w:rPr>
      </w:pPr>
      <w:r>
        <w:rPr>
          <w:rFonts w:cs="Times New Roman"/>
        </w:rPr>
        <w:t>在下马崖乡一带，地下水以泉水溢出方式排泄；哈尔里克山北侧洪积平原的地下水主要向下游侧向径流，最终汇集到盆地中心，以蒸发蒸腾的形式排泄。此外在下马崖乡附近还以人工开采、坎儿井溢出的方式进行排泄。</w:t>
      </w:r>
    </w:p>
    <w:p>
      <w:pPr>
        <w:ind w:firstLine="480"/>
        <w:rPr>
          <w:rFonts w:cs="Times New Roman"/>
        </w:rPr>
      </w:pPr>
      <w:r>
        <w:rPr>
          <w:rFonts w:cs="Times New Roman"/>
        </w:rPr>
        <w:t>碎屑岩类孔隙裂隙承压水由于隔水层的不连续和不完整性，承压水也可通过顶托补给潜水最终以蒸发的方式排泄。</w:t>
      </w:r>
    </w:p>
    <w:p>
      <w:pPr>
        <w:ind w:firstLine="0" w:firstLineChars="0"/>
        <w:jc w:val="center"/>
        <w:rPr>
          <w:rFonts w:cs="Times New Roman"/>
        </w:rPr>
      </w:pPr>
      <w:r>
        <w:rPr>
          <w:rFonts w:cs="Times New Roman"/>
        </w:rPr>
        <w:drawing>
          <wp:inline distT="0" distB="0" distL="114300" distR="114300">
            <wp:extent cx="4304030" cy="2879725"/>
            <wp:effectExtent l="0" t="0" r="1270" b="0"/>
            <wp:docPr id="21" name="图片 9" descr="下马崖水循环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下马崖水循环示意图"/>
                    <pic:cNvPicPr>
                      <a:picLocks noChangeAspect="1"/>
                    </pic:cNvPicPr>
                  </pic:nvPicPr>
                  <pic:blipFill>
                    <a:blip r:embed="rId45"/>
                    <a:srcRect b="1955"/>
                    <a:stretch>
                      <a:fillRect/>
                    </a:stretch>
                  </pic:blipFill>
                  <pic:spPr>
                    <a:xfrm>
                      <a:off x="0" y="0"/>
                      <a:ext cx="4304325" cy="2880000"/>
                    </a:xfrm>
                    <a:prstGeom prst="rect">
                      <a:avLst/>
                    </a:prstGeom>
                    <a:noFill/>
                    <a:ln>
                      <a:noFill/>
                    </a:ln>
                  </pic:spPr>
                </pic:pic>
              </a:graphicData>
            </a:graphic>
          </wp:inline>
        </w:drawing>
      </w:r>
    </w:p>
    <w:p>
      <w:pPr>
        <w:pStyle w:val="147"/>
      </w:pPr>
      <w:r>
        <w:t>图4.2-3  下马崖三级系统地下水循环剖面示意图</w:t>
      </w:r>
    </w:p>
    <w:p>
      <w:pPr>
        <w:ind w:firstLine="480"/>
        <w:rPr>
          <w:rFonts w:cs="Times New Roman"/>
        </w:rPr>
      </w:pPr>
    </w:p>
    <w:p>
      <w:pPr>
        <w:ind w:firstLine="480"/>
        <w:rPr>
          <w:rFonts w:cs="Times New Roman"/>
        </w:rPr>
      </w:pPr>
      <w:r>
        <w:rPr>
          <w:rFonts w:cs="Times New Roman"/>
        </w:rPr>
        <w:t>C.下马崖盆地地下水系统地下水水位动态变化</w:t>
      </w:r>
    </w:p>
    <w:p>
      <w:pPr>
        <w:ind w:firstLine="480"/>
        <w:rPr>
          <w:rFonts w:cs="Times New Roman"/>
        </w:rPr>
      </w:pPr>
      <w:r>
        <w:rPr>
          <w:rFonts w:cs="Times New Roman"/>
        </w:rPr>
        <w:t>在哈尔里克山</w:t>
      </w:r>
      <w:r>
        <w:rPr>
          <w:rFonts w:cs="Times New Roman"/>
          <w:bCs/>
        </w:rPr>
        <w:t>山前洪积平原，</w:t>
      </w:r>
      <w:r>
        <w:rPr>
          <w:rFonts w:cs="Times New Roman"/>
        </w:rPr>
        <w:t>赋存有第四系松散岩类孔隙潜水，</w:t>
      </w:r>
      <w:r>
        <w:rPr>
          <w:rFonts w:cs="Times New Roman"/>
          <w:bCs/>
        </w:rPr>
        <w:t>系统内潜水地下水动态类型主要为径流型，水位动态影响因素主要为上游侧向径流补给，</w:t>
      </w:r>
      <w:r>
        <w:rPr>
          <w:rFonts w:cs="Times New Roman"/>
        </w:rPr>
        <w:t>每年4～5月积雪融化区和6～8月雨季形成高水位期，1～2月地下水水位持续下降，形成低水位期，水位动态变化曲线呈平稳型，年内水位变化幅度0.59-4.38米。</w:t>
      </w:r>
    </w:p>
    <w:p>
      <w:pPr>
        <w:ind w:firstLine="480"/>
        <w:jc w:val="center"/>
        <w:rPr>
          <w:rFonts w:cs="Times New Roman"/>
          <w:b/>
        </w:rPr>
      </w:pPr>
      <w:r>
        <w:rPr>
          <w:rFonts w:cs="Times New Roman"/>
        </w:rPr>
        <w:drawing>
          <wp:inline distT="0" distB="0" distL="114300" distR="114300">
            <wp:extent cx="5443220" cy="193802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6"/>
                    <a:stretch>
                      <a:fillRect/>
                    </a:stretch>
                  </pic:blipFill>
                  <pic:spPr>
                    <a:xfrm>
                      <a:off x="0" y="0"/>
                      <a:ext cx="5443220" cy="1938020"/>
                    </a:xfrm>
                    <a:prstGeom prst="rect">
                      <a:avLst/>
                    </a:prstGeom>
                    <a:noFill/>
                    <a:ln>
                      <a:noFill/>
                    </a:ln>
                  </pic:spPr>
                </pic:pic>
              </a:graphicData>
            </a:graphic>
          </wp:inline>
        </w:drawing>
      </w:r>
    </w:p>
    <w:p>
      <w:pPr>
        <w:pStyle w:val="147"/>
      </w:pPr>
      <w:r>
        <w:t>图4.2-4 下马崖乡地下水水位年内动态变化曲线（径流型）</w:t>
      </w:r>
    </w:p>
    <w:p>
      <w:pPr>
        <w:pStyle w:val="147"/>
      </w:pPr>
    </w:p>
    <w:p>
      <w:pPr>
        <w:ind w:firstLine="480"/>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hint="eastAsia" w:ascii="宋体" w:hAnsi="宋体" w:cs="宋体"/>
        </w:rPr>
        <w:t>③</w:t>
      </w:r>
      <w:r>
        <w:rPr>
          <w:rFonts w:cs="Times New Roman"/>
        </w:rPr>
        <w:fldChar w:fldCharType="end"/>
      </w:r>
      <w:r>
        <w:rPr>
          <w:rFonts w:cs="Times New Roman"/>
        </w:rPr>
        <w:t>代尔昆代郭勒河与下马崖平原地下水系统关系</w:t>
      </w:r>
    </w:p>
    <w:p>
      <w:pPr>
        <w:ind w:firstLine="480"/>
        <w:rPr>
          <w:rFonts w:cs="Times New Roman"/>
        </w:rPr>
      </w:pPr>
      <w:r>
        <w:rPr>
          <w:rFonts w:cs="Times New Roman"/>
        </w:rPr>
        <w:t>A.下马崖平原区地下水补给项</w:t>
      </w:r>
    </w:p>
    <w:p>
      <w:pPr>
        <w:ind w:firstLine="480"/>
        <w:rPr>
          <w:rFonts w:cs="Times New Roman"/>
        </w:rPr>
      </w:pPr>
      <w:r>
        <w:rPr>
          <w:rFonts w:cs="Times New Roman"/>
        </w:rPr>
        <w:t>据伊吾县地下水资源调查成果，下马崖平原区地下潜水主要源自上游哈尔里克山汇流，其地下水补给项包括山区及山前暴雨洪流入渗补给量、降水入渗补给量、渠系渗漏补给量、田间入渗补给量、水库渗漏补给量、下马崖东部国界侧向补给量、山前基岩裂隙水侧向补给量和山前泉水入渗补给量，区域地下水补给总量合计1362万m</w:t>
      </w:r>
      <w:r>
        <w:rPr>
          <w:rFonts w:cs="Times New Roman"/>
          <w:vertAlign w:val="superscript"/>
        </w:rPr>
        <w:t>3</w:t>
      </w:r>
      <w:r>
        <w:rPr>
          <w:rFonts w:cs="Times New Roman"/>
        </w:rPr>
        <w:t>，详见表4.2-5。</w:t>
      </w:r>
    </w:p>
    <w:p>
      <w:pPr>
        <w:pStyle w:val="137"/>
        <w:spacing w:before="62"/>
        <w:ind w:firstLine="480" w:firstLineChars="200"/>
      </w:pPr>
      <w:r>
        <w:t>表4.2-5       下马崖平原区地下水补给量计算结果表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815" w:type="dxa"/>
            <w:vAlign w:val="center"/>
          </w:tcPr>
          <w:p>
            <w:pPr>
              <w:spacing w:line="280" w:lineRule="exact"/>
              <w:ind w:firstLine="420"/>
              <w:jc w:val="center"/>
              <w:rPr>
                <w:rFonts w:cs="Times New Roman"/>
                <w:sz w:val="21"/>
                <w:szCs w:val="21"/>
              </w:rPr>
            </w:pPr>
            <w:r>
              <w:rPr>
                <w:rFonts w:cs="Times New Roman"/>
                <w:sz w:val="21"/>
                <w:szCs w:val="21"/>
              </w:rPr>
              <w:t>补给项</w:t>
            </w:r>
          </w:p>
        </w:tc>
        <w:tc>
          <w:tcPr>
            <w:tcW w:w="3969" w:type="dxa"/>
            <w:vAlign w:val="center"/>
          </w:tcPr>
          <w:p>
            <w:pPr>
              <w:spacing w:line="280" w:lineRule="exact"/>
              <w:ind w:firstLine="420"/>
              <w:jc w:val="center"/>
              <w:rPr>
                <w:rFonts w:cs="Times New Roman"/>
                <w:sz w:val="21"/>
                <w:szCs w:val="21"/>
              </w:rPr>
            </w:pPr>
            <w:r>
              <w:rPr>
                <w:rFonts w:cs="Times New Roman"/>
                <w:sz w:val="21"/>
                <w:szCs w:val="21"/>
              </w:rPr>
              <w:t>补给量（万m</w:t>
            </w:r>
            <w:r>
              <w:rPr>
                <w:rFonts w:cs="Times New Roman"/>
                <w:sz w:val="21"/>
                <w:szCs w:val="21"/>
                <w:vertAlign w:val="superscript"/>
              </w:rPr>
              <w:t>3</w:t>
            </w:r>
            <w:r>
              <w:rPr>
                <w:rFonts w:cs="Times New Roman"/>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20"/>
              <w:jc w:val="center"/>
              <w:rPr>
                <w:rFonts w:cs="Times New Roman"/>
                <w:sz w:val="21"/>
                <w:szCs w:val="21"/>
              </w:rPr>
            </w:pPr>
            <w:r>
              <w:rPr>
                <w:rFonts w:cs="Times New Roman"/>
                <w:sz w:val="21"/>
                <w:szCs w:val="21"/>
              </w:rPr>
              <w:t>山区及山前暴雨洪流入渗补给量（哈尔里克山海拔1700-2100m以上汇水区）</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80"/>
              <w:jc w:val="center"/>
              <w:rPr>
                <w:rFonts w:cs="Times New Roman"/>
                <w:sz w:val="21"/>
                <w:szCs w:val="21"/>
              </w:rPr>
            </w:pPr>
            <w:r>
              <w:rPr>
                <w:rFonts w:cs="Times New Roman"/>
              </w:rPr>
              <w:t>下马崖盆地</w:t>
            </w:r>
            <w:r>
              <w:rPr>
                <w:rFonts w:cs="Times New Roman"/>
                <w:sz w:val="21"/>
                <w:szCs w:val="21"/>
              </w:rPr>
              <w:t>平原区降水入渗补给量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20"/>
              <w:jc w:val="center"/>
              <w:rPr>
                <w:rFonts w:cs="Times New Roman"/>
                <w:sz w:val="21"/>
                <w:szCs w:val="21"/>
              </w:rPr>
            </w:pPr>
            <w:r>
              <w:rPr>
                <w:rFonts w:cs="Times New Roman"/>
                <w:sz w:val="21"/>
                <w:szCs w:val="21"/>
              </w:rPr>
              <w:t>渠系渗漏补给量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20"/>
              <w:jc w:val="center"/>
              <w:rPr>
                <w:rFonts w:cs="Times New Roman"/>
                <w:sz w:val="21"/>
                <w:szCs w:val="21"/>
              </w:rPr>
            </w:pPr>
            <w:r>
              <w:rPr>
                <w:rFonts w:cs="Times New Roman"/>
                <w:sz w:val="21"/>
                <w:szCs w:val="21"/>
              </w:rPr>
              <w:t>田间入渗补给量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20"/>
              <w:jc w:val="center"/>
              <w:rPr>
                <w:rFonts w:cs="Times New Roman"/>
                <w:kern w:val="0"/>
                <w:sz w:val="21"/>
                <w:szCs w:val="21"/>
              </w:rPr>
            </w:pPr>
            <w:r>
              <w:rPr>
                <w:rFonts w:cs="Times New Roman"/>
                <w:kern w:val="0"/>
                <w:sz w:val="21"/>
                <w:szCs w:val="21"/>
              </w:rPr>
              <w:t>山前基岩裂隙水侧向补给量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20"/>
              <w:jc w:val="center"/>
              <w:rPr>
                <w:rFonts w:cs="Times New Roman"/>
                <w:sz w:val="21"/>
                <w:szCs w:val="21"/>
              </w:rPr>
            </w:pPr>
            <w:r>
              <w:rPr>
                <w:rFonts w:cs="Times New Roman"/>
                <w:kern w:val="0"/>
                <w:sz w:val="21"/>
                <w:szCs w:val="21"/>
              </w:rPr>
              <w:t>达兰图勒侧向补给量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20"/>
              <w:jc w:val="center"/>
              <w:rPr>
                <w:rFonts w:cs="Times New Roman"/>
                <w:sz w:val="21"/>
                <w:szCs w:val="21"/>
              </w:rPr>
            </w:pPr>
            <w:r>
              <w:rPr>
                <w:rFonts w:cs="Times New Roman"/>
                <w:sz w:val="21"/>
                <w:szCs w:val="21"/>
              </w:rPr>
              <w:t>水库渗漏补给量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20"/>
              <w:jc w:val="center"/>
              <w:rPr>
                <w:rFonts w:cs="Times New Roman"/>
                <w:sz w:val="21"/>
                <w:szCs w:val="21"/>
              </w:rPr>
            </w:pPr>
            <w:r>
              <w:rPr>
                <w:rFonts w:cs="Times New Roman"/>
                <w:kern w:val="0"/>
                <w:sz w:val="21"/>
                <w:szCs w:val="21"/>
              </w:rPr>
              <w:t>山前泉水入渗补给量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20"/>
              <w:jc w:val="center"/>
              <w:rPr>
                <w:rFonts w:cs="Times New Roman"/>
                <w:sz w:val="21"/>
                <w:szCs w:val="21"/>
              </w:rPr>
            </w:pPr>
            <w:r>
              <w:rPr>
                <w:rFonts w:cs="Times New Roman"/>
                <w:sz w:val="21"/>
                <w:szCs w:val="21"/>
              </w:rPr>
              <w:t>合计</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1362</w:t>
            </w:r>
          </w:p>
        </w:tc>
      </w:tr>
    </w:tbl>
    <w:p>
      <w:pPr>
        <w:ind w:firstLine="480"/>
        <w:rPr>
          <w:rFonts w:cs="Times New Roman"/>
        </w:rPr>
      </w:pPr>
    </w:p>
    <w:p>
      <w:pPr>
        <w:ind w:firstLine="480"/>
        <w:rPr>
          <w:rFonts w:cs="Times New Roman"/>
        </w:rPr>
      </w:pPr>
      <w:r>
        <w:rPr>
          <w:rFonts w:cs="Times New Roman"/>
        </w:rPr>
        <w:t>哈尔里克山汇水总面积1660 km</w:t>
      </w:r>
      <w:r>
        <w:rPr>
          <w:rFonts w:cs="Times New Roman"/>
          <w:vertAlign w:val="superscript"/>
        </w:rPr>
        <w:t>2</w:t>
      </w:r>
      <w:r>
        <w:rPr>
          <w:rFonts w:cs="Times New Roman"/>
        </w:rPr>
        <w:t>，代尔昆代郭勒河发源于哈尔里克山，流域山区汇水面积约86.9km</w:t>
      </w:r>
      <w:r>
        <w:rPr>
          <w:rFonts w:cs="Times New Roman"/>
          <w:vertAlign w:val="superscript"/>
        </w:rPr>
        <w:t>2</w:t>
      </w:r>
      <w:r>
        <w:rPr>
          <w:rFonts w:cs="Times New Roman"/>
        </w:rPr>
        <w:t>，占哈尔里克山汇水总面积1660 km</w:t>
      </w:r>
      <w:r>
        <w:rPr>
          <w:rFonts w:cs="Times New Roman"/>
          <w:vertAlign w:val="superscript"/>
        </w:rPr>
        <w:t>2</w:t>
      </w:r>
      <w:r>
        <w:rPr>
          <w:rFonts w:cs="Times New Roman"/>
        </w:rPr>
        <w:t>的5%，因此代尔昆代郭勒河流域山区及山前暴雨入渗补给水量占下马崖平原地下水补给量的比例有限。</w:t>
      </w:r>
    </w:p>
    <w:p>
      <w:pPr>
        <w:ind w:firstLine="480"/>
        <w:rPr>
          <w:rFonts w:cs="Times New Roman"/>
        </w:rPr>
      </w:pPr>
      <w:r>
        <w:rPr>
          <w:rFonts w:cs="Times New Roman"/>
        </w:rPr>
        <w:t>B.下马崖平原区地下水排泄</w:t>
      </w:r>
    </w:p>
    <w:p>
      <w:pPr>
        <w:ind w:firstLine="480"/>
        <w:rPr>
          <w:rFonts w:cs="Times New Roman"/>
        </w:rPr>
      </w:pPr>
      <w:r>
        <w:rPr>
          <w:rFonts w:cs="Times New Roman"/>
        </w:rPr>
        <w:t>现状下马崖平原区地下水主要排泄项为泉水溢出量、人工开采量、坎儿井溢出量和潜水蒸发蒸腾量及侧向流出量，该区地下水排泄量合计1366万m</w:t>
      </w:r>
      <w:r>
        <w:rPr>
          <w:rFonts w:cs="Times New Roman"/>
          <w:vertAlign w:val="superscript"/>
        </w:rPr>
        <w:t>3</w:t>
      </w:r>
      <w:r>
        <w:rPr>
          <w:rFonts w:cs="Times New Roman"/>
        </w:rPr>
        <w:t>，详见表4.2-6。</w:t>
      </w:r>
    </w:p>
    <w:p>
      <w:pPr>
        <w:pStyle w:val="137"/>
        <w:spacing w:before="62"/>
        <w:ind w:firstLine="480" w:firstLineChars="200"/>
      </w:pPr>
      <w:r>
        <w:t>表4.2-6       下马崖平原区地下水排泄量计算结果表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815" w:type="dxa"/>
            <w:vAlign w:val="center"/>
          </w:tcPr>
          <w:p>
            <w:pPr>
              <w:spacing w:line="280" w:lineRule="exact"/>
              <w:ind w:firstLine="420"/>
              <w:jc w:val="center"/>
              <w:rPr>
                <w:rFonts w:cs="Times New Roman"/>
                <w:sz w:val="21"/>
                <w:szCs w:val="21"/>
              </w:rPr>
            </w:pPr>
            <w:r>
              <w:rPr>
                <w:rFonts w:cs="Times New Roman"/>
                <w:sz w:val="21"/>
                <w:szCs w:val="21"/>
              </w:rPr>
              <w:t>补给项</w:t>
            </w:r>
          </w:p>
        </w:tc>
        <w:tc>
          <w:tcPr>
            <w:tcW w:w="3969" w:type="dxa"/>
            <w:vAlign w:val="center"/>
          </w:tcPr>
          <w:p>
            <w:pPr>
              <w:spacing w:line="280" w:lineRule="exact"/>
              <w:ind w:firstLine="420"/>
              <w:jc w:val="center"/>
              <w:rPr>
                <w:rFonts w:cs="Times New Roman"/>
                <w:sz w:val="21"/>
                <w:szCs w:val="21"/>
              </w:rPr>
            </w:pPr>
            <w:r>
              <w:rPr>
                <w:rFonts w:cs="Times New Roman"/>
                <w:sz w:val="21"/>
                <w:szCs w:val="21"/>
              </w:rPr>
              <w:t>补给量（万m</w:t>
            </w:r>
            <w:r>
              <w:rPr>
                <w:rFonts w:cs="Times New Roman"/>
                <w:sz w:val="21"/>
                <w:szCs w:val="21"/>
                <w:vertAlign w:val="superscript"/>
              </w:rPr>
              <w:t>3</w:t>
            </w:r>
            <w:r>
              <w:rPr>
                <w:rFonts w:cs="Times New Roman"/>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人工开采量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泉水溢出量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潜水蒸发蒸腾量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坎儿井溢出量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侧向流出量</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5" w:type="dxa"/>
            <w:vAlign w:val="center"/>
          </w:tcPr>
          <w:p>
            <w:pPr>
              <w:spacing w:line="280" w:lineRule="exact"/>
              <w:ind w:firstLine="420"/>
              <w:jc w:val="center"/>
              <w:rPr>
                <w:rFonts w:cs="Times New Roman"/>
                <w:sz w:val="21"/>
                <w:szCs w:val="21"/>
              </w:rPr>
            </w:pPr>
            <w:r>
              <w:rPr>
                <w:rFonts w:cs="Times New Roman"/>
                <w:sz w:val="21"/>
                <w:szCs w:val="21"/>
              </w:rPr>
              <w:t>合计</w:t>
            </w:r>
          </w:p>
        </w:tc>
        <w:tc>
          <w:tcPr>
            <w:tcW w:w="3969" w:type="dxa"/>
            <w:vAlign w:val="center"/>
          </w:tcPr>
          <w:p>
            <w:pPr>
              <w:widowControl/>
              <w:spacing w:line="280" w:lineRule="exact"/>
              <w:ind w:firstLine="420"/>
              <w:jc w:val="center"/>
              <w:rPr>
                <w:rFonts w:cs="Times New Roman"/>
                <w:kern w:val="0"/>
                <w:sz w:val="21"/>
                <w:szCs w:val="21"/>
              </w:rPr>
            </w:pPr>
            <w:r>
              <w:rPr>
                <w:rFonts w:cs="Times New Roman"/>
                <w:kern w:val="0"/>
                <w:sz w:val="21"/>
                <w:szCs w:val="21"/>
              </w:rPr>
              <w:t>1366</w:t>
            </w:r>
          </w:p>
        </w:tc>
      </w:tr>
    </w:tbl>
    <w:p>
      <w:pPr>
        <w:ind w:firstLine="480"/>
        <w:rPr>
          <w:rFonts w:cs="Times New Roman"/>
        </w:rPr>
      </w:pPr>
    </w:p>
    <w:p>
      <w:pPr>
        <w:ind w:firstLine="480"/>
        <w:rPr>
          <w:rFonts w:cs="Times New Roman"/>
        </w:rPr>
      </w:pPr>
      <w:r>
        <w:rPr>
          <w:rFonts w:cs="Times New Roman"/>
        </w:rPr>
        <w:t>根据上述各项计算结果，下马崖平原区地下水补给资源量为1362万m</w:t>
      </w:r>
      <w:r>
        <w:rPr>
          <w:rFonts w:cs="Times New Roman"/>
          <w:vertAlign w:val="superscript"/>
        </w:rPr>
        <w:t>3</w:t>
      </w:r>
      <w:r>
        <w:rPr>
          <w:rFonts w:cs="Times New Roman"/>
        </w:rPr>
        <w:t>/年（其中天然补给量1251万立方米/年），地下水排泄量为1366万立方米/年，地下水均衡为负均衡-4万m</w:t>
      </w:r>
      <w:r>
        <w:rPr>
          <w:rFonts w:cs="Times New Roman"/>
          <w:vertAlign w:val="superscript"/>
        </w:rPr>
        <w:t>3</w:t>
      </w:r>
      <w:r>
        <w:rPr>
          <w:rFonts w:cs="Times New Roman"/>
        </w:rPr>
        <w:t>/年，这与区内地下水开采量逐年增加的情况基本相符。</w:t>
      </w:r>
    </w:p>
    <w:p>
      <w:pPr>
        <w:ind w:firstLine="480"/>
        <w:rPr>
          <w:rFonts w:cs="Times New Roman"/>
        </w:rPr>
      </w:pPr>
      <w:r>
        <w:rPr>
          <w:rFonts w:cs="Times New Roman"/>
        </w:rPr>
        <w:t>C.下马崖平原区地下水开采潜力</w:t>
      </w:r>
    </w:p>
    <w:p>
      <w:pPr>
        <w:ind w:firstLine="480"/>
        <w:rPr>
          <w:rFonts w:cs="Times New Roman"/>
        </w:rPr>
      </w:pPr>
      <w:r>
        <w:rPr>
          <w:rFonts w:cs="Times New Roman"/>
        </w:rPr>
        <w:t>据伊吾县地下水资源调查成果，下马崖平原区地下水可开采资源量为 874万m</w:t>
      </w:r>
      <w:r>
        <w:rPr>
          <w:rFonts w:cs="Times New Roman"/>
          <w:vertAlign w:val="superscript"/>
        </w:rPr>
        <w:t>3</w:t>
      </w:r>
      <w:r>
        <w:rPr>
          <w:rFonts w:cs="Times New Roman"/>
        </w:rPr>
        <w:t>/年。可开采资源量的组成主要是侧向补给量和无效蒸发量。现状该区地下水开采量8.53万m</w:t>
      </w:r>
      <w:r>
        <w:rPr>
          <w:rFonts w:cs="Times New Roman"/>
          <w:vertAlign w:val="superscript"/>
        </w:rPr>
        <w:t>3</w:t>
      </w:r>
      <w:r>
        <w:rPr>
          <w:rFonts w:cs="Times New Roman"/>
        </w:rPr>
        <w:t>/年，开采潜力865万m</w:t>
      </w:r>
      <w:r>
        <w:rPr>
          <w:rFonts w:cs="Times New Roman"/>
          <w:vertAlign w:val="superscript"/>
        </w:rPr>
        <w:t>3</w:t>
      </w:r>
      <w:r>
        <w:rPr>
          <w:rFonts w:cs="Times New Roman"/>
        </w:rPr>
        <w:t>/年。</w:t>
      </w:r>
    </w:p>
    <w:p>
      <w:pPr>
        <w:ind w:firstLine="480"/>
        <w:rPr>
          <w:rFonts w:cs="Times New Roman"/>
        </w:rPr>
      </w:pPr>
      <w:r>
        <w:rPr>
          <w:rFonts w:cs="Times New Roman"/>
        </w:rPr>
        <w:t>下马崖平原区地下水补给主要为南部哈尔里克山区暴雨洪流补给，可开采资源量保证程度较高，地下水开采程度低，且储存量可以</w:t>
      </w:r>
      <w:r>
        <w:rPr>
          <w:rFonts w:hint="eastAsia" w:cs="Times New Roman"/>
          <w:lang w:eastAsia="zh-CN"/>
        </w:rPr>
        <w:t>作为</w:t>
      </w:r>
      <w:r>
        <w:rPr>
          <w:rFonts w:cs="Times New Roman"/>
        </w:rPr>
        <w:t>调节量，具有一定的开采潜力。</w:t>
      </w:r>
    </w:p>
    <w:p>
      <w:pPr>
        <w:ind w:firstLine="480"/>
        <w:rPr>
          <w:rFonts w:cs="Times New Roman"/>
        </w:rPr>
      </w:pPr>
      <w:r>
        <w:rPr>
          <w:rFonts w:cs="Times New Roman"/>
        </w:rPr>
        <w:t>（2）工程区水文地质条件</w:t>
      </w:r>
    </w:p>
    <w:p>
      <w:pPr>
        <w:ind w:firstLine="480"/>
        <w:rPr>
          <w:rFonts w:cs="Times New Roman"/>
        </w:rPr>
      </w:pPr>
      <w:r>
        <w:rPr>
          <w:rFonts w:hint="eastAsia" w:ascii="宋体" w:hAnsi="宋体" w:cs="宋体"/>
        </w:rPr>
        <w:t>①</w:t>
      </w:r>
      <w:r>
        <w:rPr>
          <w:rFonts w:cs="Times New Roman"/>
        </w:rPr>
        <w:t>库区</w:t>
      </w:r>
    </w:p>
    <w:p>
      <w:pPr>
        <w:ind w:firstLine="480"/>
        <w:rPr>
          <w:rFonts w:cs="Times New Roman"/>
        </w:rPr>
      </w:pPr>
      <w:r>
        <w:rPr>
          <w:rFonts w:cs="Times New Roman"/>
        </w:rPr>
        <w:t>库区基岩节理、裂隙发育，较为密集，河床沉积较厚，卵、砾石层，地下水流通条件较好，河段内地下水补给源主要为大气降水和融雪形成地表径流补给，库区多数地段地下水埋深2.00～8.00m左右，为地表水补给地下水。</w:t>
      </w:r>
    </w:p>
    <w:p>
      <w:pPr>
        <w:ind w:firstLine="480"/>
        <w:rPr>
          <w:rFonts w:cs="Times New Roman"/>
        </w:rPr>
      </w:pPr>
      <w:r>
        <w:rPr>
          <w:rFonts w:hint="eastAsia" w:ascii="宋体" w:hAnsi="宋体" w:cs="宋体"/>
        </w:rPr>
        <w:t>②</w:t>
      </w:r>
      <w:r>
        <w:rPr>
          <w:rFonts w:cs="Times New Roman"/>
        </w:rPr>
        <w:t>坝址区</w:t>
      </w:r>
    </w:p>
    <w:p>
      <w:pPr>
        <w:ind w:firstLine="480"/>
        <w:rPr>
          <w:rFonts w:cs="Times New Roman"/>
        </w:rPr>
      </w:pPr>
      <w:r>
        <w:rPr>
          <w:rFonts w:cs="Times New Roman"/>
        </w:rPr>
        <w:t>坝址地下水的类型主要有第四系孔隙潜水和基岩裂隙水两类。</w:t>
      </w:r>
    </w:p>
    <w:p>
      <w:pPr>
        <w:ind w:firstLine="480"/>
        <w:rPr>
          <w:rFonts w:cs="Times New Roman"/>
        </w:rPr>
      </w:pPr>
      <w:r>
        <w:rPr>
          <w:rFonts w:cs="Times New Roman"/>
        </w:rPr>
        <w:t>A.孔隙潜水：主要赋存于第四系冲积、冲洪积卵石混合土以及洪积碎石混合土中，分布于河(沟)床、漫滩以及一级阶地，季节变化明显。</w:t>
      </w:r>
    </w:p>
    <w:p>
      <w:pPr>
        <w:ind w:firstLine="480"/>
        <w:rPr>
          <w:rFonts w:cs="Times New Roman"/>
        </w:rPr>
      </w:pPr>
      <w:r>
        <w:rPr>
          <w:rFonts w:cs="Times New Roman"/>
        </w:rPr>
        <w:t>B.裂隙水：主要埋藏于库区两岸山体内，含水量较少，地下水水位埋深与河水位基本持平。</w:t>
      </w:r>
    </w:p>
    <w:p>
      <w:pPr>
        <w:ind w:firstLine="480"/>
        <w:rPr>
          <w:rFonts w:cs="Times New Roman"/>
        </w:rPr>
      </w:pPr>
      <w:r>
        <w:rPr>
          <w:rFonts w:cs="Times New Roman"/>
        </w:rPr>
        <w:t>（3）地下水环境质量现状评价</w:t>
      </w:r>
    </w:p>
    <w:p>
      <w:pPr>
        <w:ind w:firstLine="480"/>
        <w:rPr>
          <w:rFonts w:cs="Times New Roman"/>
        </w:rPr>
      </w:pPr>
      <w:r>
        <w:rPr>
          <w:rFonts w:cs="Times New Roman"/>
        </w:rPr>
        <w:t>为了查明工程影响区域地下水环境质量现状，本次评价委托核工业二一六大队检测研究院于2024年9月开展了工程区和下游下马崖乡地下水出露区地下水水质现状监测。</w:t>
      </w:r>
    </w:p>
    <w:p>
      <w:pPr>
        <w:ind w:firstLine="480"/>
        <w:rPr>
          <w:rFonts w:cs="Times New Roman"/>
        </w:rPr>
      </w:pPr>
      <w:r>
        <w:rPr>
          <w:rFonts w:cs="Times New Roman"/>
        </w:rPr>
        <w:t>地下水评价标准采用《地下水质量标准》（GB/T14848-2017）III类标准。评价方法采用指标对照法。评价因子选取pH、总硬度、耗氧量（高锰酸盐指数）、氯化物、溶解性总固体、氟化物、氨氮、硝酸盐、氮、亚硝酸盐氮、硫酸盐、六价铬、挥发酚、氰化物、锰、铁、镉、砷、汞、铅、总大肠菌群等。</w:t>
      </w:r>
    </w:p>
    <w:p>
      <w:pPr>
        <w:ind w:firstLine="480"/>
        <w:rPr>
          <w:rFonts w:cs="Times New Roman"/>
        </w:rPr>
      </w:pPr>
      <w:r>
        <w:rPr>
          <w:rFonts w:cs="Times New Roman"/>
        </w:rPr>
        <w:t>代尔昆代水库工程区及下游下马崖乡地下水出露区地下水质监测指标均满足《地下水质量标准》（GB/T14848-2017）III类标准，地下水水质良好。</w:t>
      </w:r>
    </w:p>
    <w:p>
      <w:pPr>
        <w:pStyle w:val="62"/>
        <w:rPr>
          <w:rFonts w:cs="Times New Roman"/>
        </w:rPr>
      </w:pPr>
      <w:r>
        <w:rPr>
          <w:rFonts w:cs="Times New Roman"/>
        </w:rPr>
        <w:t>4.2.1.6 地表水环境</w:t>
      </w:r>
    </w:p>
    <w:p>
      <w:pPr>
        <w:ind w:firstLine="480"/>
        <w:rPr>
          <w:rFonts w:cs="Times New Roman"/>
        </w:rPr>
      </w:pPr>
      <w:r>
        <w:rPr>
          <w:rFonts w:cs="Times New Roman"/>
        </w:rPr>
        <w:t>（1）水环境功能区划</w:t>
      </w:r>
    </w:p>
    <w:p>
      <w:pPr>
        <w:ind w:firstLine="480"/>
        <w:rPr>
          <w:rFonts w:cs="Times New Roman"/>
        </w:rPr>
      </w:pPr>
      <w:r>
        <w:rPr>
          <w:rFonts w:cs="Times New Roman"/>
        </w:rPr>
        <w:t>对照《中国新疆水环境功能区划》，工程所在的代尔昆代郭勒流域区划未作规定，由于代尔昆代水库主要为淖毛湖区域人、畜饮水、公益林灌溉补水，地表水环境质量执行《地表水环境质量标准》（GB3838-2002）II类水质标准，因此本次地表水环境现状评价采用《地表水环境质量标准》（GB3838-2002）II类水质标准。</w:t>
      </w:r>
    </w:p>
    <w:p>
      <w:pPr>
        <w:ind w:firstLine="480"/>
        <w:rPr>
          <w:rFonts w:cs="Times New Roman"/>
        </w:rPr>
      </w:pPr>
      <w:r>
        <w:rPr>
          <w:rFonts w:cs="Times New Roman"/>
        </w:rPr>
        <w:t>（2）污染源调查</w:t>
      </w:r>
    </w:p>
    <w:p>
      <w:pPr>
        <w:ind w:firstLine="480"/>
        <w:rPr>
          <w:rFonts w:cs="Times New Roman"/>
        </w:rPr>
      </w:pPr>
      <w:r>
        <w:rPr>
          <w:rFonts w:cs="Times New Roman"/>
        </w:rPr>
        <w:t>根据现场调查及走访当地生态环境部门，工程涉及河段属于天然未开发状态，其上游无工业企业和城镇生活污水入河排污口分布。流域污染源主要为牧业面源污染，经降水冲刷或地下潜流方式汇入代尔昆代郭勒河。</w:t>
      </w:r>
    </w:p>
    <w:p>
      <w:pPr>
        <w:ind w:firstLine="480"/>
        <w:rPr>
          <w:rFonts w:cs="Times New Roman"/>
        </w:rPr>
      </w:pPr>
      <w:r>
        <w:rPr>
          <w:rFonts w:cs="Times New Roman"/>
        </w:rPr>
        <w:t>（3）水环境现状评价</w:t>
      </w:r>
    </w:p>
    <w:p>
      <w:pPr>
        <w:ind w:firstLine="480"/>
        <w:rPr>
          <w:rFonts w:cs="Times New Roman"/>
        </w:rPr>
      </w:pPr>
      <w:r>
        <w:rPr>
          <w:rFonts w:cs="Times New Roman"/>
        </w:rPr>
        <w:t>水质现状监测</w:t>
      </w:r>
    </w:p>
    <w:p>
      <w:pPr>
        <w:ind w:firstLine="480"/>
        <w:rPr>
          <w:rFonts w:cs="Times New Roman"/>
        </w:rPr>
      </w:pPr>
      <w:r>
        <w:rPr>
          <w:rFonts w:cs="Times New Roman"/>
        </w:rPr>
        <w:t>根据《环境影响评价技术导则 地表水环境》（HJ2.3-2018），地表水环境质量现状评价应优先采用生态环境保护主管部门统一发布的水环境状况信息，当不能满足要求时，应开展必要的现状补充监测。</w:t>
      </w:r>
    </w:p>
    <w:p>
      <w:pPr>
        <w:ind w:firstLine="480"/>
        <w:rPr>
          <w:rFonts w:cs="Times New Roman"/>
        </w:rPr>
      </w:pPr>
      <w:r>
        <w:rPr>
          <w:rFonts w:cs="Times New Roman"/>
        </w:rPr>
        <w:t>据调查，工程所在的代尔昆代郭勒流域无国控及省控等重要水质监测控制断面，无相关水质历时监测信息。为了了解工程所在河段代尔昆代郭勒河水环境质量现状，本次评价委托核工业二一六大队检测研究院于2024年9月对代尔昆代水库坝址断面进行了水质监测，可反映断面枯水期水质状况。</w:t>
      </w:r>
    </w:p>
    <w:p>
      <w:pPr>
        <w:ind w:firstLine="480"/>
        <w:rPr>
          <w:rFonts w:cs="Times New Roman"/>
        </w:rPr>
      </w:pPr>
      <w:r>
        <w:rPr>
          <w:rFonts w:cs="Times New Roman"/>
        </w:rPr>
        <w:t>水质现状评价</w:t>
      </w:r>
    </w:p>
    <w:p>
      <w:pPr>
        <w:ind w:firstLine="480"/>
        <w:rPr>
          <w:rFonts w:cs="Times New Roman"/>
        </w:rPr>
      </w:pPr>
      <w:r>
        <w:rPr>
          <w:rFonts w:cs="Times New Roman"/>
        </w:rPr>
        <w:t>评价标准：采用《地表水环境质量标准》（GB3838-2002）Ⅱ类标准作为评价标准，《农田灌溉水质标准》（GB5084-2021）全盐量指标值。</w:t>
      </w:r>
    </w:p>
    <w:p>
      <w:pPr>
        <w:ind w:firstLine="480"/>
        <w:rPr>
          <w:rFonts w:cs="Times New Roman"/>
        </w:rPr>
      </w:pPr>
      <w:r>
        <w:rPr>
          <w:rFonts w:cs="Times New Roman"/>
        </w:rPr>
        <w:t>评价方法与评价因子：采用对照法对工程影响河段水质进行评价。根据工程影响河段水质污染特性及水体功能，选择pH、溶解氧、高锰酸盐指数、BOD</w:t>
      </w:r>
      <w:r>
        <w:rPr>
          <w:rFonts w:cs="Times New Roman"/>
          <w:vertAlign w:val="subscript"/>
        </w:rPr>
        <w:t>5</w:t>
      </w:r>
      <w:r>
        <w:rPr>
          <w:rFonts w:cs="Times New Roman"/>
        </w:rPr>
        <w:t>、COD、氨氮、总磷、铜、锌、氟化物、硒、砷、汞、六价铬、氰化物、挥发酚、阴离子表面活性剂23项作为评价因子。</w:t>
      </w:r>
    </w:p>
    <w:p>
      <w:pPr>
        <w:ind w:firstLine="480"/>
        <w:rPr>
          <w:rFonts w:cs="Times New Roman"/>
        </w:rPr>
      </w:pPr>
      <w:r>
        <w:rPr>
          <w:rFonts w:cs="Times New Roman"/>
        </w:rPr>
        <w:t>水质现状监测及评价结果</w:t>
      </w:r>
    </w:p>
    <w:p>
      <w:pPr>
        <w:ind w:firstLine="480"/>
        <w:rPr>
          <w:rFonts w:cs="Times New Roman"/>
        </w:rPr>
      </w:pPr>
      <w:r>
        <w:rPr>
          <w:rFonts w:cs="Times New Roman"/>
        </w:rPr>
        <w:t>评价范围河流水质状况基本良好，各项水质指标均满足《地表水环境质量标准》（GB3838-2002）II类标准。</w:t>
      </w:r>
    </w:p>
    <w:p>
      <w:pPr>
        <w:ind w:firstLine="480"/>
        <w:rPr>
          <w:rFonts w:cs="Times New Roman"/>
        </w:rPr>
      </w:pPr>
      <w:r>
        <w:rPr>
          <w:rFonts w:cs="Times New Roman"/>
        </w:rPr>
        <w:t>2022年12月评价河段河流水质状况基本良好，可满足《地表水环境质量标准》（GB3838-2002）II类标准。</w:t>
      </w:r>
    </w:p>
    <w:p>
      <w:pPr>
        <w:ind w:firstLine="480"/>
        <w:rPr>
          <w:rFonts w:cs="Times New Roman"/>
        </w:rPr>
      </w:pPr>
      <w:r>
        <w:rPr>
          <w:rFonts w:cs="Times New Roman"/>
        </w:rPr>
        <w:t>根据2024年代尔昆代郭勒河流水质监测结果和规划报告中的河流水质监测结果，评级</w:t>
      </w:r>
      <w:r>
        <w:rPr>
          <w:rFonts w:hint="eastAsia" w:cs="Times New Roman"/>
          <w:lang w:eastAsia="zh-CN"/>
        </w:rPr>
        <w:t>为</w:t>
      </w:r>
      <w:r>
        <w:rPr>
          <w:rFonts w:cs="Times New Roman"/>
        </w:rPr>
        <w:t>河流水质状况较好，可满足《地表水环境质量标准》（GB3838-2002）II类标准。</w:t>
      </w:r>
    </w:p>
    <w:p>
      <w:pPr>
        <w:ind w:firstLine="480"/>
        <w:rPr>
          <w:rFonts w:cs="Times New Roman"/>
        </w:rPr>
      </w:pPr>
      <w:r>
        <w:rPr>
          <w:rFonts w:cs="Times New Roman"/>
        </w:rPr>
        <w:t>（1）水环境功能区划</w:t>
      </w:r>
    </w:p>
    <w:p>
      <w:pPr>
        <w:ind w:firstLine="480"/>
        <w:rPr>
          <w:rFonts w:cs="Times New Roman"/>
        </w:rPr>
      </w:pPr>
      <w:r>
        <w:rPr>
          <w:rFonts w:cs="Times New Roman"/>
        </w:rPr>
        <w:t>《中国新疆水环境功能区划》、</w:t>
      </w:r>
      <w:r>
        <w:rPr>
          <w:rFonts w:cs="Times New Roman"/>
          <w:lang w:val="zh-CN"/>
        </w:rPr>
        <w:t>《新疆维吾尔自治区“三线一单”生态环境分区管控方案》（新政发〔2021〕18号）均</w:t>
      </w:r>
      <w:r>
        <w:rPr>
          <w:rFonts w:cs="Times New Roman"/>
        </w:rPr>
        <w:t>未对代尔昆代郭勒河进行水环境功能区划。考虑到代尔昆代水库供水对象为淖毛湖镇人畜饮水及公益林灌溉补水，依据《地表水环境质量标准》（GB3838-2002）中的水域功能和标准分类，从供水对象对水质目标要求出发，本次评价提出代尔昆代郭勒河水质目标为Ⅱ类。</w:t>
      </w:r>
    </w:p>
    <w:p>
      <w:pPr>
        <w:ind w:firstLine="480"/>
        <w:rPr>
          <w:rFonts w:cs="Times New Roman"/>
        </w:rPr>
      </w:pPr>
      <w:r>
        <w:rPr>
          <w:rFonts w:cs="Times New Roman"/>
        </w:rPr>
        <w:t>（2）污染源调查</w:t>
      </w:r>
    </w:p>
    <w:p>
      <w:pPr>
        <w:ind w:firstLine="480"/>
        <w:rPr>
          <w:rFonts w:cs="Times New Roman"/>
        </w:rPr>
      </w:pPr>
      <w:r>
        <w:rPr>
          <w:rFonts w:cs="Times New Roman"/>
        </w:rPr>
        <w:t>通过现场调查及走访，代尔昆代水库工程影响河段基本处于天然未开发状态，无工业企业和城镇生活污水入河排污口分布，也无农业面源分布，仅存在放牧产生的畜牧业面源污染。</w:t>
      </w:r>
    </w:p>
    <w:p>
      <w:pPr>
        <w:ind w:firstLine="480"/>
        <w:rPr>
          <w:rFonts w:cs="Times New Roman"/>
        </w:rPr>
      </w:pPr>
      <w:r>
        <w:rPr>
          <w:rFonts w:cs="Times New Roman"/>
        </w:rPr>
        <w:t>（3）水质现状监测</w:t>
      </w:r>
    </w:p>
    <w:p>
      <w:pPr>
        <w:ind w:firstLine="480"/>
        <w:rPr>
          <w:rFonts w:cs="Times New Roman"/>
        </w:rPr>
      </w:pPr>
      <w:r>
        <w:rPr>
          <w:rFonts w:cs="Times New Roman"/>
        </w:rPr>
        <w:t>根据《环境影响评价技术导则 地表水环境》（HJ2.3-2018），地表水环境质量现状评价应优先采用生态环境保护主管部门统一发布的水环境状况信息，当不能满足要求时，应开展必要的现状补充监测。</w:t>
      </w:r>
    </w:p>
    <w:p>
      <w:pPr>
        <w:ind w:firstLine="480"/>
        <w:rPr>
          <w:rFonts w:cs="Times New Roman"/>
        </w:rPr>
      </w:pPr>
      <w:r>
        <w:rPr>
          <w:rFonts w:cs="Times New Roman"/>
        </w:rPr>
        <w:t>代尔昆代郭勒河上无国控、省控等水质常规监测断面，也无历史调查资料。</w:t>
      </w:r>
    </w:p>
    <w:p>
      <w:pPr>
        <w:ind w:firstLine="480"/>
        <w:rPr>
          <w:rFonts w:cs="Times New Roman"/>
        </w:rPr>
      </w:pPr>
      <w:r>
        <w:rPr>
          <w:rFonts w:cs="Times New Roman"/>
        </w:rPr>
        <w:t>本次评价委托核工业二一六大队检测研究院于2024年9月开展了工程坝址区河流水质现场监测并进行水质评价。</w:t>
      </w:r>
    </w:p>
    <w:p>
      <w:pPr>
        <w:ind w:firstLine="480"/>
        <w:rPr>
          <w:rFonts w:cs="Times New Roman"/>
        </w:rPr>
      </w:pPr>
      <w:r>
        <w:rPr>
          <w:rFonts w:cs="Times New Roman"/>
        </w:rPr>
        <w:t>评价方法：采用《地表水环境质量标准》（GB3838-2002）作为分类评价标准。</w:t>
      </w:r>
    </w:p>
    <w:p>
      <w:pPr>
        <w:ind w:firstLine="480"/>
        <w:rPr>
          <w:rFonts w:cs="Times New Roman"/>
        </w:rPr>
      </w:pPr>
      <w:r>
        <w:rPr>
          <w:rFonts w:cs="Times New Roman"/>
        </w:rPr>
        <w:t>评价方法与评价因子：采用指标对照法对规划影响河段水质进行评价。根据评价河段水质污染特性及水体功能，选择《地表水环境质量标准》（GB3838-2002）基本项目中除水温外的pH（无量纲）、溶解氧、高锰酸盐指数等项指标作为评价因子。</w:t>
      </w:r>
    </w:p>
    <w:p>
      <w:pPr>
        <w:ind w:firstLine="480"/>
        <w:rPr>
          <w:rFonts w:cs="Times New Roman"/>
        </w:rPr>
      </w:pPr>
      <w:r>
        <w:rPr>
          <w:rFonts w:cs="Times New Roman"/>
        </w:rPr>
        <w:t>评价河段水质评价结果见表4.2-23、4.2-24。经评价得出以下结论：</w:t>
      </w:r>
    </w:p>
    <w:p>
      <w:pPr>
        <w:ind w:firstLine="480"/>
        <w:rPr>
          <w:rFonts w:cs="Times New Roman"/>
        </w:rPr>
      </w:pPr>
      <w:r>
        <w:rPr>
          <w:rFonts w:cs="Times New Roman"/>
        </w:rPr>
        <w:t>工程坝址河段现状水质良好，水质类别均为Ⅰ～Ⅱ类，能够满足水环境质量目标要求。</w:t>
      </w:r>
    </w:p>
    <w:p>
      <w:pPr>
        <w:pStyle w:val="62"/>
        <w:rPr>
          <w:rFonts w:cs="Times New Roman"/>
        </w:rPr>
      </w:pPr>
      <w:r>
        <w:rPr>
          <w:rFonts w:cs="Times New Roman"/>
        </w:rPr>
        <w:t>4.2.1.7 陆生生态</w:t>
      </w:r>
    </w:p>
    <w:p>
      <w:pPr>
        <w:tabs>
          <w:tab w:val="right" w:leader="dot" w:pos="8302"/>
        </w:tabs>
        <w:ind w:firstLine="480"/>
        <w:rPr>
          <w:rFonts w:cs="Times New Roman"/>
          <w:bCs/>
        </w:rPr>
      </w:pPr>
      <w:bookmarkStart w:id="80" w:name="_Toc153189845"/>
      <w:r>
        <w:rPr>
          <w:rFonts w:cs="Times New Roman"/>
          <w:bCs/>
        </w:rPr>
        <w:t>（1）生态调查概况</w:t>
      </w:r>
    </w:p>
    <w:p>
      <w:pPr>
        <w:pStyle w:val="19"/>
        <w:kinsoku w:val="0"/>
        <w:overflowPunct w:val="0"/>
        <w:spacing w:after="0" w:line="360" w:lineRule="auto"/>
        <w:ind w:firstLine="482"/>
        <w:rPr>
          <w:rFonts w:eastAsiaTheme="minorEastAsia"/>
          <w:sz w:val="24"/>
        </w:rPr>
      </w:pPr>
      <w:r>
        <w:rPr>
          <w:rFonts w:eastAsiaTheme="minorEastAsia"/>
          <w:sz w:val="24"/>
        </w:rPr>
        <w:t>我单位组织专业人员于2024年9月上旬对代尔昆代水库项目评价区开展了陆生动植物现场调查，重点对水库淹没区占地区、施工临时占地区及主要影响河段进行了详细调查。另外，本次评价收集了代尔昆代郭勒河流域综合规划环评阶段于2024年3月、2024年6月两次陆生生态调查成果。基于以上成果，形成了本次工程影响区陆生生态现状评级内容。</w:t>
      </w:r>
    </w:p>
    <w:p>
      <w:pPr>
        <w:tabs>
          <w:tab w:val="right" w:leader="dot" w:pos="8302"/>
        </w:tabs>
        <w:ind w:firstLine="480" w:firstLineChars="0"/>
        <w:rPr>
          <w:rFonts w:cs="Times New Roman"/>
        </w:rPr>
      </w:pPr>
      <w:r>
        <w:rPr>
          <w:rFonts w:hint="eastAsia" w:ascii="宋体" w:hAnsi="宋体" w:cs="宋体"/>
        </w:rPr>
        <w:t>①</w:t>
      </w:r>
      <w:r>
        <w:rPr>
          <w:rFonts w:cs="Times New Roman"/>
        </w:rPr>
        <w:t>植物调查概况</w:t>
      </w:r>
    </w:p>
    <w:p>
      <w:pPr>
        <w:tabs>
          <w:tab w:val="right" w:leader="dot" w:pos="8302"/>
        </w:tabs>
        <w:ind w:firstLine="480"/>
        <w:rPr>
          <w:rFonts w:cs="Times New Roman"/>
        </w:rPr>
      </w:pPr>
      <w:r>
        <w:rPr>
          <w:rFonts w:cs="Times New Roman"/>
        </w:rPr>
        <w:t>以野外现场勘察为基础，采用统计和样地调查收割法，在项目征占地区，下游敏感生态保护目标内设置野外观测断面，并考虑植被类型的代表性，设置乔木、灌木、草类的样方，对样方内的植被类型、植被属性进行调查和分类整理，同时采集观测样方的地理坐标和高程信息。布设天然植被调查样方的方法和纪录内容具体如下：</w:t>
      </w:r>
    </w:p>
    <w:p>
      <w:pPr>
        <w:tabs>
          <w:tab w:val="right" w:leader="dot" w:pos="8302"/>
        </w:tabs>
        <w:ind w:firstLine="480"/>
        <w:rPr>
          <w:rFonts w:cs="Times New Roman"/>
        </w:rPr>
      </w:pPr>
      <w:r>
        <w:rPr>
          <w:rFonts w:cs="Times New Roman"/>
        </w:rPr>
        <w:t>A.灌木（低矮灌丛）：依据样点地形，布设5m×5m或10m×10m的样方若干，统计样方内的灌木种类、株数，测量冠幅、株高，测定覆</w:t>
      </w:r>
      <w:r>
        <w:rPr>
          <w:rFonts w:hint="eastAsia" w:cs="Times New Roman"/>
          <w:lang w:eastAsia="zh-CN"/>
        </w:rPr>
        <w:t>植盖度</w:t>
      </w:r>
      <w:r>
        <w:rPr>
          <w:rFonts w:cs="Times New Roman"/>
        </w:rPr>
        <w:t>。同时纪录GPS坐标，拍摄样方照片、环境照片。</w:t>
      </w:r>
    </w:p>
    <w:p>
      <w:pPr>
        <w:tabs>
          <w:tab w:val="right" w:leader="dot" w:pos="8302"/>
        </w:tabs>
        <w:ind w:firstLine="480"/>
        <w:rPr>
          <w:rFonts w:cs="Times New Roman"/>
        </w:rPr>
      </w:pPr>
      <w:r>
        <w:rPr>
          <w:rFonts w:cs="Times New Roman"/>
        </w:rPr>
        <w:t>B.草类（河道附近）：布设若干1m×1m或2m×2m的样方，统计样方内的草本种类、数量，观测长势，估测覆</w:t>
      </w:r>
      <w:r>
        <w:rPr>
          <w:rFonts w:hint="eastAsia" w:cs="Times New Roman"/>
          <w:lang w:eastAsia="zh-CN"/>
        </w:rPr>
        <w:t>植盖度</w:t>
      </w:r>
      <w:r>
        <w:rPr>
          <w:rFonts w:cs="Times New Roman"/>
        </w:rPr>
        <w:t>，测定地上生物量，并在室内风干称干草重量。同时纪录GPS坐标，拍摄样方、环境照片。</w:t>
      </w:r>
    </w:p>
    <w:p>
      <w:pPr>
        <w:tabs>
          <w:tab w:val="right" w:leader="dot" w:pos="8302"/>
        </w:tabs>
        <w:ind w:firstLine="480"/>
        <w:rPr>
          <w:rFonts w:cs="Times New Roman"/>
        </w:rPr>
      </w:pPr>
      <w:r>
        <w:rPr>
          <w:rFonts w:cs="Times New Roman"/>
        </w:rPr>
        <w:t>根据调查和查阅相关资料，本工程陆生生态评价范围内植被类型主要有草原、灌丛、荒漠三类，其中草原包含羊茅群系和驼绒藜群系两种，主要分布于出山口以上山区，草原植被是工程淹没、占地区分布的主要植被类型；灌丛包括柽柳该群系一种，主要分布于下马崖水库周边；荒漠植被主要包括合头草群系和膜果麻黄群系两种，主要分布于出山口以下冲洪积平原区。本次调查结合工程淹没、占地情况及影响范围；在主要植被群系共布置实测和记录样方26个（调查区样方分布见附图），其中草原样方10个，荒漠类样方11个，灌丛样方5个。根据样内和样外记录，结合以往相关研究资料等进行分析，由此对评价区植被及植物资源状况获得初步认识，调查区样方调查统计见表4.2-10。</w:t>
      </w:r>
    </w:p>
    <w:p>
      <w:pPr>
        <w:pStyle w:val="137"/>
        <w:spacing w:before="62"/>
      </w:pPr>
      <w:r>
        <w:t>表4.2-10               调查区植被调查样方统计表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35"/>
        <w:gridCol w:w="911"/>
        <w:gridCol w:w="2751"/>
        <w:gridCol w:w="1462"/>
        <w:gridCol w:w="1429"/>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896"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生态系统</w:t>
            </w:r>
          </w:p>
        </w:tc>
        <w:tc>
          <w:tcPr>
            <w:tcW w:w="499"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植被群系</w:t>
            </w: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调查地点</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经度</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纬度</w:t>
            </w:r>
          </w:p>
        </w:tc>
        <w:tc>
          <w:tcPr>
            <w:tcW w:w="514" w:type="pct"/>
            <w:vAlign w:val="center"/>
          </w:tcPr>
          <w:p>
            <w:pPr>
              <w:tabs>
                <w:tab w:val="right" w:leader="dot" w:pos="8302"/>
              </w:tabs>
              <w:spacing w:line="236" w:lineRule="exact"/>
              <w:ind w:firstLine="0" w:firstLineChars="0"/>
              <w:jc w:val="center"/>
              <w:rPr>
                <w:rFonts w:cs="Times New Roman"/>
                <w:spacing w:val="-20"/>
                <w:sz w:val="18"/>
                <w:szCs w:val="18"/>
              </w:rPr>
            </w:pPr>
            <w:r>
              <w:rPr>
                <w:rFonts w:cs="Times New Roman"/>
                <w:spacing w:val="-20"/>
                <w:sz w:val="18"/>
                <w:szCs w:val="18"/>
              </w:rPr>
              <w:t>海拔（m）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restar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灌丛</w:t>
            </w:r>
          </w:p>
        </w:tc>
        <w:tc>
          <w:tcPr>
            <w:tcW w:w="499" w:type="pct"/>
            <w:vMerge w:val="restart"/>
            <w:tcBorders>
              <w:top w:val="single" w:color="auto" w:sz="8" w:space="0"/>
              <w:left w:val="single" w:color="auto" w:sz="8" w:space="0"/>
              <w:right w:val="single" w:color="auto" w:sz="8" w:space="0"/>
            </w:tcBorders>
            <w:vAlign w:val="center"/>
          </w:tcPr>
          <w:p>
            <w:pPr>
              <w:tabs>
                <w:tab w:val="right" w:leader="dot" w:pos="8302"/>
              </w:tabs>
              <w:spacing w:line="236" w:lineRule="exact"/>
              <w:ind w:firstLine="0" w:firstLineChars="0"/>
              <w:jc w:val="center"/>
              <w:rPr>
                <w:rFonts w:eastAsia="等线" w:cs="Times New Roman"/>
                <w:kern w:val="0"/>
                <w:sz w:val="18"/>
                <w:szCs w:val="18"/>
              </w:rPr>
            </w:pPr>
            <w:r>
              <w:rPr>
                <w:rFonts w:eastAsia="等线" w:cs="Times New Roman"/>
                <w:sz w:val="18"/>
                <w:szCs w:val="18"/>
              </w:rPr>
              <w:t>沙棘群系</w:t>
            </w: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下马崖水库南侧（1）</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w:t>
            </w:r>
            <w:r>
              <w:rPr>
                <w:rFonts w:cs="Times New Roman"/>
                <w:sz w:val="21"/>
              </w:rPr>
              <w:t xml:space="preserve"> </w:t>
            </w:r>
            <w:r>
              <w:rPr>
                <w:rFonts w:cs="Times New Roman"/>
                <w:sz w:val="18"/>
                <w:szCs w:val="18"/>
              </w:rPr>
              <w:t>75°48'16.52"</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w:t>
            </w:r>
            <w:r>
              <w:rPr>
                <w:rFonts w:cs="Times New Roman"/>
                <w:sz w:val="21"/>
              </w:rPr>
              <w:t xml:space="preserve"> </w:t>
            </w:r>
            <w:r>
              <w:rPr>
                <w:rFonts w:cs="Times New Roman"/>
                <w:sz w:val="18"/>
                <w:szCs w:val="18"/>
              </w:rPr>
              <w:t>37°51'50.17"</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tcBorders>
              <w:left w:val="single" w:color="auto" w:sz="8" w:space="0"/>
              <w:right w:val="single" w:color="auto" w:sz="8" w:space="0"/>
            </w:tcBorders>
            <w:vAlign w:val="center"/>
          </w:tcPr>
          <w:p>
            <w:pPr>
              <w:tabs>
                <w:tab w:val="right" w:leader="dot" w:pos="8302"/>
              </w:tabs>
              <w:spacing w:line="236" w:lineRule="exact"/>
              <w:ind w:firstLine="0" w:firstLineChars="0"/>
              <w:jc w:val="center"/>
              <w:rPr>
                <w:rFonts w:eastAsia="等线"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下马崖水库南侧（2）</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w:t>
            </w:r>
            <w:r>
              <w:rPr>
                <w:rFonts w:cs="Times New Roman"/>
                <w:sz w:val="21"/>
              </w:rPr>
              <w:t xml:space="preserve"> </w:t>
            </w:r>
            <w:r>
              <w:rPr>
                <w:rFonts w:cs="Times New Roman"/>
                <w:sz w:val="18"/>
                <w:szCs w:val="18"/>
              </w:rPr>
              <w:t>75°48'18.81"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w:t>
            </w:r>
            <w:r>
              <w:rPr>
                <w:rFonts w:cs="Times New Roman"/>
                <w:sz w:val="21"/>
              </w:rPr>
              <w:t xml:space="preserve"> </w:t>
            </w:r>
            <w:r>
              <w:rPr>
                <w:rFonts w:cs="Times New Roman"/>
                <w:sz w:val="18"/>
                <w:szCs w:val="18"/>
              </w:rPr>
              <w:t>37°51'51.84"</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2332m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tcBorders>
              <w:left w:val="single" w:color="auto" w:sz="8" w:space="0"/>
              <w:right w:val="single" w:color="auto" w:sz="8" w:space="0"/>
            </w:tcBorders>
            <w:vAlign w:val="center"/>
          </w:tcPr>
          <w:p>
            <w:pPr>
              <w:tabs>
                <w:tab w:val="right" w:leader="dot" w:pos="8302"/>
              </w:tabs>
              <w:spacing w:line="236" w:lineRule="exact"/>
              <w:ind w:firstLine="0" w:firstLineChars="0"/>
              <w:jc w:val="center"/>
              <w:rPr>
                <w:rFonts w:eastAsia="等线"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下马崖水库南侧（3）</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w:t>
            </w:r>
            <w:r>
              <w:rPr>
                <w:rFonts w:cs="Times New Roman"/>
                <w:sz w:val="21"/>
              </w:rPr>
              <w:t xml:space="preserve"> </w:t>
            </w:r>
            <w:r>
              <w:rPr>
                <w:rFonts w:cs="Times New Roman"/>
                <w:sz w:val="18"/>
                <w:szCs w:val="18"/>
              </w:rPr>
              <w:t>75°48'19.02"</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w:t>
            </w:r>
            <w:r>
              <w:rPr>
                <w:rFonts w:cs="Times New Roman"/>
                <w:sz w:val="21"/>
              </w:rPr>
              <w:t xml:space="preserve"> </w:t>
            </w:r>
            <w:r>
              <w:rPr>
                <w:rFonts w:cs="Times New Roman"/>
                <w:sz w:val="18"/>
                <w:szCs w:val="18"/>
              </w:rPr>
              <w:t>37°51'54.7"</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tcBorders>
              <w:left w:val="single" w:color="auto" w:sz="8" w:space="0"/>
              <w:right w:val="single" w:color="auto" w:sz="8" w:space="0"/>
            </w:tcBorders>
            <w:vAlign w:val="center"/>
          </w:tcPr>
          <w:p>
            <w:pPr>
              <w:tabs>
                <w:tab w:val="right" w:leader="dot" w:pos="8302"/>
              </w:tabs>
              <w:spacing w:line="236" w:lineRule="exact"/>
              <w:ind w:firstLine="0" w:firstLineChars="0"/>
              <w:jc w:val="center"/>
              <w:rPr>
                <w:rFonts w:eastAsia="等线"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下马崖水库南侧（4）</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E75°49'6.58"</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37°51'27.82"</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2324m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tcBorders>
              <w:left w:val="single" w:color="auto" w:sz="8" w:space="0"/>
              <w:right w:val="single" w:color="auto" w:sz="8" w:space="0"/>
            </w:tcBorders>
            <w:vAlign w:val="center"/>
          </w:tcPr>
          <w:p>
            <w:pPr>
              <w:tabs>
                <w:tab w:val="right" w:leader="dot" w:pos="8302"/>
              </w:tabs>
              <w:spacing w:line="236" w:lineRule="exact"/>
              <w:ind w:firstLine="0" w:firstLineChars="0"/>
              <w:jc w:val="center"/>
              <w:rPr>
                <w:rFonts w:eastAsia="等线"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下马崖水库南侧（5）</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E75°51′26.1″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37°51'24.57"</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2254m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restar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草原</w:t>
            </w:r>
          </w:p>
        </w:tc>
        <w:tc>
          <w:tcPr>
            <w:tcW w:w="499" w:type="pct"/>
            <w:vMerge w:val="restar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羊茅群系</w:t>
            </w: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水库淹没区（1）</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E75°48'43.11"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37°51'50.48"</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水库淹没区（2）</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E76°4′25.2″</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37°51'13.49"</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2240m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水库淹没区（3）</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E75°54'15.74"</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N37°49'18.51"</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2195m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枢纽工程占地区（1）</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E75°55'48.60"</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N37°49'35.33"</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2151m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3" w:hRule="atLeast"/>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枢纽工程占地区（2）</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E75°48'43.11"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37°51'50.48"</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restar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驼绒藜</w:t>
            </w:r>
          </w:p>
          <w:p>
            <w:pPr>
              <w:tabs>
                <w:tab w:val="right" w:leader="dot" w:pos="8302"/>
              </w:tabs>
              <w:spacing w:line="236" w:lineRule="exact"/>
              <w:ind w:firstLine="0" w:firstLineChars="0"/>
              <w:jc w:val="center"/>
              <w:rPr>
                <w:rFonts w:cs="Times New Roman"/>
                <w:sz w:val="18"/>
                <w:szCs w:val="18"/>
              </w:rPr>
            </w:pPr>
            <w:r>
              <w:rPr>
                <w:rFonts w:cs="Times New Roman"/>
                <w:sz w:val="18"/>
                <w:szCs w:val="18"/>
              </w:rPr>
              <w:t>群系</w:t>
            </w: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1号弃渣场</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E75°48'43.11"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37°51'50.48"</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2号弃渣场</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E76°4′25.2″</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37°51'13.49"</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2240m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C1料场</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E75°54'15.74"</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N37°49'18.51"</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2195m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施工生产生活区</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E75°55'48.60"</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N37°49'35.33"</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2151m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施工道路区（1）</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E75°48'43.11"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37°51'50.48"</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施工道路区（2）</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E75°48'43.11"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37°51'50.48"</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restar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荒漠</w:t>
            </w:r>
          </w:p>
        </w:tc>
        <w:tc>
          <w:tcPr>
            <w:tcW w:w="499" w:type="pct"/>
            <w:vMerge w:val="restar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合头草</w:t>
            </w:r>
          </w:p>
          <w:p>
            <w:pPr>
              <w:tabs>
                <w:tab w:val="right" w:leader="dot" w:pos="8302"/>
              </w:tabs>
              <w:spacing w:line="236" w:lineRule="exact"/>
              <w:ind w:firstLine="0" w:firstLineChars="0"/>
              <w:jc w:val="center"/>
              <w:rPr>
                <w:rFonts w:cs="Times New Roman"/>
                <w:sz w:val="18"/>
                <w:szCs w:val="18"/>
              </w:rPr>
            </w:pPr>
            <w:r>
              <w:rPr>
                <w:rFonts w:cs="Times New Roman"/>
                <w:sz w:val="18"/>
                <w:szCs w:val="18"/>
              </w:rPr>
              <w:t>群系</w:t>
            </w: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出山口下游河道右岸（1）</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E75°48'43.11"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37°51'50.48"</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出山口下游河道右岸（2）</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E76°4′25.2″</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37°51'13.49"</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2240m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出山口下游河道右岸（3）</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E75°54'15.74"</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N37°49'18.51"</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2195m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出山口下游河道左岸（1）</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E75°55'48.60"</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N37°49'35.33"</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2151m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出山口下游河道左岸（2）</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E75°48'43.11"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37°51'50.48"</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restar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膜果麻黄群系</w:t>
            </w: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出山口下游河道右岸（1）</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E75°48'43.11"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37°51'50.48"</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出山口下游河道右岸（2）</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E76°4′25.2″</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37°51'13.49"</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2240m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出山口下游河道左岸（1）</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E75°54'15.74"</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N37°49'18.51"</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2195m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出山口下游河道左岸（2）</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E75°55'48.60"</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N37°49'35.33"</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2151m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6"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499" w:type="pct"/>
            <w:vMerge w:val="continue"/>
            <w:vAlign w:val="center"/>
          </w:tcPr>
          <w:p>
            <w:pPr>
              <w:tabs>
                <w:tab w:val="right" w:leader="dot" w:pos="8302"/>
              </w:tabs>
              <w:spacing w:line="236" w:lineRule="exact"/>
              <w:ind w:firstLine="0" w:firstLineChars="0"/>
              <w:jc w:val="center"/>
              <w:rPr>
                <w:rFonts w:cs="Times New Roman"/>
                <w:sz w:val="18"/>
                <w:szCs w:val="18"/>
              </w:rPr>
            </w:pPr>
          </w:p>
        </w:tc>
        <w:tc>
          <w:tcPr>
            <w:tcW w:w="1507"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出山口下游河道左岸（3）</w:t>
            </w:r>
          </w:p>
        </w:tc>
        <w:tc>
          <w:tcPr>
            <w:tcW w:w="801"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E75°48'43.11"</w:t>
            </w:r>
          </w:p>
        </w:tc>
        <w:tc>
          <w:tcPr>
            <w:tcW w:w="783"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N 37°51'50.48"</w:t>
            </w:r>
          </w:p>
        </w:tc>
        <w:tc>
          <w:tcPr>
            <w:tcW w:w="514" w:type="pct"/>
            <w:vAlign w:val="center"/>
          </w:tcPr>
          <w:p>
            <w:pPr>
              <w:tabs>
                <w:tab w:val="right" w:leader="dot" w:pos="8302"/>
              </w:tabs>
              <w:spacing w:line="236" w:lineRule="exact"/>
              <w:ind w:firstLine="0" w:firstLineChars="0"/>
              <w:jc w:val="center"/>
              <w:rPr>
                <w:rFonts w:cs="Times New Roman"/>
                <w:sz w:val="18"/>
                <w:szCs w:val="18"/>
              </w:rPr>
            </w:pPr>
            <w:r>
              <w:rPr>
                <w:rFonts w:cs="Times New Roman"/>
                <w:sz w:val="18"/>
                <w:szCs w:val="18"/>
              </w:rPr>
              <w:t>2301m</w:t>
            </w:r>
          </w:p>
        </w:tc>
      </w:tr>
    </w:tbl>
    <w:p>
      <w:pPr>
        <w:spacing w:line="240" w:lineRule="auto"/>
        <w:ind w:firstLine="420"/>
        <w:rPr>
          <w:rFonts w:cs="Times New Roman"/>
          <w:sz w:val="21"/>
          <w:szCs w:val="21"/>
        </w:rPr>
      </w:pPr>
    </w:p>
    <w:p>
      <w:pPr>
        <w:tabs>
          <w:tab w:val="right" w:leader="dot" w:pos="8302"/>
        </w:tabs>
        <w:ind w:firstLine="480"/>
        <w:rPr>
          <w:rFonts w:cs="Times New Roman" w:eastAsiaTheme="minorEastAsia"/>
          <w:kern w:val="10"/>
        </w:rPr>
      </w:pPr>
      <w:r>
        <w:rPr>
          <w:rFonts w:hint="eastAsia" w:ascii="宋体" w:hAnsi="宋体" w:cs="宋体"/>
          <w:kern w:val="10"/>
        </w:rPr>
        <w:t>②</w:t>
      </w:r>
      <w:r>
        <w:rPr>
          <w:rFonts w:cs="Times New Roman" w:eastAsiaTheme="minorEastAsia"/>
          <w:kern w:val="10"/>
        </w:rPr>
        <w:t>动物调查概况</w:t>
      </w:r>
    </w:p>
    <w:p>
      <w:pPr>
        <w:tabs>
          <w:tab w:val="right" w:leader="dot" w:pos="8302"/>
        </w:tabs>
        <w:ind w:firstLine="480"/>
        <w:rPr>
          <w:rFonts w:cs="Times New Roman" w:eastAsiaTheme="minorEastAsia"/>
          <w:szCs w:val="24"/>
        </w:rPr>
      </w:pPr>
      <w:r>
        <w:rPr>
          <w:rFonts w:cs="Times New Roman" w:eastAsiaTheme="minorEastAsia"/>
          <w:szCs w:val="24"/>
        </w:rPr>
        <w:t>依据原林业部《全国陆生野生动物资源调查与监测技术规程(修订版)》有关规定，主要采用资料收集和实地调查法进行野生动物调查。动物实地调查采用样线法，在工程占地区附近，选取灌丛、草原和荒漠不同生境类型共布设样线12条（调查样线布置情况详见附图），每条样线长约0.5km，观察对象为动物实体及其活动痕迹，如食迹、足迹、卧迹、粪便、毛发等，另外还对调查区周边农牧民进行了访谈调查。由于野生动物具有移动性和隐蔽性特点，所以在野外了解影响区动物生境特征的基础上，进一步查阅了大量资料和文献。通过对文献资料和实地调查结果进行整理分析，初步获得了调查区野生动物的分布情况，最终确定动物种类，编制动物名录。</w:t>
      </w:r>
    </w:p>
    <w:p>
      <w:pPr>
        <w:tabs>
          <w:tab w:val="right" w:leader="dot" w:pos="8302"/>
        </w:tabs>
        <w:ind w:firstLine="480"/>
        <w:rPr>
          <w:rFonts w:cs="Times New Roman" w:eastAsiaTheme="minorEastAsia"/>
        </w:rPr>
      </w:pPr>
      <w:r>
        <w:rPr>
          <w:rFonts w:hint="eastAsia" w:ascii="宋体" w:hAnsi="宋体" w:cs="宋体"/>
        </w:rPr>
        <w:t>③</w:t>
      </w:r>
      <w:r>
        <w:rPr>
          <w:rFonts w:cs="Times New Roman" w:eastAsiaTheme="minorEastAsia"/>
        </w:rPr>
        <w:t>遥感调查概况</w:t>
      </w:r>
    </w:p>
    <w:p>
      <w:pPr>
        <w:tabs>
          <w:tab w:val="right" w:leader="dot" w:pos="8302"/>
        </w:tabs>
        <w:ind w:firstLine="480"/>
        <w:rPr>
          <w:rFonts w:cs="Times New Roman" w:eastAsiaTheme="minorEastAsia"/>
        </w:rPr>
      </w:pPr>
      <w:r>
        <w:rPr>
          <w:rFonts w:cs="Times New Roman" w:eastAsiaTheme="minorEastAsia"/>
        </w:rPr>
        <w:t>选择2023年30m分辨率数据作为基础资料，采用GIS软件对区域土地利用类型及土地覆被格局进行表达，了解区域土地覆被格局现状；在土地利用现状解译成果基础上，结合现场植物调查、影像纹理特征提取评价区植被现状专题图。</w:t>
      </w:r>
    </w:p>
    <w:p>
      <w:pPr>
        <w:tabs>
          <w:tab w:val="right" w:leader="dot" w:pos="8302"/>
        </w:tabs>
        <w:autoSpaceDE w:val="0"/>
        <w:autoSpaceDN w:val="0"/>
        <w:ind w:firstLine="480"/>
        <w:textAlignment w:val="baseline"/>
        <w:rPr>
          <w:rFonts w:cs="Times New Roman" w:eastAsiaTheme="minorEastAsia"/>
          <w:bCs/>
          <w:kern w:val="0"/>
        </w:rPr>
      </w:pPr>
      <w:r>
        <w:rPr>
          <w:rFonts w:cs="Times New Roman" w:eastAsiaTheme="minorEastAsia"/>
          <w:bCs/>
          <w:kern w:val="0"/>
        </w:rPr>
        <w:t>（2）植被、植物</w:t>
      </w:r>
    </w:p>
    <w:p>
      <w:pPr>
        <w:ind w:firstLine="480"/>
        <w:rPr>
          <w:rFonts w:cs="Times New Roman" w:eastAsiaTheme="minorEastAsia"/>
        </w:rPr>
      </w:pPr>
      <w:r>
        <w:rPr>
          <w:rFonts w:cs="Times New Roman" w:eastAsiaTheme="minorEastAsia"/>
          <w:kern w:val="10"/>
        </w:rPr>
        <w:fldChar w:fldCharType="begin"/>
      </w:r>
      <w:r>
        <w:rPr>
          <w:rFonts w:cs="Times New Roman" w:eastAsiaTheme="minorEastAsia"/>
          <w:kern w:val="10"/>
        </w:rPr>
        <w:instrText xml:space="preserve"> = 1 \* GB3 </w:instrText>
      </w:r>
      <w:r>
        <w:rPr>
          <w:rFonts w:cs="Times New Roman" w:eastAsiaTheme="minorEastAsia"/>
          <w:kern w:val="10"/>
        </w:rPr>
        <w:fldChar w:fldCharType="separate"/>
      </w:r>
      <w:r>
        <w:rPr>
          <w:rFonts w:hint="eastAsia" w:ascii="宋体" w:hAnsi="宋体" w:cs="宋体"/>
          <w:kern w:val="10"/>
        </w:rPr>
        <w:t>①</w:t>
      </w:r>
      <w:r>
        <w:rPr>
          <w:rFonts w:cs="Times New Roman" w:eastAsiaTheme="minorEastAsia"/>
          <w:kern w:val="10"/>
        </w:rPr>
        <w:fldChar w:fldCharType="end"/>
      </w:r>
      <w:r>
        <w:rPr>
          <w:rFonts w:cs="Times New Roman" w:eastAsiaTheme="minorEastAsia"/>
        </w:rPr>
        <w:t>植物区系</w:t>
      </w:r>
    </w:p>
    <w:p>
      <w:pPr>
        <w:tabs>
          <w:tab w:val="right" w:leader="dot" w:pos="8302"/>
        </w:tabs>
        <w:ind w:firstLine="480"/>
        <w:rPr>
          <w:rFonts w:cs="Times New Roman" w:eastAsiaTheme="minorEastAsia"/>
        </w:rPr>
      </w:pPr>
      <w:r>
        <w:rPr>
          <w:rFonts w:cs="Times New Roman" w:eastAsiaTheme="minorEastAsia"/>
        </w:rPr>
        <w:t>工程区位于代尔昆代郭勒河上游山区河段，在中国植被区划上，属于温带荒漠区域—东部温带荒漠亚区域—温带半灌木、灌木荒漠地带—温带灌木、半灌木裸露荒漠亚地带—马鬃山～诺敏戈壁稀疏灌木、半灌木荒漠区—伊吾戈壁藜、合头草、霸王稀疏灌木、半灌木荒漠小区。</w:t>
      </w:r>
    </w:p>
    <w:p>
      <w:pPr>
        <w:ind w:firstLine="480"/>
        <w:rPr>
          <w:rFonts w:cs="Times New Roman" w:eastAsiaTheme="minorEastAsia"/>
          <w:bCs/>
          <w:szCs w:val="20"/>
        </w:rPr>
      </w:pPr>
      <w:r>
        <w:rPr>
          <w:rFonts w:cs="Times New Roman" w:eastAsiaTheme="minorEastAsia"/>
          <w:szCs w:val="20"/>
        </w:rPr>
        <w:t>根据现场调查，结合《新疆植物志》、《新疆植被及其利用》等著作和资料，统计整理出调查区维管束植物共有</w:t>
      </w:r>
      <w:r>
        <w:rPr>
          <w:rFonts w:cs="Times New Roman" w:eastAsiaTheme="minorEastAsia"/>
        </w:rPr>
        <w:t>35科105属153种，其中蕨类植物有1科1属2种，裸子植物有1科1属2种，被子植物33科103属149种，以菊科、藜科、禾本科等少数几个科种类较多。</w:t>
      </w:r>
      <w:r>
        <w:rPr>
          <w:rFonts w:cs="Times New Roman" w:eastAsiaTheme="minorEastAsia"/>
          <w:szCs w:val="20"/>
        </w:rPr>
        <w:t>调查区高等维管束植物统计见表4.2-11。调查区陆生植物物种名录见附录1。</w:t>
      </w:r>
    </w:p>
    <w:p>
      <w:pPr>
        <w:pStyle w:val="137"/>
        <w:spacing w:before="62"/>
      </w:pPr>
      <w:r>
        <w:t>表4.2-11           工程调查区高等维管束植物统计</w:t>
      </w:r>
    </w:p>
    <w:tbl>
      <w:tblPr>
        <w:tblStyle w:val="40"/>
        <w:tblW w:w="5000" w:type="pct"/>
        <w:tblInd w:w="0" w:type="dxa"/>
        <w:tblLayout w:type="autofit"/>
        <w:tblCellMar>
          <w:top w:w="0" w:type="dxa"/>
          <w:left w:w="108" w:type="dxa"/>
          <w:bottom w:w="0" w:type="dxa"/>
          <w:right w:w="108" w:type="dxa"/>
        </w:tblCellMar>
      </w:tblPr>
      <w:tblGrid>
        <w:gridCol w:w="1371"/>
        <w:gridCol w:w="1909"/>
        <w:gridCol w:w="958"/>
        <w:gridCol w:w="958"/>
        <w:gridCol w:w="958"/>
        <w:gridCol w:w="3132"/>
      </w:tblGrid>
      <w:tr>
        <w:tblPrEx>
          <w:tblCellMar>
            <w:top w:w="0" w:type="dxa"/>
            <w:left w:w="108" w:type="dxa"/>
            <w:bottom w:w="0" w:type="dxa"/>
            <w:right w:w="108" w:type="dxa"/>
          </w:tblCellMar>
        </w:tblPrEx>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门 类</w:t>
            </w:r>
          </w:p>
        </w:tc>
        <w:tc>
          <w:tcPr>
            <w:tcW w:w="1028"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拉丁名</w:t>
            </w:r>
          </w:p>
        </w:tc>
        <w:tc>
          <w:tcPr>
            <w:tcW w:w="51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科 数</w:t>
            </w:r>
          </w:p>
        </w:tc>
        <w:tc>
          <w:tcPr>
            <w:tcW w:w="51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属 数</w:t>
            </w:r>
          </w:p>
        </w:tc>
        <w:tc>
          <w:tcPr>
            <w:tcW w:w="51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种 数</w:t>
            </w:r>
          </w:p>
        </w:tc>
        <w:tc>
          <w:tcPr>
            <w:tcW w:w="168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占总种数的百分比（%）</w:t>
            </w:r>
          </w:p>
        </w:tc>
      </w:tr>
      <w:tr>
        <w:tblPrEx>
          <w:tblCellMar>
            <w:top w:w="0" w:type="dxa"/>
            <w:left w:w="108" w:type="dxa"/>
            <w:bottom w:w="0" w:type="dxa"/>
            <w:right w:w="108" w:type="dxa"/>
          </w:tblCellMar>
        </w:tblPrEx>
        <w:tc>
          <w:tcPr>
            <w:tcW w:w="73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蕨类植物</w:t>
            </w:r>
          </w:p>
        </w:tc>
        <w:tc>
          <w:tcPr>
            <w:tcW w:w="10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Pteridophyta</w:t>
            </w:r>
          </w:p>
        </w:tc>
        <w:tc>
          <w:tcPr>
            <w:tcW w:w="51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w:t>
            </w:r>
          </w:p>
        </w:tc>
        <w:tc>
          <w:tcPr>
            <w:tcW w:w="51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w:t>
            </w:r>
          </w:p>
        </w:tc>
        <w:tc>
          <w:tcPr>
            <w:tcW w:w="51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2</w:t>
            </w:r>
          </w:p>
        </w:tc>
        <w:tc>
          <w:tcPr>
            <w:tcW w:w="16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18"/>
                <w:szCs w:val="18"/>
              </w:rPr>
            </w:pPr>
            <w:r>
              <w:rPr>
                <w:rFonts w:cs="Times New Roman"/>
                <w:sz w:val="18"/>
                <w:szCs w:val="18"/>
              </w:rPr>
              <w:t xml:space="preserve">1.31 </w:t>
            </w:r>
          </w:p>
        </w:tc>
      </w:tr>
      <w:tr>
        <w:tblPrEx>
          <w:tblCellMar>
            <w:top w:w="0" w:type="dxa"/>
            <w:left w:w="108" w:type="dxa"/>
            <w:bottom w:w="0" w:type="dxa"/>
            <w:right w:w="108" w:type="dxa"/>
          </w:tblCellMar>
        </w:tblPrEx>
        <w:tc>
          <w:tcPr>
            <w:tcW w:w="73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裸子植物</w:t>
            </w:r>
          </w:p>
        </w:tc>
        <w:tc>
          <w:tcPr>
            <w:tcW w:w="10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Gymnospermae</w:t>
            </w:r>
          </w:p>
        </w:tc>
        <w:tc>
          <w:tcPr>
            <w:tcW w:w="51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w:t>
            </w:r>
          </w:p>
        </w:tc>
        <w:tc>
          <w:tcPr>
            <w:tcW w:w="51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w:t>
            </w:r>
          </w:p>
        </w:tc>
        <w:tc>
          <w:tcPr>
            <w:tcW w:w="51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2</w:t>
            </w:r>
          </w:p>
        </w:tc>
        <w:tc>
          <w:tcPr>
            <w:tcW w:w="16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18"/>
                <w:szCs w:val="18"/>
              </w:rPr>
            </w:pPr>
            <w:r>
              <w:rPr>
                <w:rFonts w:cs="Times New Roman"/>
                <w:sz w:val="18"/>
                <w:szCs w:val="18"/>
              </w:rPr>
              <w:t xml:space="preserve">1.31 </w:t>
            </w:r>
          </w:p>
        </w:tc>
      </w:tr>
      <w:tr>
        <w:tblPrEx>
          <w:tblCellMar>
            <w:top w:w="0" w:type="dxa"/>
            <w:left w:w="108" w:type="dxa"/>
            <w:bottom w:w="0" w:type="dxa"/>
            <w:right w:w="108" w:type="dxa"/>
          </w:tblCellMar>
        </w:tblPrEx>
        <w:tc>
          <w:tcPr>
            <w:tcW w:w="73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被子植物</w:t>
            </w:r>
          </w:p>
        </w:tc>
        <w:tc>
          <w:tcPr>
            <w:tcW w:w="10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Angiospermae</w:t>
            </w:r>
          </w:p>
        </w:tc>
        <w:tc>
          <w:tcPr>
            <w:tcW w:w="51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33</w:t>
            </w:r>
          </w:p>
        </w:tc>
        <w:tc>
          <w:tcPr>
            <w:tcW w:w="51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103</w:t>
            </w:r>
          </w:p>
        </w:tc>
        <w:tc>
          <w:tcPr>
            <w:tcW w:w="51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149</w:t>
            </w:r>
          </w:p>
        </w:tc>
        <w:tc>
          <w:tcPr>
            <w:tcW w:w="16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18"/>
                <w:szCs w:val="18"/>
              </w:rPr>
            </w:pPr>
            <w:r>
              <w:rPr>
                <w:rFonts w:cs="Times New Roman"/>
                <w:sz w:val="18"/>
                <w:szCs w:val="18"/>
              </w:rPr>
              <w:t xml:space="preserve">97.39 </w:t>
            </w:r>
          </w:p>
        </w:tc>
      </w:tr>
      <w:tr>
        <w:tblPrEx>
          <w:tblCellMar>
            <w:top w:w="0" w:type="dxa"/>
            <w:left w:w="108" w:type="dxa"/>
            <w:bottom w:w="0" w:type="dxa"/>
            <w:right w:w="108" w:type="dxa"/>
          </w:tblCellMar>
        </w:tblPrEx>
        <w:tc>
          <w:tcPr>
            <w:tcW w:w="176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总 计</w:t>
            </w:r>
          </w:p>
        </w:tc>
        <w:tc>
          <w:tcPr>
            <w:tcW w:w="516"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18"/>
                <w:szCs w:val="18"/>
              </w:rPr>
            </w:pPr>
            <w:r>
              <w:rPr>
                <w:rFonts w:cs="Times New Roman"/>
                <w:sz w:val="18"/>
                <w:szCs w:val="18"/>
              </w:rPr>
              <w:t>35</w:t>
            </w:r>
          </w:p>
        </w:tc>
        <w:tc>
          <w:tcPr>
            <w:tcW w:w="516"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18"/>
                <w:szCs w:val="18"/>
              </w:rPr>
            </w:pPr>
            <w:r>
              <w:rPr>
                <w:rFonts w:cs="Times New Roman"/>
                <w:sz w:val="18"/>
                <w:szCs w:val="18"/>
              </w:rPr>
              <w:t>105</w:t>
            </w:r>
          </w:p>
        </w:tc>
        <w:tc>
          <w:tcPr>
            <w:tcW w:w="516"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Times New Roman"/>
                <w:sz w:val="18"/>
                <w:szCs w:val="18"/>
              </w:rPr>
            </w:pPr>
            <w:r>
              <w:rPr>
                <w:rFonts w:cs="Times New Roman"/>
                <w:sz w:val="18"/>
                <w:szCs w:val="18"/>
              </w:rPr>
              <w:t>153</w:t>
            </w:r>
          </w:p>
        </w:tc>
        <w:tc>
          <w:tcPr>
            <w:tcW w:w="168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100</w:t>
            </w:r>
          </w:p>
        </w:tc>
      </w:tr>
    </w:tbl>
    <w:p>
      <w:pPr>
        <w:tabs>
          <w:tab w:val="right" w:leader="dot" w:pos="8302"/>
        </w:tabs>
        <w:spacing w:line="240" w:lineRule="auto"/>
        <w:ind w:firstLine="174" w:firstLineChars="83"/>
        <w:rPr>
          <w:rFonts w:cs="Times New Roman"/>
          <w:kern w:val="0"/>
          <w:sz w:val="21"/>
          <w:szCs w:val="21"/>
        </w:rPr>
      </w:pPr>
    </w:p>
    <w:p>
      <w:pPr>
        <w:tabs>
          <w:tab w:val="right" w:leader="dot" w:pos="8302"/>
        </w:tabs>
        <w:ind w:firstLine="480"/>
        <w:rPr>
          <w:rFonts w:cs="Times New Roman" w:eastAsiaTheme="minorEastAsia"/>
          <w:kern w:val="0"/>
          <w:szCs w:val="20"/>
        </w:rPr>
      </w:pPr>
      <w:r>
        <w:rPr>
          <w:rFonts w:cs="Times New Roman" w:eastAsiaTheme="minorEastAsia"/>
          <w:kern w:val="0"/>
          <w:szCs w:val="20"/>
        </w:rPr>
        <w:fldChar w:fldCharType="begin"/>
      </w:r>
      <w:r>
        <w:rPr>
          <w:rFonts w:cs="Times New Roman" w:eastAsiaTheme="minorEastAsia"/>
          <w:kern w:val="0"/>
          <w:szCs w:val="20"/>
        </w:rPr>
        <w:instrText xml:space="preserve"> = 2 \* GB3 </w:instrText>
      </w:r>
      <w:r>
        <w:rPr>
          <w:rFonts w:cs="Times New Roman" w:eastAsiaTheme="minorEastAsia"/>
          <w:kern w:val="0"/>
          <w:szCs w:val="20"/>
        </w:rPr>
        <w:fldChar w:fldCharType="separate"/>
      </w:r>
      <w:r>
        <w:rPr>
          <w:rFonts w:hint="eastAsia" w:ascii="宋体" w:hAnsi="宋体" w:cs="宋体"/>
          <w:kern w:val="0"/>
          <w:szCs w:val="20"/>
        </w:rPr>
        <w:t>②</w:t>
      </w:r>
      <w:r>
        <w:rPr>
          <w:rFonts w:cs="Times New Roman" w:eastAsiaTheme="minorEastAsia"/>
          <w:kern w:val="0"/>
          <w:szCs w:val="20"/>
        </w:rPr>
        <w:fldChar w:fldCharType="end"/>
      </w:r>
      <w:r>
        <w:rPr>
          <w:rFonts w:cs="Times New Roman" w:eastAsiaTheme="minorEastAsia"/>
          <w:kern w:val="0"/>
          <w:szCs w:val="20"/>
        </w:rPr>
        <w:t>植被类型</w:t>
      </w:r>
    </w:p>
    <w:p>
      <w:pPr>
        <w:tabs>
          <w:tab w:val="right" w:leader="dot" w:pos="8302"/>
        </w:tabs>
        <w:ind w:firstLine="480"/>
        <w:rPr>
          <w:rFonts w:cs="Times New Roman" w:eastAsiaTheme="minorEastAsia"/>
          <w:spacing w:val="20"/>
          <w:kern w:val="11"/>
          <w:lang w:val="en-GB"/>
        </w:rPr>
      </w:pPr>
      <w:r>
        <w:rPr>
          <w:rFonts w:cs="Times New Roman" w:eastAsiaTheme="minorEastAsia"/>
          <w:kern w:val="0"/>
          <w:szCs w:val="20"/>
        </w:rPr>
        <w:t>按照《中国植被》(1980年)，并参考《新疆植被及其利用》（1978年）的植被分类原则及系统，根据野外调查成果，评价区分布自然植被型组3种，植被型3种，群系4种。</w:t>
      </w:r>
      <w:r>
        <w:rPr>
          <w:rFonts w:cs="Times New Roman" w:eastAsiaTheme="minorEastAsia"/>
          <w:bCs/>
        </w:rPr>
        <w:t>具体见表4.2-12</w:t>
      </w:r>
      <w:r>
        <w:rPr>
          <w:rFonts w:cs="Times New Roman" w:eastAsiaTheme="minorEastAsia"/>
          <w:spacing w:val="20"/>
          <w:kern w:val="11"/>
          <w:lang w:val="en-GB"/>
        </w:rPr>
        <w:t>。</w:t>
      </w:r>
    </w:p>
    <w:p>
      <w:pPr>
        <w:pStyle w:val="137"/>
        <w:spacing w:before="62"/>
      </w:pPr>
      <w:r>
        <w:t>表4.2-12                  工程调查范围自然植被分类系统</w:t>
      </w:r>
    </w:p>
    <w:tbl>
      <w:tblPr>
        <w:tblStyle w:val="40"/>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053"/>
        <w:gridCol w:w="3070"/>
        <w:gridCol w:w="50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1" w:hRule="atLeast"/>
          <w:jc w:val="center"/>
        </w:trPr>
        <w:tc>
          <w:tcPr>
            <w:tcW w:w="577" w:type="pct"/>
            <w:noWrap/>
            <w:vAlign w:val="center"/>
          </w:tcPr>
          <w:p>
            <w:pPr>
              <w:tabs>
                <w:tab w:val="right" w:leader="dot" w:pos="8302"/>
              </w:tabs>
              <w:spacing w:line="240" w:lineRule="atLeast"/>
              <w:ind w:left="-2" w:leftChars="-1" w:firstLine="0" w:firstLineChars="0"/>
              <w:jc w:val="center"/>
              <w:rPr>
                <w:rFonts w:cs="Times New Roman"/>
                <w:sz w:val="18"/>
                <w:szCs w:val="18"/>
                <w:lang w:bidi="en-US"/>
              </w:rPr>
            </w:pPr>
            <w:r>
              <w:rPr>
                <w:rFonts w:cs="Times New Roman"/>
                <w:sz w:val="18"/>
                <w:szCs w:val="18"/>
                <w:lang w:bidi="en-US"/>
              </w:rPr>
              <w:t>植被型组</w:t>
            </w:r>
          </w:p>
        </w:tc>
        <w:tc>
          <w:tcPr>
            <w:tcW w:w="1682" w:type="pct"/>
            <w:noWrap/>
            <w:vAlign w:val="center"/>
          </w:tcPr>
          <w:p>
            <w:pPr>
              <w:tabs>
                <w:tab w:val="right" w:leader="dot" w:pos="8302"/>
              </w:tabs>
              <w:spacing w:line="240" w:lineRule="atLeast"/>
              <w:ind w:left="-2" w:leftChars="-1" w:firstLine="0" w:firstLineChars="0"/>
              <w:jc w:val="center"/>
              <w:rPr>
                <w:rFonts w:cs="Times New Roman"/>
                <w:sz w:val="18"/>
                <w:szCs w:val="18"/>
                <w:lang w:bidi="en-US"/>
              </w:rPr>
            </w:pPr>
            <w:r>
              <w:rPr>
                <w:rFonts w:cs="Times New Roman"/>
                <w:sz w:val="18"/>
                <w:szCs w:val="18"/>
                <w:lang w:bidi="en-US"/>
              </w:rPr>
              <w:t>植被型</w:t>
            </w:r>
          </w:p>
        </w:tc>
        <w:tc>
          <w:tcPr>
            <w:tcW w:w="2741" w:type="pct"/>
            <w:noWrap/>
            <w:vAlign w:val="center"/>
          </w:tcPr>
          <w:p>
            <w:pPr>
              <w:tabs>
                <w:tab w:val="right" w:leader="dot" w:pos="8302"/>
              </w:tabs>
              <w:spacing w:line="240" w:lineRule="atLeast"/>
              <w:ind w:left="-2" w:leftChars="-1" w:firstLine="0" w:firstLineChars="0"/>
              <w:jc w:val="center"/>
              <w:rPr>
                <w:rFonts w:cs="Times New Roman"/>
                <w:sz w:val="18"/>
                <w:szCs w:val="18"/>
                <w:lang w:bidi="en-US"/>
              </w:rPr>
            </w:pPr>
            <w:r>
              <w:rPr>
                <w:rFonts w:cs="Times New Roman"/>
                <w:sz w:val="18"/>
                <w:szCs w:val="18"/>
                <w:lang w:bidi="en-US"/>
              </w:rPr>
              <w:t>群系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 w:hRule="atLeast"/>
          <w:jc w:val="center"/>
        </w:trPr>
        <w:tc>
          <w:tcPr>
            <w:tcW w:w="577" w:type="pct"/>
            <w:noWrap/>
            <w:vAlign w:val="center"/>
          </w:tcPr>
          <w:p>
            <w:pPr>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灌丛</w:t>
            </w:r>
          </w:p>
        </w:tc>
        <w:tc>
          <w:tcPr>
            <w:tcW w:w="1682" w:type="pct"/>
            <w:noWrap/>
            <w:vAlign w:val="center"/>
          </w:tcPr>
          <w:p>
            <w:pPr>
              <w:tabs>
                <w:tab w:val="right" w:leader="dot" w:pos="8302"/>
              </w:tabs>
              <w:spacing w:line="240" w:lineRule="auto"/>
              <w:ind w:firstLine="0" w:firstLineChars="0"/>
              <w:rPr>
                <w:rFonts w:cs="Times New Roman"/>
                <w:kern w:val="0"/>
                <w:sz w:val="18"/>
                <w:szCs w:val="18"/>
              </w:rPr>
            </w:pPr>
            <w:r>
              <w:rPr>
                <w:rFonts w:cs="Times New Roman"/>
                <w:kern w:val="0"/>
                <w:sz w:val="18"/>
                <w:szCs w:val="18"/>
              </w:rPr>
              <w:t>（1）落叶阔叶灌丛</w:t>
            </w:r>
          </w:p>
        </w:tc>
        <w:tc>
          <w:tcPr>
            <w:tcW w:w="2741" w:type="pct"/>
            <w:noWrap/>
            <w:vAlign w:val="center"/>
          </w:tcPr>
          <w:p>
            <w:pPr>
              <w:widowControl/>
              <w:tabs>
                <w:tab w:val="right" w:leader="dot" w:pos="8302"/>
              </w:tabs>
              <w:spacing w:line="240" w:lineRule="auto"/>
              <w:ind w:firstLine="0" w:firstLineChars="0"/>
              <w:jc w:val="left"/>
              <w:rPr>
                <w:rFonts w:cs="Times New Roman"/>
                <w:kern w:val="0"/>
                <w:sz w:val="18"/>
                <w:szCs w:val="18"/>
              </w:rPr>
            </w:pPr>
            <w:r>
              <w:rPr>
                <w:rFonts w:cs="Times New Roman"/>
                <w:kern w:val="0"/>
                <w:sz w:val="18"/>
                <w:szCs w:val="18"/>
              </w:rPr>
              <w:t>多枝柽柳群系（Form.</w:t>
            </w:r>
            <w:r>
              <w:rPr>
                <w:rFonts w:cs="Times New Roman"/>
              </w:rPr>
              <w:t xml:space="preserve"> </w:t>
            </w:r>
            <w:r>
              <w:rPr>
                <w:rFonts w:cs="Times New Roman"/>
                <w:i/>
                <w:sz w:val="18"/>
                <w:szCs w:val="18"/>
              </w:rPr>
              <w:t>Tamarix ramosissima</w:t>
            </w:r>
            <w:r>
              <w:rPr>
                <w:rFonts w:cs="Times New Roman"/>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 w:hRule="atLeast"/>
          <w:jc w:val="center"/>
        </w:trPr>
        <w:tc>
          <w:tcPr>
            <w:tcW w:w="577" w:type="pct"/>
            <w:noWrap/>
            <w:vAlign w:val="center"/>
          </w:tcPr>
          <w:p>
            <w:pPr>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草原</w:t>
            </w:r>
          </w:p>
        </w:tc>
        <w:tc>
          <w:tcPr>
            <w:tcW w:w="1682" w:type="pct"/>
            <w:noWrap/>
            <w:vAlign w:val="center"/>
          </w:tcPr>
          <w:p>
            <w:pPr>
              <w:tabs>
                <w:tab w:val="right" w:leader="dot" w:pos="8302"/>
              </w:tabs>
              <w:spacing w:line="240" w:lineRule="auto"/>
              <w:ind w:firstLine="0" w:firstLineChars="0"/>
              <w:rPr>
                <w:rFonts w:cs="Times New Roman"/>
                <w:kern w:val="0"/>
                <w:sz w:val="18"/>
                <w:szCs w:val="18"/>
              </w:rPr>
            </w:pPr>
            <w:r>
              <w:rPr>
                <w:rFonts w:cs="Times New Roman"/>
                <w:kern w:val="0"/>
                <w:sz w:val="18"/>
                <w:szCs w:val="18"/>
              </w:rPr>
              <w:t>（2）草甸草原</w:t>
            </w:r>
          </w:p>
        </w:tc>
        <w:tc>
          <w:tcPr>
            <w:tcW w:w="2741" w:type="pct"/>
            <w:noWrap/>
            <w:vAlign w:val="center"/>
          </w:tcPr>
          <w:p>
            <w:pPr>
              <w:widowControl/>
              <w:tabs>
                <w:tab w:val="right" w:leader="dot" w:pos="8302"/>
              </w:tabs>
              <w:spacing w:line="240" w:lineRule="auto"/>
              <w:ind w:firstLine="0" w:firstLineChars="0"/>
              <w:jc w:val="left"/>
              <w:rPr>
                <w:rFonts w:cs="Times New Roman"/>
                <w:sz w:val="18"/>
                <w:szCs w:val="18"/>
              </w:rPr>
            </w:pPr>
            <w:r>
              <w:rPr>
                <w:rFonts w:cs="Times New Roman"/>
                <w:sz w:val="18"/>
                <w:szCs w:val="18"/>
              </w:rPr>
              <w:t>羊茅群系（Form.</w:t>
            </w:r>
            <w:r>
              <w:rPr>
                <w:rFonts w:cs="Times New Roman"/>
              </w:rPr>
              <w:t xml:space="preserve"> </w:t>
            </w:r>
            <w:r>
              <w:rPr>
                <w:rFonts w:cs="Times New Roman"/>
                <w:i/>
                <w:sz w:val="18"/>
                <w:szCs w:val="18"/>
              </w:rPr>
              <w:t>Agropyron cristatum</w:t>
            </w:r>
            <w:r>
              <w:rPr>
                <w:rFonts w:cs="Times New Roman"/>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 w:hRule="atLeast"/>
          <w:jc w:val="center"/>
        </w:trPr>
        <w:tc>
          <w:tcPr>
            <w:tcW w:w="577" w:type="pct"/>
            <w:noWrap/>
            <w:vAlign w:val="center"/>
          </w:tcPr>
          <w:p>
            <w:pPr>
              <w:tabs>
                <w:tab w:val="right" w:leader="dot" w:pos="8302"/>
              </w:tabs>
              <w:spacing w:line="240" w:lineRule="auto"/>
              <w:ind w:firstLine="0" w:firstLineChars="0"/>
              <w:jc w:val="center"/>
              <w:rPr>
                <w:rFonts w:cs="Times New Roman"/>
                <w:kern w:val="0"/>
                <w:sz w:val="18"/>
                <w:szCs w:val="18"/>
              </w:rPr>
            </w:pPr>
          </w:p>
        </w:tc>
        <w:tc>
          <w:tcPr>
            <w:tcW w:w="1682" w:type="pct"/>
            <w:noWrap/>
            <w:vAlign w:val="center"/>
          </w:tcPr>
          <w:p>
            <w:pPr>
              <w:tabs>
                <w:tab w:val="right" w:leader="dot" w:pos="8302"/>
              </w:tabs>
              <w:spacing w:line="240" w:lineRule="auto"/>
              <w:ind w:firstLine="0" w:firstLineChars="0"/>
              <w:rPr>
                <w:rFonts w:cs="Times New Roman"/>
                <w:kern w:val="0"/>
                <w:sz w:val="18"/>
                <w:szCs w:val="18"/>
              </w:rPr>
            </w:pPr>
            <w:r>
              <w:rPr>
                <w:rFonts w:cs="Times New Roman"/>
                <w:kern w:val="0"/>
                <w:sz w:val="18"/>
                <w:szCs w:val="18"/>
              </w:rPr>
              <w:t>（3）荒漠草原</w:t>
            </w:r>
          </w:p>
        </w:tc>
        <w:tc>
          <w:tcPr>
            <w:tcW w:w="2741" w:type="pct"/>
            <w:noWrap/>
            <w:vAlign w:val="center"/>
          </w:tcPr>
          <w:p>
            <w:pPr>
              <w:widowControl/>
              <w:tabs>
                <w:tab w:val="right" w:leader="dot" w:pos="8302"/>
              </w:tabs>
              <w:spacing w:line="240" w:lineRule="auto"/>
              <w:ind w:firstLine="0" w:firstLineChars="0"/>
              <w:jc w:val="left"/>
              <w:rPr>
                <w:rFonts w:cs="Times New Roman"/>
                <w:sz w:val="18"/>
                <w:szCs w:val="18"/>
              </w:rPr>
            </w:pPr>
            <w:r>
              <w:rPr>
                <w:rFonts w:cs="Times New Roman"/>
                <w:sz w:val="18"/>
                <w:szCs w:val="18"/>
              </w:rPr>
              <w:t>驼绒藜群系（Form.</w:t>
            </w:r>
            <w:r>
              <w:rPr>
                <w:rFonts w:cs="Times New Roman"/>
              </w:rPr>
              <w:t xml:space="preserve"> </w:t>
            </w:r>
            <w:r>
              <w:rPr>
                <w:rFonts w:cs="Times New Roman"/>
                <w:i/>
                <w:sz w:val="18"/>
                <w:szCs w:val="18"/>
              </w:rPr>
              <w:t>Ceratoides latens</w:t>
            </w:r>
            <w:r>
              <w:rPr>
                <w:rFonts w:cs="Times New Roman"/>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1" w:hRule="atLeast"/>
          <w:jc w:val="center"/>
        </w:trPr>
        <w:tc>
          <w:tcPr>
            <w:tcW w:w="577" w:type="pct"/>
            <w:vAlign w:val="center"/>
          </w:tcPr>
          <w:p>
            <w:pPr>
              <w:tabs>
                <w:tab w:val="right" w:leader="dot" w:pos="8302"/>
              </w:tabs>
              <w:spacing w:line="240" w:lineRule="atLeast"/>
              <w:ind w:left="-2" w:leftChars="-1" w:firstLine="0" w:firstLineChars="0"/>
              <w:jc w:val="center"/>
              <w:rPr>
                <w:rFonts w:cs="Times New Roman"/>
                <w:sz w:val="18"/>
                <w:szCs w:val="18"/>
                <w:lang w:bidi="en-US"/>
              </w:rPr>
            </w:pPr>
            <w:r>
              <w:rPr>
                <w:rFonts w:cs="Times New Roman"/>
                <w:sz w:val="18"/>
                <w:szCs w:val="18"/>
                <w:lang w:bidi="en-US"/>
              </w:rPr>
              <w:t>荒漠</w:t>
            </w:r>
          </w:p>
        </w:tc>
        <w:tc>
          <w:tcPr>
            <w:tcW w:w="1682" w:type="pct"/>
            <w:vAlign w:val="center"/>
          </w:tcPr>
          <w:p>
            <w:pPr>
              <w:tabs>
                <w:tab w:val="right" w:leader="dot" w:pos="8302"/>
              </w:tabs>
              <w:spacing w:line="240" w:lineRule="auto"/>
              <w:ind w:firstLine="0" w:firstLineChars="0"/>
              <w:rPr>
                <w:rFonts w:cs="Times New Roman"/>
                <w:kern w:val="0"/>
                <w:sz w:val="18"/>
                <w:szCs w:val="18"/>
              </w:rPr>
            </w:pPr>
            <w:r>
              <w:rPr>
                <w:rFonts w:cs="Times New Roman"/>
                <w:kern w:val="0"/>
                <w:sz w:val="18"/>
                <w:szCs w:val="18"/>
              </w:rPr>
              <w:t>（4）温带半灌木、矮半灌木荒漠</w:t>
            </w:r>
          </w:p>
        </w:tc>
        <w:tc>
          <w:tcPr>
            <w:tcW w:w="2741" w:type="pct"/>
            <w:noWrap/>
            <w:vAlign w:val="center"/>
          </w:tcPr>
          <w:p>
            <w:pPr>
              <w:tabs>
                <w:tab w:val="right" w:leader="dot" w:pos="8302"/>
              </w:tabs>
              <w:spacing w:line="240" w:lineRule="atLeast"/>
              <w:ind w:left="-2" w:leftChars="-1" w:firstLine="0" w:firstLineChars="0"/>
              <w:jc w:val="left"/>
              <w:rPr>
                <w:rFonts w:cs="Times New Roman"/>
                <w:sz w:val="18"/>
                <w:szCs w:val="18"/>
                <w:lang w:bidi="en-US"/>
              </w:rPr>
            </w:pPr>
            <w:r>
              <w:rPr>
                <w:rFonts w:cs="Times New Roman"/>
                <w:kern w:val="0"/>
                <w:sz w:val="18"/>
                <w:szCs w:val="18"/>
              </w:rPr>
              <w:t>合头草群系（Form.</w:t>
            </w:r>
            <w:r>
              <w:rPr>
                <w:rFonts w:cs="Times New Roman"/>
                <w:sz w:val="21"/>
              </w:rPr>
              <w:t xml:space="preserve"> </w:t>
            </w:r>
            <w:r>
              <w:rPr>
                <w:rFonts w:cs="Times New Roman"/>
                <w:i/>
                <w:iCs/>
                <w:kern w:val="0"/>
                <w:sz w:val="18"/>
                <w:szCs w:val="18"/>
              </w:rPr>
              <w:t>Sympegma regelii</w:t>
            </w:r>
            <w:r>
              <w:rPr>
                <w:rFonts w:cs="Times New Roman"/>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1" w:hRule="atLeast"/>
          <w:jc w:val="center"/>
        </w:trPr>
        <w:tc>
          <w:tcPr>
            <w:tcW w:w="577" w:type="pct"/>
            <w:vAlign w:val="center"/>
          </w:tcPr>
          <w:p>
            <w:pPr>
              <w:tabs>
                <w:tab w:val="right" w:leader="dot" w:pos="8302"/>
              </w:tabs>
              <w:spacing w:line="240" w:lineRule="atLeast"/>
              <w:ind w:left="-2" w:leftChars="-1" w:firstLine="0" w:firstLineChars="0"/>
              <w:jc w:val="center"/>
              <w:rPr>
                <w:rFonts w:cs="Times New Roman"/>
                <w:sz w:val="18"/>
                <w:szCs w:val="18"/>
                <w:lang w:bidi="en-US"/>
              </w:rPr>
            </w:pPr>
          </w:p>
        </w:tc>
        <w:tc>
          <w:tcPr>
            <w:tcW w:w="1682" w:type="pct"/>
            <w:vAlign w:val="center"/>
          </w:tcPr>
          <w:p>
            <w:pPr>
              <w:tabs>
                <w:tab w:val="right" w:leader="dot" w:pos="8302"/>
              </w:tabs>
              <w:spacing w:line="240" w:lineRule="auto"/>
              <w:ind w:firstLine="0" w:firstLineChars="0"/>
              <w:rPr>
                <w:rFonts w:cs="Times New Roman"/>
                <w:kern w:val="0"/>
                <w:sz w:val="18"/>
                <w:szCs w:val="18"/>
              </w:rPr>
            </w:pPr>
            <w:r>
              <w:rPr>
                <w:rFonts w:cs="Times New Roman"/>
                <w:kern w:val="0"/>
                <w:sz w:val="18"/>
                <w:szCs w:val="18"/>
              </w:rPr>
              <w:t>（4）温带灌木荒漠</w:t>
            </w:r>
          </w:p>
        </w:tc>
        <w:tc>
          <w:tcPr>
            <w:tcW w:w="2741" w:type="pct"/>
            <w:noWrap/>
            <w:vAlign w:val="center"/>
          </w:tcPr>
          <w:p>
            <w:pPr>
              <w:tabs>
                <w:tab w:val="right" w:leader="dot" w:pos="8302"/>
              </w:tabs>
              <w:spacing w:line="240" w:lineRule="atLeast"/>
              <w:ind w:left="-2" w:leftChars="-1" w:firstLine="0" w:firstLineChars="0"/>
              <w:jc w:val="left"/>
              <w:rPr>
                <w:rFonts w:cs="Times New Roman"/>
                <w:kern w:val="0"/>
                <w:sz w:val="18"/>
                <w:szCs w:val="18"/>
              </w:rPr>
            </w:pPr>
            <w:r>
              <w:rPr>
                <w:rFonts w:cs="Times New Roman"/>
                <w:kern w:val="0"/>
                <w:sz w:val="18"/>
                <w:szCs w:val="18"/>
              </w:rPr>
              <w:t>膜果麻黄群系（Form.</w:t>
            </w:r>
            <w:r>
              <w:rPr>
                <w:rFonts w:cs="Times New Roman"/>
                <w:sz w:val="21"/>
              </w:rPr>
              <w:t xml:space="preserve"> </w:t>
            </w:r>
            <w:r>
              <w:rPr>
                <w:rFonts w:cs="Times New Roman"/>
                <w:i/>
                <w:iCs/>
                <w:kern w:val="0"/>
                <w:sz w:val="18"/>
                <w:szCs w:val="18"/>
              </w:rPr>
              <w:t>Ephedra przewalskii</w:t>
            </w:r>
            <w:r>
              <w:rPr>
                <w:rFonts w:cs="Times New Roman"/>
                <w:kern w:val="0"/>
                <w:sz w:val="18"/>
                <w:szCs w:val="18"/>
              </w:rPr>
              <w:t>）</w:t>
            </w:r>
          </w:p>
        </w:tc>
      </w:tr>
    </w:tbl>
    <w:p>
      <w:pPr>
        <w:tabs>
          <w:tab w:val="right" w:leader="dot" w:pos="8302"/>
        </w:tabs>
        <w:autoSpaceDE w:val="0"/>
        <w:autoSpaceDN w:val="0"/>
        <w:adjustRightInd w:val="0"/>
        <w:snapToGrid w:val="0"/>
        <w:spacing w:line="240" w:lineRule="auto"/>
        <w:ind w:firstLine="420"/>
        <w:textAlignment w:val="baseline"/>
        <w:rPr>
          <w:rFonts w:cs="Times New Roman"/>
          <w:kern w:val="0"/>
          <w:sz w:val="21"/>
          <w:szCs w:val="21"/>
        </w:rPr>
      </w:pPr>
    </w:p>
    <w:p>
      <w:pPr>
        <w:tabs>
          <w:tab w:val="right" w:leader="dot" w:pos="8302"/>
        </w:tabs>
        <w:ind w:firstLine="480"/>
        <w:rPr>
          <w:rFonts w:cs="Times New Roman" w:eastAsiaTheme="minorEastAsia"/>
        </w:rPr>
      </w:pPr>
      <w:r>
        <w:rPr>
          <w:rFonts w:cs="Times New Roman" w:eastAsiaTheme="minorEastAsia"/>
        </w:rPr>
        <w:fldChar w:fldCharType="begin"/>
      </w:r>
      <w:r>
        <w:rPr>
          <w:rFonts w:cs="Times New Roman" w:eastAsiaTheme="minorEastAsia"/>
        </w:rPr>
        <w:instrText xml:space="preserve"> = 1 \* ROMAN </w:instrText>
      </w:r>
      <w:r>
        <w:rPr>
          <w:rFonts w:cs="Times New Roman" w:eastAsiaTheme="minorEastAsia"/>
        </w:rPr>
        <w:fldChar w:fldCharType="separate"/>
      </w:r>
      <w:r>
        <w:rPr>
          <w:rFonts w:cs="Times New Roman" w:eastAsiaTheme="minorEastAsia"/>
        </w:rPr>
        <w:t>I</w:t>
      </w:r>
      <w:r>
        <w:rPr>
          <w:rFonts w:cs="Times New Roman" w:eastAsiaTheme="minorEastAsia"/>
        </w:rPr>
        <w:fldChar w:fldCharType="end"/>
      </w:r>
      <w:r>
        <w:rPr>
          <w:rFonts w:cs="Times New Roman" w:eastAsiaTheme="minorEastAsia"/>
        </w:rPr>
        <w:t>.灌丛</w:t>
      </w:r>
    </w:p>
    <w:p>
      <w:pPr>
        <w:tabs>
          <w:tab w:val="right" w:leader="dot" w:pos="8302"/>
        </w:tabs>
        <w:ind w:firstLine="480"/>
        <w:rPr>
          <w:rFonts w:cs="Times New Roman" w:eastAsiaTheme="minorEastAsia"/>
        </w:rPr>
      </w:pPr>
      <w:r>
        <w:rPr>
          <w:rFonts w:cs="Times New Roman" w:eastAsiaTheme="minorEastAsia"/>
        </w:rPr>
        <w:t>工程生态评价区范围分布的灌丛为落叶阔叶灌丛，主要由多枝柽柳群系（Form.</w:t>
      </w:r>
      <w:r>
        <w:rPr>
          <w:rFonts w:cs="Times New Roman" w:eastAsiaTheme="minorEastAsia"/>
          <w:i/>
        </w:rPr>
        <w:t>Tamarix</w:t>
      </w:r>
      <w:r>
        <w:rPr>
          <w:rFonts w:cs="Times New Roman" w:eastAsiaTheme="minorEastAsia"/>
        </w:rPr>
        <w:t xml:space="preserve"> spp.）构成。</w:t>
      </w:r>
    </w:p>
    <w:p>
      <w:pPr>
        <w:tabs>
          <w:tab w:val="right" w:leader="dot" w:pos="8302"/>
        </w:tabs>
        <w:ind w:firstLine="480"/>
        <w:rPr>
          <w:rFonts w:cs="Times New Roman" w:eastAsiaTheme="minorEastAsia"/>
        </w:rPr>
      </w:pPr>
      <w:r>
        <w:rPr>
          <w:rFonts w:cs="Times New Roman" w:eastAsiaTheme="minorEastAsia"/>
        </w:rPr>
        <w:t xml:space="preserve">柽柳群系（Form. </w:t>
      </w:r>
      <w:r>
        <w:rPr>
          <w:rFonts w:cs="Times New Roman" w:eastAsiaTheme="minorEastAsia"/>
          <w:i/>
        </w:rPr>
        <w:t>Tamarix ramosissima</w:t>
      </w:r>
      <w:r>
        <w:rPr>
          <w:rFonts w:cs="Times New Roman" w:eastAsiaTheme="minorEastAsia"/>
        </w:rPr>
        <w:t>）:主要分布于工程影响河段下游下马崖水库库周区域。主要建群种为多枝柽柳，株高1～1.5m不等，主要伴生植物有芨芨草、苦马豆、骆驼刺、大蓟等，郁闭度0.5左右。工程淹没、占地范围内无该类型植被分布。</w:t>
      </w:r>
    </w:p>
    <w:p>
      <w:pPr>
        <w:tabs>
          <w:tab w:val="right" w:leader="dot" w:pos="8302"/>
        </w:tabs>
        <w:ind w:firstLine="480"/>
        <w:rPr>
          <w:rFonts w:cs="Times New Roman" w:eastAsiaTheme="minorEastAsia"/>
        </w:rPr>
      </w:pPr>
      <w:r>
        <w:rPr>
          <w:rFonts w:cs="Times New Roman" w:eastAsiaTheme="minorEastAsia"/>
        </w:rPr>
        <w:fldChar w:fldCharType="begin"/>
      </w:r>
      <w:r>
        <w:rPr>
          <w:rFonts w:cs="Times New Roman" w:eastAsiaTheme="minorEastAsia"/>
        </w:rPr>
        <w:instrText xml:space="preserve"> = 2 \* ROMAN </w:instrText>
      </w:r>
      <w:r>
        <w:rPr>
          <w:rFonts w:cs="Times New Roman" w:eastAsiaTheme="minorEastAsia"/>
        </w:rPr>
        <w:fldChar w:fldCharType="separate"/>
      </w:r>
      <w:r>
        <w:rPr>
          <w:rFonts w:cs="Times New Roman" w:eastAsiaTheme="minorEastAsia"/>
        </w:rPr>
        <w:t>II</w:t>
      </w:r>
      <w:r>
        <w:rPr>
          <w:rFonts w:cs="Times New Roman" w:eastAsiaTheme="minorEastAsia"/>
        </w:rPr>
        <w:fldChar w:fldCharType="end"/>
      </w:r>
      <w:r>
        <w:rPr>
          <w:rFonts w:cs="Times New Roman" w:eastAsiaTheme="minorEastAsia"/>
        </w:rPr>
        <w:t>.草原</w:t>
      </w:r>
    </w:p>
    <w:p>
      <w:pPr>
        <w:tabs>
          <w:tab w:val="right" w:leader="dot" w:pos="8302"/>
        </w:tabs>
        <w:ind w:firstLine="480"/>
        <w:rPr>
          <w:rFonts w:cs="Times New Roman" w:eastAsiaTheme="minorEastAsia"/>
          <w:kern w:val="0"/>
        </w:rPr>
      </w:pPr>
      <w:r>
        <w:rPr>
          <w:rFonts w:cs="Times New Roman" w:eastAsiaTheme="minorEastAsia"/>
        </w:rPr>
        <w:t>调查区草原为主要由</w:t>
      </w:r>
      <w:r>
        <w:rPr>
          <w:rFonts w:cs="Times New Roman" w:eastAsiaTheme="minorEastAsia"/>
          <w:kern w:val="0"/>
        </w:rPr>
        <w:t>羊茅群系（Form.</w:t>
      </w:r>
      <w:r>
        <w:rPr>
          <w:rFonts w:cs="Times New Roman" w:eastAsiaTheme="minorEastAsia"/>
          <w:i/>
          <w:iCs/>
          <w:kern w:val="0"/>
        </w:rPr>
        <w:t xml:space="preserve"> Agropyron cristatum</w:t>
      </w:r>
      <w:r>
        <w:rPr>
          <w:rFonts w:cs="Times New Roman" w:eastAsiaTheme="minorEastAsia"/>
          <w:kern w:val="0"/>
        </w:rPr>
        <w:t xml:space="preserve">）和驼绒藜群系（Form. </w:t>
      </w:r>
      <w:r>
        <w:rPr>
          <w:rFonts w:cs="Times New Roman" w:eastAsiaTheme="minorEastAsia"/>
          <w:i/>
          <w:iCs/>
          <w:kern w:val="0"/>
        </w:rPr>
        <w:t>Ceratoides latens</w:t>
      </w:r>
      <w:r>
        <w:rPr>
          <w:rFonts w:cs="Times New Roman" w:eastAsiaTheme="minorEastAsia"/>
          <w:kern w:val="0"/>
        </w:rPr>
        <w:t>）构成</w:t>
      </w:r>
      <w:r>
        <w:rPr>
          <w:rFonts w:cs="Times New Roman" w:eastAsiaTheme="minorEastAsia"/>
          <w:kern w:val="0"/>
          <w:lang w:val="de-DE"/>
        </w:rPr>
        <w:t>。</w:t>
      </w:r>
    </w:p>
    <w:p>
      <w:pPr>
        <w:tabs>
          <w:tab w:val="right" w:leader="dot" w:pos="8302"/>
        </w:tabs>
        <w:ind w:firstLine="480"/>
        <w:rPr>
          <w:rFonts w:cs="Times New Roman" w:eastAsiaTheme="minorEastAsia"/>
          <w:kern w:val="0"/>
        </w:rPr>
      </w:pPr>
      <w:r>
        <w:rPr>
          <w:rFonts w:cs="Times New Roman" w:eastAsiaTheme="minorEastAsia"/>
          <w:kern w:val="0"/>
        </w:rPr>
        <w:t>羊茅群系（Form.</w:t>
      </w:r>
      <w:r>
        <w:rPr>
          <w:rFonts w:cs="Times New Roman" w:eastAsiaTheme="minorEastAsia"/>
          <w:i/>
          <w:iCs/>
          <w:kern w:val="0"/>
        </w:rPr>
        <w:t xml:space="preserve"> Agropyron cristatum</w:t>
      </w:r>
      <w:r>
        <w:rPr>
          <w:rFonts w:cs="Times New Roman" w:eastAsiaTheme="minorEastAsia"/>
          <w:kern w:val="0"/>
        </w:rPr>
        <w:t>）</w:t>
      </w:r>
      <w:r>
        <w:rPr>
          <w:rFonts w:cs="Times New Roman" w:eastAsiaTheme="minorEastAsia"/>
        </w:rPr>
        <w:t>：一般分布在1800～2200m的中低山带，建群种有羊茅和绢蒿，伴生植物主要有车前草、芨芨草、冰草、冷蒿、早熟禾、骆驼刺、麻叶荨麻、白刺、柠条锦鸡儿、小蓬等，群落</w:t>
      </w:r>
      <w:r>
        <w:rPr>
          <w:rFonts w:hint="eastAsia" w:cs="Times New Roman" w:eastAsiaTheme="minorEastAsia"/>
          <w:lang w:eastAsia="zh-CN"/>
        </w:rPr>
        <w:t>植盖度</w:t>
      </w:r>
      <w:r>
        <w:rPr>
          <w:rFonts w:cs="Times New Roman" w:eastAsiaTheme="minorEastAsia"/>
        </w:rPr>
        <w:t>10～30%。羊茅群系是</w:t>
      </w:r>
      <w:r>
        <w:rPr>
          <w:rFonts w:cs="Times New Roman" w:eastAsiaTheme="minorEastAsia"/>
          <w:kern w:val="0"/>
        </w:rPr>
        <w:t>工程淹没、占地区分布的主要植被类型。</w:t>
      </w:r>
    </w:p>
    <w:p>
      <w:pPr>
        <w:tabs>
          <w:tab w:val="right" w:leader="dot" w:pos="8302"/>
        </w:tabs>
        <w:ind w:firstLine="480"/>
        <w:rPr>
          <w:rFonts w:cs="Times New Roman" w:eastAsiaTheme="minorEastAsia"/>
        </w:rPr>
      </w:pPr>
      <w:r>
        <w:rPr>
          <w:rFonts w:cs="Times New Roman" w:eastAsiaTheme="minorEastAsia"/>
          <w:kern w:val="0"/>
        </w:rPr>
        <w:t xml:space="preserve">驼绒藜群系（Form. </w:t>
      </w:r>
      <w:r>
        <w:rPr>
          <w:rFonts w:cs="Times New Roman" w:eastAsiaTheme="minorEastAsia"/>
          <w:i/>
          <w:iCs/>
          <w:kern w:val="0"/>
        </w:rPr>
        <w:t>Ceratoides latens</w:t>
      </w:r>
      <w:r>
        <w:rPr>
          <w:rFonts w:cs="Times New Roman" w:eastAsiaTheme="minorEastAsia"/>
          <w:kern w:val="0"/>
        </w:rPr>
        <w:t>）</w:t>
      </w:r>
      <w:r>
        <w:rPr>
          <w:rFonts w:cs="Times New Roman" w:eastAsiaTheme="minorEastAsia"/>
        </w:rPr>
        <w:t>：一般分布在荒漠区低山草原带下部，建群种有驼绒藜，伴生植物主要有鹅观草、短叶假木贼、地肤、沙生针茅、膜果麻黄等，群落</w:t>
      </w:r>
      <w:r>
        <w:rPr>
          <w:rFonts w:hint="eastAsia" w:cs="Times New Roman" w:eastAsiaTheme="minorEastAsia"/>
          <w:lang w:eastAsia="zh-CN"/>
        </w:rPr>
        <w:t>植盖度</w:t>
      </w:r>
      <w:r>
        <w:rPr>
          <w:rFonts w:cs="Times New Roman" w:eastAsiaTheme="minorEastAsia"/>
        </w:rPr>
        <w:t>10～25%。驼绒藜群系是</w:t>
      </w:r>
      <w:r>
        <w:rPr>
          <w:rFonts w:cs="Times New Roman" w:eastAsiaTheme="minorEastAsia"/>
          <w:kern w:val="0"/>
        </w:rPr>
        <w:t>工程施工生产生活区、弃渣场、料场区分布的主要植被类型。</w:t>
      </w:r>
    </w:p>
    <w:p>
      <w:pPr>
        <w:tabs>
          <w:tab w:val="right" w:leader="dot" w:pos="8302"/>
        </w:tabs>
        <w:ind w:firstLine="480"/>
        <w:rPr>
          <w:rFonts w:cs="Times New Roman" w:eastAsiaTheme="minorEastAsia"/>
          <w:lang w:val="pt-BR"/>
        </w:rPr>
      </w:pPr>
      <w:r>
        <w:rPr>
          <w:rFonts w:cs="Times New Roman" w:eastAsiaTheme="minorEastAsia"/>
          <w:lang w:val="pt-BR"/>
        </w:rPr>
        <w:fldChar w:fldCharType="begin"/>
      </w:r>
      <w:r>
        <w:rPr>
          <w:rFonts w:cs="Times New Roman" w:eastAsiaTheme="minorEastAsia"/>
          <w:lang w:val="pt-BR"/>
        </w:rPr>
        <w:instrText xml:space="preserve"> = 3 \* ROMAN </w:instrText>
      </w:r>
      <w:r>
        <w:rPr>
          <w:rFonts w:cs="Times New Roman" w:eastAsiaTheme="minorEastAsia"/>
          <w:lang w:val="pt-BR"/>
        </w:rPr>
        <w:fldChar w:fldCharType="separate"/>
      </w:r>
      <w:r>
        <w:rPr>
          <w:rFonts w:cs="Times New Roman" w:eastAsiaTheme="minorEastAsia"/>
          <w:lang w:val="pt-BR"/>
        </w:rPr>
        <w:t>III</w:t>
      </w:r>
      <w:r>
        <w:rPr>
          <w:rFonts w:cs="Times New Roman" w:eastAsiaTheme="minorEastAsia"/>
          <w:lang w:val="pt-BR"/>
        </w:rPr>
        <w:fldChar w:fldCharType="end"/>
      </w:r>
      <w:r>
        <w:rPr>
          <w:rFonts w:cs="Times New Roman" w:eastAsiaTheme="minorEastAsia"/>
          <w:lang w:val="pt-BR"/>
        </w:rPr>
        <w:t>.</w:t>
      </w:r>
      <w:r>
        <w:rPr>
          <w:rFonts w:cs="Times New Roman" w:eastAsiaTheme="minorEastAsia"/>
        </w:rPr>
        <w:t>荒漠</w:t>
      </w:r>
    </w:p>
    <w:p>
      <w:pPr>
        <w:tabs>
          <w:tab w:val="right" w:leader="dot" w:pos="8302"/>
        </w:tabs>
        <w:ind w:firstLine="480"/>
        <w:rPr>
          <w:rFonts w:cs="Times New Roman" w:eastAsiaTheme="minorEastAsia"/>
          <w:lang w:val="de-DE"/>
        </w:rPr>
      </w:pPr>
      <w:r>
        <w:rPr>
          <w:rFonts w:cs="Times New Roman" w:eastAsiaTheme="minorEastAsia"/>
        </w:rPr>
        <w:t>调查区荒漠植被主要有合头草群系</w:t>
      </w:r>
      <w:r>
        <w:rPr>
          <w:rFonts w:cs="Times New Roman" w:eastAsiaTheme="minorEastAsia"/>
          <w:lang w:val="de-DE"/>
        </w:rPr>
        <w:t>（Form.</w:t>
      </w:r>
      <w:r>
        <w:rPr>
          <w:rFonts w:cs="Times New Roman" w:eastAsiaTheme="minorEastAsia"/>
          <w:i/>
          <w:lang w:val="de-DE"/>
        </w:rPr>
        <w:t xml:space="preserve"> Reaumuria soongarica</w:t>
      </w:r>
      <w:r>
        <w:rPr>
          <w:rFonts w:cs="Times New Roman" w:eastAsiaTheme="minorEastAsia"/>
          <w:lang w:val="de-DE"/>
        </w:rPr>
        <w:t xml:space="preserve">）和膜果麻黄群系（Form. </w:t>
      </w:r>
      <w:r>
        <w:rPr>
          <w:rFonts w:cs="Times New Roman" w:eastAsiaTheme="minorEastAsia"/>
          <w:i/>
          <w:iCs/>
          <w:lang w:val="de-DE"/>
        </w:rPr>
        <w:t>Agropyron cristatum</w:t>
      </w:r>
      <w:r>
        <w:rPr>
          <w:rFonts w:cs="Times New Roman" w:eastAsiaTheme="minorEastAsia"/>
          <w:lang w:val="de-DE"/>
        </w:rPr>
        <w:t>）两种</w:t>
      </w:r>
      <w:r>
        <w:rPr>
          <w:rFonts w:cs="Times New Roman" w:eastAsiaTheme="minorEastAsia"/>
        </w:rPr>
        <w:t>。</w:t>
      </w:r>
    </w:p>
    <w:p>
      <w:pPr>
        <w:tabs>
          <w:tab w:val="right" w:leader="dot" w:pos="8302"/>
        </w:tabs>
        <w:ind w:firstLine="480"/>
        <w:rPr>
          <w:rFonts w:cs="Times New Roman" w:eastAsiaTheme="minorEastAsia"/>
          <w:lang w:val="de-DE"/>
        </w:rPr>
      </w:pPr>
      <w:r>
        <w:rPr>
          <w:rFonts w:cs="Times New Roman" w:eastAsiaTheme="minorEastAsia"/>
        </w:rPr>
        <w:t>合头草群系</w:t>
      </w:r>
      <w:r>
        <w:rPr>
          <w:rFonts w:cs="Times New Roman" w:eastAsiaTheme="minorEastAsia"/>
          <w:lang w:val="de-DE"/>
        </w:rPr>
        <w:t>（Form.</w:t>
      </w:r>
      <w:r>
        <w:rPr>
          <w:rFonts w:cs="Times New Roman" w:eastAsiaTheme="minorEastAsia"/>
          <w:i/>
          <w:iCs/>
          <w:lang w:val="de-DE"/>
        </w:rPr>
        <w:t xml:space="preserve"> Reaumuria soongarica</w:t>
      </w:r>
      <w:r>
        <w:rPr>
          <w:rFonts w:cs="Times New Roman" w:eastAsiaTheme="minorEastAsia"/>
          <w:lang w:val="de-DE"/>
        </w:rPr>
        <w:t>）</w:t>
      </w:r>
      <w:r>
        <w:rPr>
          <w:rFonts w:cs="Times New Roman" w:eastAsiaTheme="minorEastAsia"/>
        </w:rPr>
        <w:t>。本群系</w:t>
      </w:r>
      <w:r>
        <w:rPr>
          <w:rFonts w:cs="Times New Roman" w:eastAsiaTheme="minorEastAsia"/>
          <w:lang w:val="de-DE"/>
        </w:rPr>
        <w:t>广泛分布于出山口以下工程影响河段两岸冲洪积平原区上部，以合头草为建群种，伴生有猪毛菜、短叶假木贼、琵琶柴、骆驼蓬、霸王、</w:t>
      </w:r>
      <w:r>
        <w:rPr>
          <w:rFonts w:cs="Times New Roman" w:eastAsiaTheme="minorEastAsia"/>
        </w:rPr>
        <w:t>盐爪爪、白刺</w:t>
      </w:r>
      <w:r>
        <w:rPr>
          <w:rFonts w:cs="Times New Roman" w:eastAsiaTheme="minorEastAsia"/>
          <w:lang w:val="de-DE"/>
        </w:rPr>
        <w:t>等，群落种类组成十分贫乏，群落</w:t>
      </w:r>
      <w:r>
        <w:rPr>
          <w:rFonts w:hint="eastAsia" w:cs="Times New Roman" w:eastAsiaTheme="minorEastAsia"/>
          <w:lang w:val="de-DE" w:eastAsia="zh-CN"/>
        </w:rPr>
        <w:t>植盖度</w:t>
      </w:r>
      <w:r>
        <w:rPr>
          <w:rFonts w:cs="Times New Roman" w:eastAsiaTheme="minorEastAsia"/>
          <w:lang w:val="de-DE"/>
        </w:rPr>
        <w:t>5%~10%。</w:t>
      </w:r>
    </w:p>
    <w:p>
      <w:pPr>
        <w:tabs>
          <w:tab w:val="right" w:leader="dot" w:pos="8302"/>
        </w:tabs>
        <w:ind w:firstLine="480"/>
        <w:rPr>
          <w:rFonts w:cs="Times New Roman" w:eastAsiaTheme="minorEastAsia"/>
          <w:lang w:val="de-DE"/>
        </w:rPr>
      </w:pPr>
      <w:r>
        <w:rPr>
          <w:rFonts w:cs="Times New Roman" w:eastAsiaTheme="minorEastAsia"/>
        </w:rPr>
        <w:t>膜果麻黄群系（Form.</w:t>
      </w:r>
      <w:r>
        <w:rPr>
          <w:rFonts w:cs="Times New Roman" w:eastAsiaTheme="minorEastAsia"/>
          <w:i/>
          <w:iCs/>
        </w:rPr>
        <w:t xml:space="preserve"> Ephedra przewalskii</w:t>
      </w:r>
      <w:r>
        <w:rPr>
          <w:rFonts w:cs="Times New Roman" w:eastAsiaTheme="minorEastAsia"/>
        </w:rPr>
        <w:t>）。本群系</w:t>
      </w:r>
      <w:r>
        <w:rPr>
          <w:rFonts w:cs="Times New Roman" w:eastAsiaTheme="minorEastAsia"/>
          <w:lang w:val="de-DE"/>
        </w:rPr>
        <w:t>广泛分布于出山口以下工程影响河段两岸冲洪积平原区下部，以膜果麻黄为建群种，伴生有戈壁藜、盐生草、霸王、中麻黄、合头草等，群落种类组成十分贫乏，群落</w:t>
      </w:r>
      <w:r>
        <w:rPr>
          <w:rFonts w:hint="eastAsia" w:cs="Times New Roman" w:eastAsiaTheme="minorEastAsia"/>
          <w:lang w:val="de-DE" w:eastAsia="zh-CN"/>
        </w:rPr>
        <w:t>植盖度</w:t>
      </w:r>
      <w:r>
        <w:rPr>
          <w:rFonts w:cs="Times New Roman" w:eastAsiaTheme="minorEastAsia"/>
          <w:lang w:val="de-DE"/>
        </w:rPr>
        <w:t>5%~10%。该群系内分布有自治区II级保护植物中麻黄。</w:t>
      </w:r>
    </w:p>
    <w:p>
      <w:pPr>
        <w:tabs>
          <w:tab w:val="right" w:leader="dot" w:pos="8302"/>
        </w:tabs>
        <w:ind w:firstLine="480"/>
        <w:rPr>
          <w:rFonts w:cs="Times New Roman" w:eastAsiaTheme="minorEastAsia"/>
          <w:lang w:val="de-DE"/>
        </w:rPr>
      </w:pPr>
      <w:r>
        <w:rPr>
          <w:rFonts w:cs="Times New Roman" w:eastAsiaTheme="minorEastAsia"/>
          <w:lang w:val="de-DE"/>
        </w:rPr>
        <w:t>经调查，规划工程淹没、占地及临时占地区域无荒漠植被分布。</w:t>
      </w:r>
    </w:p>
    <w:p>
      <w:pPr>
        <w:tabs>
          <w:tab w:val="right" w:leader="dot" w:pos="8302"/>
        </w:tabs>
        <w:autoSpaceDE w:val="0"/>
        <w:autoSpaceDN w:val="0"/>
        <w:ind w:firstLine="480"/>
        <w:textAlignment w:val="baseline"/>
        <w:rPr>
          <w:rFonts w:cs="Times New Roman" w:eastAsiaTheme="minorEastAsia"/>
          <w:bCs/>
          <w:kern w:val="0"/>
        </w:rPr>
      </w:pPr>
      <w:bookmarkStart w:id="81" w:name="_Hlk181289885"/>
      <w:r>
        <w:rPr>
          <w:rFonts w:cs="Times New Roman" w:eastAsiaTheme="minorEastAsia"/>
          <w:bCs/>
          <w:kern w:val="0"/>
        </w:rPr>
        <w:fldChar w:fldCharType="begin"/>
      </w:r>
      <w:r>
        <w:rPr>
          <w:rFonts w:cs="Times New Roman" w:eastAsiaTheme="minorEastAsia"/>
          <w:bCs/>
          <w:kern w:val="0"/>
        </w:rPr>
        <w:instrText xml:space="preserve"> = 3 \* GB3 </w:instrText>
      </w:r>
      <w:r>
        <w:rPr>
          <w:rFonts w:cs="Times New Roman" w:eastAsiaTheme="minorEastAsia"/>
          <w:bCs/>
          <w:kern w:val="0"/>
        </w:rPr>
        <w:fldChar w:fldCharType="separate"/>
      </w:r>
      <w:r>
        <w:rPr>
          <w:rFonts w:hint="eastAsia" w:ascii="宋体" w:hAnsi="宋体" w:cs="宋体"/>
          <w:bCs/>
          <w:kern w:val="0"/>
        </w:rPr>
        <w:t>③</w:t>
      </w:r>
      <w:r>
        <w:rPr>
          <w:rFonts w:cs="Times New Roman" w:eastAsiaTheme="minorEastAsia"/>
          <w:bCs/>
          <w:kern w:val="0"/>
        </w:rPr>
        <w:fldChar w:fldCharType="end"/>
      </w:r>
      <w:r>
        <w:rPr>
          <w:rFonts w:cs="Times New Roman" w:eastAsiaTheme="minorEastAsia"/>
          <w:bCs/>
          <w:kern w:val="0"/>
        </w:rPr>
        <w:t>工程占地区陆生植被调查</w:t>
      </w:r>
    </w:p>
    <w:p>
      <w:pPr>
        <w:tabs>
          <w:tab w:val="right" w:leader="dot" w:pos="8302"/>
        </w:tabs>
        <w:autoSpaceDE w:val="0"/>
        <w:autoSpaceDN w:val="0"/>
        <w:ind w:firstLine="480"/>
        <w:textAlignment w:val="baseline"/>
        <w:rPr>
          <w:rFonts w:cs="Times New Roman" w:eastAsiaTheme="minorEastAsia"/>
          <w:bCs/>
          <w:kern w:val="0"/>
        </w:rPr>
      </w:pPr>
      <w:r>
        <w:rPr>
          <w:rFonts w:cs="Times New Roman" w:eastAsiaTheme="minorEastAsia"/>
          <w:bCs/>
          <w:kern w:val="0"/>
        </w:rPr>
        <w:t>I.枢纽及淹没区</w:t>
      </w:r>
    </w:p>
    <w:p>
      <w:pPr>
        <w:tabs>
          <w:tab w:val="right" w:leader="dot" w:pos="8302"/>
        </w:tabs>
        <w:autoSpaceDE w:val="0"/>
        <w:autoSpaceDN w:val="0"/>
        <w:ind w:firstLine="480"/>
        <w:textAlignment w:val="baseline"/>
        <w:rPr>
          <w:rFonts w:cs="Times New Roman" w:eastAsiaTheme="minorEastAsia"/>
          <w:bCs/>
          <w:kern w:val="0"/>
        </w:rPr>
      </w:pPr>
      <w:r>
        <w:rPr>
          <w:rFonts w:cs="Times New Roman" w:eastAsiaTheme="minorEastAsia"/>
          <w:kern w:val="0"/>
          <w:szCs w:val="20"/>
        </w:rPr>
        <w:t>代尔昆代水库坝址位于代尔昆代郭勒沟口以上6.5km处，为侵蚀构造低中山地貌，河谷类型为“U”型谷，谷底宽度59.00m。枢纽</w:t>
      </w:r>
      <w:r>
        <w:rPr>
          <w:rFonts w:hint="eastAsia" w:cs="Times New Roman" w:eastAsiaTheme="minorEastAsia"/>
          <w:kern w:val="0"/>
          <w:szCs w:val="20"/>
          <w:lang w:eastAsia="zh-CN"/>
        </w:rPr>
        <w:t>占用地区植被</w:t>
      </w:r>
      <w:r>
        <w:rPr>
          <w:rFonts w:cs="Times New Roman" w:eastAsiaTheme="minorEastAsia"/>
          <w:kern w:val="0"/>
          <w:szCs w:val="20"/>
        </w:rPr>
        <w:t>以由羊茅群系构成的山地草原为主，植物物种以羊茅为建群种，伴生有芨芨草、冷蒿、早熟禾、骆驼刺、麻叶荨麻、白刺、柠条锦鸡儿、小蓬等，群落</w:t>
      </w:r>
      <w:r>
        <w:rPr>
          <w:rFonts w:hint="eastAsia" w:cs="Times New Roman" w:eastAsiaTheme="minorEastAsia"/>
          <w:kern w:val="0"/>
          <w:szCs w:val="20"/>
          <w:lang w:eastAsia="zh-CN"/>
        </w:rPr>
        <w:t>植盖度</w:t>
      </w:r>
      <w:r>
        <w:rPr>
          <w:rFonts w:cs="Times New Roman" w:eastAsiaTheme="minorEastAsia"/>
          <w:kern w:val="0"/>
          <w:szCs w:val="20"/>
        </w:rPr>
        <w:t>约20%。</w:t>
      </w:r>
    </w:p>
    <w:p>
      <w:pPr>
        <w:tabs>
          <w:tab w:val="right" w:leader="dot" w:pos="8302"/>
        </w:tabs>
        <w:autoSpaceDE w:val="0"/>
        <w:autoSpaceDN w:val="0"/>
        <w:ind w:firstLine="480"/>
        <w:textAlignment w:val="baseline"/>
        <w:rPr>
          <w:rFonts w:cs="Times New Roman" w:eastAsiaTheme="minorEastAsia"/>
          <w:bCs/>
          <w:kern w:val="0"/>
        </w:rPr>
      </w:pPr>
      <w:r>
        <w:rPr>
          <w:rFonts w:cs="Times New Roman" w:eastAsiaTheme="minorEastAsia"/>
          <w:kern w:val="0"/>
          <w:szCs w:val="20"/>
        </w:rPr>
        <w:t>水库回水长度1.46km，淹没区两岸山体陡峭，多为基岩裸露，植被稀疏，两岸坡地发育植被主要为山地草原植被，生长有羊茅、昆仑绢蒿、苔草、白刺、柠条锦鸡儿、小蓬等，群落</w:t>
      </w:r>
      <w:r>
        <w:rPr>
          <w:rFonts w:hint="eastAsia" w:cs="Times New Roman" w:eastAsiaTheme="minorEastAsia"/>
          <w:kern w:val="0"/>
          <w:szCs w:val="20"/>
          <w:lang w:eastAsia="zh-CN"/>
        </w:rPr>
        <w:t>植盖度</w:t>
      </w:r>
      <w:r>
        <w:rPr>
          <w:rFonts w:cs="Times New Roman" w:eastAsiaTheme="minorEastAsia"/>
          <w:kern w:val="0"/>
          <w:szCs w:val="20"/>
        </w:rPr>
        <w:t>群落</w:t>
      </w:r>
      <w:r>
        <w:rPr>
          <w:rFonts w:hint="eastAsia" w:cs="Times New Roman" w:eastAsiaTheme="minorEastAsia"/>
          <w:kern w:val="0"/>
          <w:szCs w:val="20"/>
          <w:lang w:eastAsia="zh-CN"/>
        </w:rPr>
        <w:t>植盖度</w:t>
      </w:r>
      <w:r>
        <w:rPr>
          <w:rFonts w:cs="Times New Roman" w:eastAsiaTheme="minorEastAsia"/>
          <w:kern w:val="0"/>
          <w:szCs w:val="20"/>
        </w:rPr>
        <w:t>10～30%。</w:t>
      </w:r>
    </w:p>
    <w:p>
      <w:pPr>
        <w:tabs>
          <w:tab w:val="left" w:pos="6390"/>
          <w:tab w:val="left" w:pos="8302"/>
        </w:tabs>
        <w:autoSpaceDE w:val="0"/>
        <w:autoSpaceDN w:val="0"/>
        <w:spacing w:line="240" w:lineRule="auto"/>
        <w:ind w:firstLine="0" w:firstLineChars="0"/>
        <w:jc w:val="center"/>
        <w:textAlignment w:val="baseline"/>
        <w:rPr>
          <w:rFonts w:cs="Times New Roman"/>
          <w:kern w:val="0"/>
          <w:szCs w:val="20"/>
        </w:rPr>
      </w:pPr>
      <w:r>
        <w:rPr>
          <w:rFonts w:cs="Times New Roman"/>
          <w:sz w:val="21"/>
        </w:rPr>
        <w:drawing>
          <wp:inline distT="0" distB="0" distL="0" distR="0">
            <wp:extent cx="2519680" cy="1889760"/>
            <wp:effectExtent l="0" t="0" r="0" b="0"/>
            <wp:docPr id="311613579" name="图片 31161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79" name="图片 31161357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cs="Times New Roman"/>
          <w:sz w:val="21"/>
        </w:rPr>
        <w:drawing>
          <wp:inline distT="0" distB="0" distL="0" distR="0">
            <wp:extent cx="2519680" cy="1889760"/>
            <wp:effectExtent l="0" t="0" r="0" b="0"/>
            <wp:docPr id="311613581" name="图片 31161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81" name="图片 31161358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pPr>
        <w:pStyle w:val="147"/>
        <w:spacing w:line="240" w:lineRule="auto"/>
      </w:pPr>
      <w:r>
        <w:t>坝址区全景                       坝址右岸坡地（1）</w:t>
      </w:r>
    </w:p>
    <w:p>
      <w:pPr>
        <w:tabs>
          <w:tab w:val="left" w:pos="6030"/>
          <w:tab w:val="left" w:pos="7190"/>
        </w:tabs>
        <w:autoSpaceDE w:val="0"/>
        <w:autoSpaceDN w:val="0"/>
        <w:spacing w:line="240" w:lineRule="auto"/>
        <w:ind w:firstLine="0" w:firstLineChars="0"/>
        <w:jc w:val="center"/>
        <w:textAlignment w:val="baseline"/>
        <w:rPr>
          <w:rFonts w:cs="Times New Roman"/>
          <w:bCs/>
          <w:kern w:val="0"/>
        </w:rPr>
      </w:pPr>
      <w:r>
        <w:rPr>
          <w:rFonts w:cs="Times New Roman"/>
          <w:sz w:val="21"/>
        </w:rPr>
        <w:drawing>
          <wp:inline distT="0" distB="0" distL="0" distR="0">
            <wp:extent cx="2519680" cy="1889760"/>
            <wp:effectExtent l="0" t="0" r="0" b="0"/>
            <wp:docPr id="311613582" name="图片 31161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82" name="图片 31161358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cs="Times New Roman"/>
          <w:sz w:val="21"/>
        </w:rPr>
        <w:drawing>
          <wp:inline distT="0" distB="0" distL="0" distR="0">
            <wp:extent cx="2519680" cy="1889760"/>
            <wp:effectExtent l="0" t="0" r="0" b="0"/>
            <wp:docPr id="311613583" name="图片 31161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83" name="图片 31161358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pPr>
        <w:pStyle w:val="147"/>
        <w:spacing w:line="240" w:lineRule="auto"/>
      </w:pPr>
      <w:r>
        <w:t>坝址右岸坡地（2）                      坝址左岸坡地</w:t>
      </w:r>
    </w:p>
    <w:p>
      <w:pPr>
        <w:tabs>
          <w:tab w:val="right" w:leader="dot" w:pos="8302"/>
        </w:tabs>
        <w:autoSpaceDE w:val="0"/>
        <w:autoSpaceDN w:val="0"/>
        <w:spacing w:line="240" w:lineRule="auto"/>
        <w:ind w:firstLine="0" w:firstLineChars="0"/>
        <w:jc w:val="center"/>
        <w:textAlignment w:val="baseline"/>
        <w:rPr>
          <w:rFonts w:cs="Times New Roman"/>
          <w:bCs/>
          <w:kern w:val="0"/>
        </w:rPr>
      </w:pPr>
      <w:r>
        <w:rPr>
          <w:rFonts w:cs="Times New Roman"/>
          <w:bCs/>
          <w:kern w:val="0"/>
        </w:rPr>
        <w:drawing>
          <wp:inline distT="0" distB="0" distL="0" distR="0">
            <wp:extent cx="2519045" cy="1923415"/>
            <wp:effectExtent l="0" t="0" r="0" b="635"/>
            <wp:docPr id="311613584" name="图片 31161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84" name="图片 31161358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0" cy="1924659"/>
                    </a:xfrm>
                    <a:prstGeom prst="rect">
                      <a:avLst/>
                    </a:prstGeom>
                  </pic:spPr>
                </pic:pic>
              </a:graphicData>
            </a:graphic>
          </wp:inline>
        </w:drawing>
      </w:r>
      <w:r>
        <w:rPr>
          <w:rFonts w:cs="Times New Roman"/>
          <w:bCs/>
          <w:kern w:val="0"/>
        </w:rPr>
        <w:drawing>
          <wp:inline distT="0" distB="0" distL="0" distR="0">
            <wp:extent cx="2476500" cy="1926590"/>
            <wp:effectExtent l="0" t="0" r="0" b="0"/>
            <wp:docPr id="311613585" name="图片 31161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85" name="图片 311613585"/>
                    <pic:cNvPicPr>
                      <a:picLocks noChangeAspect="1"/>
                    </pic:cNvPicPr>
                  </pic:nvPicPr>
                  <pic:blipFill>
                    <a:blip r:embed="rId52" cstate="print">
                      <a:extLst>
                        <a:ext uri="{28A0092B-C50C-407E-A947-70E740481C1C}">
                          <a14:useLocalDpi xmlns:a14="http://schemas.microsoft.com/office/drawing/2010/main" val="0"/>
                        </a:ext>
                      </a:extLst>
                    </a:blip>
                    <a:srcRect r="1701"/>
                    <a:stretch>
                      <a:fillRect/>
                    </a:stretch>
                  </pic:blipFill>
                  <pic:spPr>
                    <a:xfrm>
                      <a:off x="0" y="0"/>
                      <a:ext cx="2477145" cy="1927092"/>
                    </a:xfrm>
                    <a:prstGeom prst="rect">
                      <a:avLst/>
                    </a:prstGeom>
                    <a:ln>
                      <a:noFill/>
                    </a:ln>
                  </pic:spPr>
                </pic:pic>
              </a:graphicData>
            </a:graphic>
          </wp:inline>
        </w:drawing>
      </w:r>
    </w:p>
    <w:p>
      <w:pPr>
        <w:pStyle w:val="147"/>
        <w:spacing w:line="240" w:lineRule="auto"/>
      </w:pPr>
      <w:r>
        <w:t>水库淹没区（1）                    水库淹没区（2）</w:t>
      </w:r>
    </w:p>
    <w:p>
      <w:pPr>
        <w:tabs>
          <w:tab w:val="right" w:leader="dot" w:pos="8302"/>
        </w:tabs>
        <w:ind w:firstLine="482" w:firstLineChars="0"/>
        <w:rPr>
          <w:rFonts w:cs="Times New Roman" w:eastAsiaTheme="minorEastAsia"/>
          <w:kern w:val="0"/>
        </w:rPr>
      </w:pPr>
      <w:r>
        <w:rPr>
          <w:rFonts w:cs="Times New Roman" w:eastAsiaTheme="minorEastAsia"/>
          <w:kern w:val="0"/>
        </w:rPr>
        <w:t>II.料场区</w:t>
      </w:r>
    </w:p>
    <w:p>
      <w:pPr>
        <w:tabs>
          <w:tab w:val="right" w:leader="dot" w:pos="8302"/>
        </w:tabs>
        <w:ind w:firstLine="482" w:firstLineChars="0"/>
        <w:rPr>
          <w:rFonts w:cs="Times New Roman" w:eastAsiaTheme="minorEastAsia"/>
          <w:kern w:val="0"/>
        </w:rPr>
      </w:pPr>
      <w:r>
        <w:rPr>
          <w:rFonts w:cs="Times New Roman" w:eastAsiaTheme="minorEastAsia"/>
          <w:kern w:val="0"/>
        </w:rPr>
        <w:t>本工程设C1、C2、C3共计3个混凝土骨料场，其中C3为外购砼骨料场。C1料场主要利用坝基开挖料，植被概况与枢纽占地区相同。C2料场位于坝址下游约1.5km河道两岸，地表多为砾石覆盖，植被稀疏。区域植被以由驼绒藜群系构成的荒漠草原为主，植物物种有驼绒藜、鹅观草、短叶假木贼、地肤、沙生针茅、膜果麻黄等，群落</w:t>
      </w:r>
      <w:r>
        <w:rPr>
          <w:rFonts w:hint="eastAsia" w:cs="Times New Roman" w:eastAsiaTheme="minorEastAsia"/>
          <w:kern w:val="0"/>
          <w:lang w:eastAsia="zh-CN"/>
        </w:rPr>
        <w:t>植盖度</w:t>
      </w:r>
      <w:r>
        <w:rPr>
          <w:rFonts w:cs="Times New Roman" w:eastAsiaTheme="minorEastAsia"/>
          <w:kern w:val="0"/>
        </w:rPr>
        <w:t>约10～15%。</w:t>
      </w:r>
    </w:p>
    <w:p>
      <w:pPr>
        <w:tabs>
          <w:tab w:val="right" w:leader="dot" w:pos="8302"/>
        </w:tabs>
        <w:ind w:firstLine="480"/>
        <w:jc w:val="center"/>
        <w:rPr>
          <w:rFonts w:cs="Times New Roman"/>
          <w:color w:val="FF0000"/>
          <w:kern w:val="0"/>
          <w:highlight w:val="yellow"/>
        </w:rPr>
      </w:pPr>
      <w:r>
        <w:rPr>
          <w:rFonts w:cs="Times New Roman"/>
          <w:color w:val="FF0000"/>
          <w:kern w:val="0"/>
        </w:rPr>
        <w:drawing>
          <wp:inline distT="0" distB="0" distL="0" distR="0">
            <wp:extent cx="2519680" cy="188976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hint="eastAsia" w:cs="Times New Roman"/>
          <w:color w:val="FF0000"/>
          <w:kern w:val="0"/>
        </w:rPr>
        <w:t xml:space="preserve"> </w:t>
      </w:r>
      <w:r>
        <w:rPr>
          <w:rFonts w:cs="Times New Roman"/>
          <w:color w:val="FF0000"/>
          <w:kern w:val="0"/>
        </w:rPr>
        <w:t xml:space="preserve"> </w:t>
      </w:r>
      <w:r>
        <w:rPr>
          <w:rFonts w:cs="Times New Roman"/>
          <w:color w:val="FF0000"/>
          <w:kern w:val="0"/>
        </w:rPr>
        <w:drawing>
          <wp:inline distT="0" distB="0" distL="0" distR="0">
            <wp:extent cx="2519680" cy="18897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pPr>
        <w:pStyle w:val="147"/>
      </w:pPr>
      <w:r>
        <w:t xml:space="preserve">      C2料场（1）                        C2料场（2）</w:t>
      </w:r>
    </w:p>
    <w:p>
      <w:pPr>
        <w:tabs>
          <w:tab w:val="right" w:leader="dot" w:pos="8302"/>
        </w:tabs>
        <w:autoSpaceDE w:val="0"/>
        <w:autoSpaceDN w:val="0"/>
        <w:ind w:firstLine="480"/>
        <w:textAlignment w:val="baseline"/>
        <w:rPr>
          <w:rFonts w:cs="Times New Roman" w:eastAsiaTheme="minorEastAsia"/>
          <w:kern w:val="0"/>
          <w:szCs w:val="20"/>
        </w:rPr>
      </w:pPr>
      <w:r>
        <w:rPr>
          <w:rFonts w:cs="Times New Roman" w:eastAsiaTheme="minorEastAsia"/>
          <w:kern w:val="0"/>
          <w:szCs w:val="20"/>
        </w:rPr>
        <w:t>III.弃渣场</w:t>
      </w:r>
    </w:p>
    <w:p>
      <w:pPr>
        <w:tabs>
          <w:tab w:val="right" w:leader="dot" w:pos="8302"/>
        </w:tabs>
        <w:autoSpaceDE w:val="0"/>
        <w:autoSpaceDN w:val="0"/>
        <w:ind w:firstLine="480"/>
        <w:textAlignment w:val="baseline"/>
        <w:rPr>
          <w:rFonts w:cs="Times New Roman" w:eastAsiaTheme="minorEastAsia"/>
          <w:kern w:val="0"/>
          <w:szCs w:val="20"/>
        </w:rPr>
      </w:pPr>
      <w:r>
        <w:rPr>
          <w:rFonts w:cs="Times New Roman" w:eastAsiaTheme="minorEastAsia"/>
          <w:kern w:val="0"/>
          <w:szCs w:val="20"/>
        </w:rPr>
        <w:t>本工程共设置1个永久弃渣场和1个临时弃渣场，其中1#弃渣场为永久弃渣场，位于坝址下游约1.5km左岸Ⅳ级阶地上，地表多为砾石覆盖，植被稀疏。区域植被以由驼绒藜群系构成的荒漠草原为主，植物物种有驼绒藜、短叶假木贼、地肤、膜果麻黄等，群落</w:t>
      </w:r>
      <w:r>
        <w:rPr>
          <w:rFonts w:hint="eastAsia" w:cs="Times New Roman" w:eastAsiaTheme="minorEastAsia"/>
          <w:kern w:val="0"/>
          <w:szCs w:val="20"/>
          <w:lang w:eastAsia="zh-CN"/>
        </w:rPr>
        <w:t>植盖度</w:t>
      </w:r>
      <w:r>
        <w:rPr>
          <w:rFonts w:cs="Times New Roman" w:eastAsiaTheme="minorEastAsia"/>
          <w:kern w:val="0"/>
          <w:szCs w:val="20"/>
        </w:rPr>
        <w:t>不足10%。2#弃渣场为临时弃渣场，位于C2料场范围内，植被概况与C2料场相同。</w:t>
      </w:r>
    </w:p>
    <w:p>
      <w:pPr>
        <w:tabs>
          <w:tab w:val="right" w:leader="dot" w:pos="8302"/>
        </w:tabs>
        <w:autoSpaceDE w:val="0"/>
        <w:autoSpaceDN w:val="0"/>
        <w:adjustRightInd w:val="0"/>
        <w:snapToGrid w:val="0"/>
        <w:ind w:firstLine="480"/>
        <w:jc w:val="center"/>
        <w:textAlignment w:val="baseline"/>
        <w:rPr>
          <w:rFonts w:cs="Times New Roman"/>
          <w:color w:val="FF0000"/>
          <w:kern w:val="0"/>
          <w:szCs w:val="20"/>
          <w:highlight w:val="yellow"/>
        </w:rPr>
      </w:pPr>
      <w:r>
        <w:rPr>
          <w:rFonts w:cs="Times New Roman"/>
          <w:color w:val="FF0000"/>
          <w:kern w:val="0"/>
          <w:szCs w:val="20"/>
        </w:rPr>
        <w:drawing>
          <wp:inline distT="0" distB="0" distL="0" distR="0">
            <wp:extent cx="2519680" cy="18897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cs="Times New Roman"/>
          <w:color w:val="FF0000"/>
          <w:kern w:val="0"/>
          <w:szCs w:val="20"/>
        </w:rPr>
        <w:t xml:space="preserve">  </w:t>
      </w:r>
      <w:r>
        <w:rPr>
          <w:rFonts w:cs="Times New Roman"/>
          <w:color w:val="FF0000"/>
          <w:kern w:val="0"/>
          <w:szCs w:val="20"/>
        </w:rPr>
        <w:drawing>
          <wp:inline distT="0" distB="0" distL="0" distR="0">
            <wp:extent cx="2519680" cy="18897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pPr>
        <w:pStyle w:val="147"/>
      </w:pPr>
      <w:r>
        <w:t xml:space="preserve">      1#弃渣场（1）                     1#弃渣场（2）</w:t>
      </w:r>
    </w:p>
    <w:p>
      <w:pPr>
        <w:tabs>
          <w:tab w:val="right" w:leader="dot" w:pos="8302"/>
        </w:tabs>
        <w:autoSpaceDE w:val="0"/>
        <w:autoSpaceDN w:val="0"/>
        <w:ind w:firstLine="480"/>
        <w:textAlignment w:val="baseline"/>
        <w:rPr>
          <w:rFonts w:cs="Times New Roman" w:eastAsiaTheme="minorEastAsia"/>
          <w:kern w:val="0"/>
          <w:szCs w:val="20"/>
        </w:rPr>
      </w:pPr>
      <w:r>
        <w:rPr>
          <w:rFonts w:cs="Times New Roman" w:eastAsiaTheme="minorEastAsia"/>
          <w:kern w:val="0"/>
          <w:szCs w:val="20"/>
        </w:rPr>
        <w:t>IV.施工生产生活区</w:t>
      </w:r>
    </w:p>
    <w:p>
      <w:pPr>
        <w:tabs>
          <w:tab w:val="right" w:leader="dot" w:pos="8302"/>
        </w:tabs>
        <w:ind w:firstLine="480"/>
        <w:rPr>
          <w:rFonts w:cs="Times New Roman" w:eastAsiaTheme="minorEastAsia"/>
          <w:b/>
          <w:kern w:val="0"/>
          <w:szCs w:val="20"/>
        </w:rPr>
      </w:pPr>
      <w:r>
        <w:rPr>
          <w:rFonts w:cs="Times New Roman" w:eastAsiaTheme="minorEastAsia"/>
        </w:rPr>
        <w:t>本工程施工生产生活区集中布置在坝址下游1～1.5km左岸阶地，生活区主要有办公室、职工宿舍、食堂等。生产区主要包括机械修配停放场、砼拌和系统、砂石加工系统及</w:t>
      </w:r>
      <w:r>
        <w:rPr>
          <w:rFonts w:cs="Times New Roman" w:eastAsiaTheme="minorEastAsia"/>
          <w:szCs w:val="24"/>
        </w:rPr>
        <w:t>仓库及综合加工厂等。占地区地表多为砾石覆盖，植被稀疏。区域植被以由驼绒藜群系构成的荒漠草原为主，植物物种有驼绒藜、短叶假木贼、地肤、膜果麻黄等，群落</w:t>
      </w:r>
      <w:r>
        <w:rPr>
          <w:rFonts w:hint="eastAsia" w:cs="Times New Roman" w:eastAsiaTheme="minorEastAsia"/>
          <w:szCs w:val="24"/>
          <w:lang w:eastAsia="zh-CN"/>
        </w:rPr>
        <w:t>植盖度</w:t>
      </w:r>
      <w:r>
        <w:rPr>
          <w:rFonts w:cs="Times New Roman" w:eastAsiaTheme="minorEastAsia"/>
          <w:szCs w:val="24"/>
        </w:rPr>
        <w:t>不足10～20%。</w:t>
      </w:r>
      <w:r>
        <w:rPr>
          <w:rFonts w:cs="Times New Roman" w:eastAsiaTheme="minorEastAsia"/>
          <w:b/>
          <w:kern w:val="0"/>
          <w:szCs w:val="20"/>
        </w:rPr>
        <w:t xml:space="preserve"> </w:t>
      </w:r>
    </w:p>
    <w:p>
      <w:pPr>
        <w:tabs>
          <w:tab w:val="right" w:leader="dot" w:pos="8302"/>
        </w:tabs>
        <w:autoSpaceDE w:val="0"/>
        <w:autoSpaceDN w:val="0"/>
        <w:adjustRightInd w:val="0"/>
        <w:snapToGrid w:val="0"/>
        <w:spacing w:line="240" w:lineRule="auto"/>
        <w:ind w:firstLine="0" w:firstLineChars="0"/>
        <w:textAlignment w:val="baseline"/>
        <w:rPr>
          <w:rFonts w:cs="Times New Roman"/>
          <w:sz w:val="21"/>
        </w:rPr>
      </w:pPr>
    </w:p>
    <w:p>
      <w:pPr>
        <w:tabs>
          <w:tab w:val="right" w:leader="dot" w:pos="8302"/>
        </w:tabs>
        <w:autoSpaceDE w:val="0"/>
        <w:autoSpaceDN w:val="0"/>
        <w:adjustRightInd w:val="0"/>
        <w:snapToGrid w:val="0"/>
        <w:spacing w:line="240" w:lineRule="auto"/>
        <w:ind w:firstLine="0" w:firstLineChars="0"/>
        <w:jc w:val="center"/>
        <w:textAlignment w:val="baseline"/>
        <w:rPr>
          <w:rFonts w:cs="Times New Roman"/>
          <w:b/>
          <w:kern w:val="0"/>
          <w:szCs w:val="20"/>
        </w:rPr>
      </w:pPr>
      <w:r>
        <w:rPr>
          <w:rFonts w:cs="Times New Roman"/>
          <w:sz w:val="21"/>
        </w:rPr>
        <w:drawing>
          <wp:inline distT="0" distB="0" distL="0" distR="0">
            <wp:extent cx="2519680" cy="18897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cs="Times New Roman"/>
          <w:b/>
          <w:kern w:val="0"/>
          <w:szCs w:val="20"/>
        </w:rPr>
        <w:t xml:space="preserve">  </w:t>
      </w:r>
      <w:r>
        <w:rPr>
          <w:rFonts w:cs="Times New Roman"/>
          <w:sz w:val="21"/>
        </w:rPr>
        <w:drawing>
          <wp:inline distT="0" distB="0" distL="0" distR="0">
            <wp:extent cx="2519680" cy="188976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pPr>
        <w:pStyle w:val="147"/>
      </w:pPr>
      <w:r>
        <w:t>施工生产生活区（1）                施工生产生活区（2）</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t>V.施工道路区</w:t>
      </w:r>
    </w:p>
    <w:p>
      <w:pPr>
        <w:tabs>
          <w:tab w:val="right" w:leader="dot" w:pos="8302"/>
        </w:tabs>
        <w:autoSpaceDE w:val="0"/>
        <w:autoSpaceDN w:val="0"/>
        <w:ind w:firstLine="480"/>
        <w:textAlignment w:val="baseline"/>
        <w:rPr>
          <w:rFonts w:cs="Times New Roman" w:eastAsiaTheme="minorEastAsia"/>
        </w:rPr>
      </w:pPr>
      <w:r>
        <w:rPr>
          <w:rFonts w:cs="Times New Roman" w:eastAsiaTheme="minorEastAsia"/>
        </w:rPr>
        <w:t>本工程修建1条进场道路，长7km；工程场内共布置施工道路9条，总长5.6km，分别衔接坝体区、各施工区和临时生产生活区、弃渣场、下游料场。施工道路占地，较为分散，地表多为砾石覆盖，植被稀疏。区域植被以由驼绒藜群系构成的荒漠草原为主，植物物种有驼绒藜、短叶假木贼、地肤、沙生针茅、膜果麻黄等，群落</w:t>
      </w:r>
      <w:r>
        <w:rPr>
          <w:rFonts w:hint="eastAsia" w:cs="Times New Roman" w:eastAsiaTheme="minorEastAsia"/>
          <w:lang w:eastAsia="zh-CN"/>
        </w:rPr>
        <w:t>植盖度</w:t>
      </w:r>
      <w:r>
        <w:rPr>
          <w:rFonts w:cs="Times New Roman" w:eastAsiaTheme="minorEastAsia"/>
        </w:rPr>
        <w:t>10～15%。</w:t>
      </w:r>
      <w:r>
        <w:rPr>
          <w:rFonts w:cs="Times New Roman" w:eastAsiaTheme="minorEastAsia"/>
          <w:sz w:val="21"/>
        </w:rPr>
        <w:t xml:space="preserve"> </w:t>
      </w:r>
    </w:p>
    <w:p>
      <w:pPr>
        <w:tabs>
          <w:tab w:val="right" w:leader="dot" w:pos="8302"/>
        </w:tabs>
        <w:autoSpaceDE w:val="0"/>
        <w:autoSpaceDN w:val="0"/>
        <w:ind w:firstLine="0" w:firstLineChars="0"/>
        <w:jc w:val="center"/>
        <w:textAlignment w:val="baseline"/>
        <w:rPr>
          <w:rFonts w:cs="Times New Roman"/>
        </w:rPr>
      </w:pPr>
      <w:r>
        <w:rPr>
          <w:rFonts w:cs="Times New Roman"/>
        </w:rPr>
        <w:drawing>
          <wp:inline distT="0" distB="0" distL="0" distR="0">
            <wp:extent cx="2519680" cy="18897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cs="Times New Roman"/>
        </w:rPr>
        <w:t xml:space="preserve"> </w:t>
      </w:r>
      <w:r>
        <w:rPr>
          <w:rFonts w:cs="Times New Roman"/>
        </w:rPr>
        <w:drawing>
          <wp:inline distT="0" distB="0" distL="0" distR="0">
            <wp:extent cx="2519680" cy="18897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pPr>
        <w:pStyle w:val="147"/>
      </w:pPr>
      <w:r>
        <w:t>施工道路（1）                       施工道路（2）</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fldChar w:fldCharType="begin"/>
      </w:r>
      <w:r>
        <w:rPr>
          <w:rFonts w:cs="Times New Roman" w:eastAsiaTheme="minorEastAsia"/>
          <w:kern w:val="0"/>
        </w:rPr>
        <w:instrText xml:space="preserve"> = 4 \* GB3 </w:instrText>
      </w:r>
      <w:r>
        <w:rPr>
          <w:rFonts w:cs="Times New Roman" w:eastAsiaTheme="minorEastAsia"/>
          <w:kern w:val="0"/>
        </w:rPr>
        <w:fldChar w:fldCharType="separate"/>
      </w:r>
      <w:r>
        <w:rPr>
          <w:rFonts w:hint="eastAsia" w:ascii="宋体" w:hAnsi="宋体" w:cs="宋体"/>
          <w:kern w:val="0"/>
        </w:rPr>
        <w:t>④</w:t>
      </w:r>
      <w:r>
        <w:rPr>
          <w:rFonts w:cs="Times New Roman" w:eastAsiaTheme="minorEastAsia"/>
          <w:kern w:val="0"/>
        </w:rPr>
        <w:fldChar w:fldCharType="end"/>
      </w:r>
      <w:r>
        <w:rPr>
          <w:rFonts w:cs="Times New Roman" w:eastAsiaTheme="minorEastAsia"/>
          <w:kern w:val="0"/>
        </w:rPr>
        <w:t>工程影响区植被概况</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bCs/>
          <w:kern w:val="0"/>
        </w:rPr>
        <w:t>I.坝址下游影响河段植被概况</w:t>
      </w:r>
    </w:p>
    <w:p>
      <w:pPr>
        <w:tabs>
          <w:tab w:val="right" w:leader="dot" w:pos="8302"/>
        </w:tabs>
        <w:autoSpaceDE w:val="0"/>
        <w:autoSpaceDN w:val="0"/>
        <w:ind w:firstLine="480"/>
        <w:textAlignment w:val="baseline"/>
        <w:rPr>
          <w:rFonts w:cs="Times New Roman" w:eastAsiaTheme="minorEastAsia"/>
          <w:kern w:val="0"/>
          <w:szCs w:val="20"/>
        </w:rPr>
      </w:pPr>
      <w:r>
        <w:rPr>
          <w:rFonts w:cs="Times New Roman" w:eastAsiaTheme="minorEastAsia"/>
          <w:kern w:val="0"/>
        </w:rPr>
        <w:t>工程运行</w:t>
      </w:r>
      <w:r>
        <w:rPr>
          <w:rFonts w:hint="eastAsia" w:cs="Times New Roman" w:eastAsiaTheme="minorEastAsia"/>
          <w:kern w:val="0"/>
          <w:lang w:eastAsia="zh-CN"/>
        </w:rPr>
        <w:t>将</w:t>
      </w:r>
      <w:r>
        <w:rPr>
          <w:rFonts w:cs="Times New Roman" w:eastAsiaTheme="minorEastAsia"/>
          <w:kern w:val="0"/>
        </w:rPr>
        <w:t>导致坝址下游河段水文情势产生变化。根据调查，坝址至出山口长约6km河段，河谷较开阔，</w:t>
      </w:r>
      <w:r>
        <w:rPr>
          <w:rFonts w:cs="Times New Roman" w:eastAsiaTheme="minorEastAsia"/>
          <w:kern w:val="0"/>
          <w:szCs w:val="20"/>
        </w:rPr>
        <w:t>基本呈“U”型谷，河漫滩略发育，地表多为卵砾石，两岸山体陡峭，多为基岩裸露，局部坡地发育有以驼绒藜群系为主的荒漠草地，植物物种主要有驼绒藜、鹅观草、短叶假木贼、地肤、沙生针茅、膜果麻黄等，群落</w:t>
      </w:r>
      <w:r>
        <w:rPr>
          <w:rFonts w:hint="eastAsia" w:cs="Times New Roman" w:eastAsiaTheme="minorEastAsia"/>
          <w:kern w:val="0"/>
          <w:szCs w:val="20"/>
          <w:lang w:eastAsia="zh-CN"/>
        </w:rPr>
        <w:t>植盖度</w:t>
      </w:r>
      <w:r>
        <w:rPr>
          <w:rFonts w:cs="Times New Roman" w:eastAsiaTheme="minorEastAsia"/>
          <w:kern w:val="0"/>
          <w:szCs w:val="20"/>
        </w:rPr>
        <w:t>10～25%。河谷区无高大乔木生长，由于代尔昆代河径流量较小，且河床下渗严重，通常情况下，坝址至出山口段除7、8月份有地表明流外，其余时间地表水基本下渗，处于断流状态，河道两岸植被生长主要依靠自然降水。出山口以下，河道进入山前倾斜平原，其间无支流汇入，处于径流损失区，河道常年无地表径流，河水以地下潜流形式向下游排泄。河道两岸以砾石戈壁为主，植被稀疏，零星生长有合头草、柽柳、戈壁藜、盐生草、霸王、中麻黄等荒漠植被，</w:t>
      </w:r>
      <w:r>
        <w:rPr>
          <w:rFonts w:hint="eastAsia" w:cs="Times New Roman" w:eastAsiaTheme="minorEastAsia"/>
          <w:kern w:val="0"/>
          <w:szCs w:val="20"/>
          <w:lang w:eastAsia="zh-CN"/>
        </w:rPr>
        <w:t>植被盖度</w:t>
      </w:r>
      <w:r>
        <w:rPr>
          <w:rFonts w:cs="Times New Roman" w:eastAsiaTheme="minorEastAsia"/>
          <w:kern w:val="0"/>
          <w:szCs w:val="20"/>
        </w:rPr>
        <w:t>不足10%。</w:t>
      </w:r>
    </w:p>
    <w:p>
      <w:pPr>
        <w:tabs>
          <w:tab w:val="right" w:leader="dot" w:pos="8302"/>
        </w:tabs>
        <w:autoSpaceDE w:val="0"/>
        <w:autoSpaceDN w:val="0"/>
        <w:ind w:firstLine="0" w:firstLineChars="0"/>
        <w:jc w:val="center"/>
        <w:textAlignment w:val="baseline"/>
        <w:rPr>
          <w:rFonts w:cs="Times New Roman" w:eastAsiaTheme="minorEastAsia"/>
          <w:kern w:val="0"/>
        </w:rPr>
      </w:pPr>
      <w:r>
        <w:rPr>
          <w:rFonts w:cs="Times New Roman" w:eastAsiaTheme="minorEastAsia"/>
          <w:sz w:val="21"/>
        </w:rPr>
        <w:t xml:space="preserve"> </w:t>
      </w:r>
      <w:r>
        <w:rPr>
          <w:rFonts w:cs="Times New Roman" w:eastAsiaTheme="minorEastAsia"/>
          <w:sz w:val="21"/>
        </w:rPr>
        <w:drawing>
          <wp:inline distT="0" distB="0" distL="0" distR="0">
            <wp:extent cx="2519680" cy="1889760"/>
            <wp:effectExtent l="0" t="0" r="0" b="0"/>
            <wp:docPr id="311613586" name="图片 31161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86" name="图片 31161358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cs="Times New Roman" w:eastAsiaTheme="minorEastAsia"/>
          <w:kern w:val="0"/>
        </w:rPr>
        <w:t xml:space="preserve">  </w:t>
      </w:r>
      <w:r>
        <w:rPr>
          <w:rFonts w:cs="Times New Roman" w:eastAsiaTheme="minorEastAsia"/>
          <w:sz w:val="21"/>
        </w:rPr>
        <w:drawing>
          <wp:inline distT="0" distB="0" distL="0" distR="0">
            <wp:extent cx="2519680" cy="18878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20000" cy="1888593"/>
                    </a:xfrm>
                    <a:prstGeom prst="rect">
                      <a:avLst/>
                    </a:prstGeom>
                  </pic:spPr>
                </pic:pic>
              </a:graphicData>
            </a:graphic>
          </wp:inline>
        </w:drawing>
      </w:r>
    </w:p>
    <w:p>
      <w:pPr>
        <w:pStyle w:val="147"/>
      </w:pPr>
      <w:r>
        <w:t>坝址下游影响河段（山区段1）         坝址下游影响河段（山区段2）</w:t>
      </w:r>
    </w:p>
    <w:p>
      <w:pPr>
        <w:tabs>
          <w:tab w:val="right" w:leader="dot" w:pos="8302"/>
        </w:tabs>
        <w:autoSpaceDE w:val="0"/>
        <w:autoSpaceDN w:val="0"/>
        <w:ind w:firstLine="0" w:firstLineChars="0"/>
        <w:jc w:val="center"/>
        <w:textAlignment w:val="baseline"/>
        <w:rPr>
          <w:rFonts w:cs="Times New Roman" w:eastAsiaTheme="minorEastAsia"/>
          <w:kern w:val="0"/>
        </w:rPr>
      </w:pPr>
      <w:r>
        <w:rPr>
          <w:rFonts w:cs="Times New Roman" w:eastAsiaTheme="minorEastAsia"/>
          <w:kern w:val="0"/>
        </w:rPr>
        <w:drawing>
          <wp:inline distT="0" distB="0" distL="0" distR="0">
            <wp:extent cx="2519680" cy="1889760"/>
            <wp:effectExtent l="0" t="0" r="0" b="0"/>
            <wp:docPr id="311613588" name="图片 31161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88" name="图片 31161358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cs="Times New Roman" w:eastAsiaTheme="minorEastAsia"/>
          <w:kern w:val="0"/>
        </w:rPr>
        <w:t xml:space="preserve">  </w:t>
      </w:r>
      <w:r>
        <w:rPr>
          <w:rFonts w:cs="Times New Roman" w:eastAsiaTheme="minorEastAsia"/>
          <w:kern w:val="0"/>
        </w:rPr>
        <w:drawing>
          <wp:inline distT="0" distB="0" distL="0" distR="0">
            <wp:extent cx="2519680" cy="1889760"/>
            <wp:effectExtent l="0" t="0" r="0" b="0"/>
            <wp:docPr id="311613587" name="图片 31161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87" name="图片 31161358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pPr>
        <w:pStyle w:val="147"/>
      </w:pPr>
      <w:r>
        <w:t>坝址下游影响河段（平原段1）        坝址下游影响河段（平原段2）</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t>II.下马崖乡泉水出露区</w:t>
      </w:r>
    </w:p>
    <w:p>
      <w:pPr>
        <w:ind w:firstLine="480"/>
        <w:rPr>
          <w:rFonts w:cs="Times New Roman" w:eastAsiaTheme="minorEastAsia"/>
        </w:rPr>
      </w:pPr>
      <w:r>
        <w:rPr>
          <w:rFonts w:cs="Times New Roman" w:eastAsiaTheme="minorEastAsia"/>
        </w:rPr>
        <w:t>哈尔里克山山前地下潜流在下马崖乡区域出露形成泉水，泉水引入下马崖水库用于农业灌溉。代尔昆代郭勒发源于哈尔里克山，河流在出山口以下以地下潜流的型式向下游排泄，是</w:t>
      </w:r>
      <w:r>
        <w:rPr>
          <w:rFonts w:cs="Times New Roman" w:eastAsiaTheme="minorEastAsia"/>
          <w:kern w:val="0"/>
        </w:rPr>
        <w:t>下马崖乡泉水出露区的补给来源之一</w:t>
      </w:r>
      <w:r>
        <w:rPr>
          <w:rFonts w:cs="Times New Roman" w:eastAsiaTheme="minorEastAsia"/>
        </w:rPr>
        <w:t>。下马崖泉水出露带由于地下水埋深较浅，水分条件相对较好，在下马崖水库西南侧发育有以多枝柽柳群系为主的灌丛植被，以多枝柽柳为建群种，伴生有芦苇、苦豆子、花花柴、骆驼刺、大蓟等，郁闭度0.5左右。根据现场调查情况，下马崖乡泉水出露区灌丛植被生长主要依靠区域埋深较浅的地下水，现状长势</w:t>
      </w:r>
      <w:r>
        <w:rPr>
          <w:rFonts w:hint="eastAsia" w:cs="Times New Roman" w:eastAsiaTheme="minorEastAsia"/>
          <w:lang w:eastAsia="zh-CN"/>
        </w:rPr>
        <w:t>良</w:t>
      </w:r>
      <w:r>
        <w:rPr>
          <w:rFonts w:cs="Times New Roman" w:eastAsiaTheme="minorEastAsia"/>
        </w:rPr>
        <w:t>好，植被较为茂密。</w:t>
      </w:r>
    </w:p>
    <w:p>
      <w:pPr>
        <w:tabs>
          <w:tab w:val="right" w:leader="dot" w:pos="8302"/>
        </w:tabs>
        <w:autoSpaceDE w:val="0"/>
        <w:autoSpaceDN w:val="0"/>
        <w:ind w:firstLine="0" w:firstLineChars="0"/>
        <w:jc w:val="center"/>
        <w:textAlignment w:val="baseline"/>
        <w:rPr>
          <w:rFonts w:cs="Times New Roman"/>
          <w:kern w:val="0"/>
        </w:rPr>
      </w:pPr>
      <w:r>
        <w:rPr>
          <w:rFonts w:cs="Times New Roman"/>
          <w:kern w:val="0"/>
        </w:rPr>
        <w:drawing>
          <wp:inline distT="0" distB="0" distL="0" distR="0">
            <wp:extent cx="2519680" cy="18897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cs="Times New Roman"/>
          <w:kern w:val="0"/>
        </w:rPr>
        <w:t xml:space="preserve">  </w:t>
      </w:r>
      <w:r>
        <w:rPr>
          <w:rFonts w:cs="Times New Roman"/>
          <w:kern w:val="0"/>
        </w:rPr>
        <w:drawing>
          <wp:inline distT="0" distB="0" distL="0" distR="0">
            <wp:extent cx="2519680" cy="18897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pPr>
        <w:pStyle w:val="147"/>
      </w:pPr>
      <w:r>
        <w:t>下马崖泉水沟                        下马崖水库</w:t>
      </w:r>
    </w:p>
    <w:p>
      <w:pPr>
        <w:tabs>
          <w:tab w:val="right" w:leader="dot" w:pos="8302"/>
        </w:tabs>
        <w:autoSpaceDE w:val="0"/>
        <w:autoSpaceDN w:val="0"/>
        <w:ind w:firstLine="0" w:firstLineChars="0"/>
        <w:jc w:val="center"/>
        <w:textAlignment w:val="baseline"/>
        <w:rPr>
          <w:rFonts w:cs="Times New Roman"/>
          <w:kern w:val="0"/>
        </w:rPr>
      </w:pPr>
      <w:r>
        <w:rPr>
          <w:rFonts w:cs="Times New Roman"/>
          <w:kern w:val="0"/>
        </w:rPr>
        <w:drawing>
          <wp:inline distT="0" distB="0" distL="0" distR="0">
            <wp:extent cx="2519680" cy="18897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Pr>
          <w:rFonts w:cs="Times New Roman"/>
          <w:kern w:val="0"/>
        </w:rPr>
        <w:t xml:space="preserve">  </w:t>
      </w:r>
      <w:r>
        <w:rPr>
          <w:rFonts w:cs="Times New Roman"/>
          <w:kern w:val="0"/>
        </w:rPr>
        <w:drawing>
          <wp:inline distT="0" distB="0" distL="0" distR="0">
            <wp:extent cx="2519680" cy="18897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pPr>
        <w:pStyle w:val="147"/>
      </w:pPr>
      <w:r>
        <w:t>下马崖水库库周柽柳灌丛（1）          下马崖水库库周柽柳灌丛（1）</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fldChar w:fldCharType="begin"/>
      </w:r>
      <w:r>
        <w:rPr>
          <w:rFonts w:cs="Times New Roman" w:eastAsiaTheme="minorEastAsia"/>
          <w:kern w:val="0"/>
        </w:rPr>
        <w:instrText xml:space="preserve"> = 5 \* GB3 </w:instrText>
      </w:r>
      <w:r>
        <w:rPr>
          <w:rFonts w:cs="Times New Roman" w:eastAsiaTheme="minorEastAsia"/>
          <w:kern w:val="0"/>
        </w:rPr>
        <w:fldChar w:fldCharType="separate"/>
      </w:r>
      <w:r>
        <w:rPr>
          <w:rFonts w:hint="eastAsia" w:ascii="宋体" w:hAnsi="宋体" w:cs="宋体"/>
          <w:kern w:val="0"/>
        </w:rPr>
        <w:t>⑤</w:t>
      </w:r>
      <w:r>
        <w:rPr>
          <w:rFonts w:cs="Times New Roman" w:eastAsiaTheme="minorEastAsia"/>
          <w:kern w:val="0"/>
        </w:rPr>
        <w:fldChar w:fldCharType="end"/>
      </w:r>
      <w:r>
        <w:rPr>
          <w:rFonts w:cs="Times New Roman" w:eastAsiaTheme="minorEastAsia"/>
          <w:kern w:val="0"/>
        </w:rPr>
        <w:t>重点保护植物及其分布</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t>根据历史资料和现场调查结果，代尔昆代水库坝址下游出山口以下河道两岸荒漠区分布有自治区II级保护植物中麻黄1种，工程淹没、占地区范围内未见该类保护植物分布。</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t>（3）陆生动物</w:t>
      </w:r>
    </w:p>
    <w:p>
      <w:pPr>
        <w:tabs>
          <w:tab w:val="right" w:leader="dot" w:pos="8302"/>
        </w:tabs>
        <w:autoSpaceDE w:val="0"/>
        <w:autoSpaceDN w:val="0"/>
        <w:ind w:firstLine="480"/>
        <w:textAlignment w:val="baseline"/>
        <w:rPr>
          <w:rFonts w:cs="Times New Roman" w:eastAsiaTheme="minorEastAsia"/>
          <w:kern w:val="0"/>
          <w:szCs w:val="24"/>
        </w:rPr>
      </w:pPr>
      <w:r>
        <w:rPr>
          <w:rFonts w:hint="eastAsia" w:ascii="宋体" w:hAnsi="宋体" w:cs="宋体"/>
          <w:kern w:val="0"/>
          <w:szCs w:val="24"/>
        </w:rPr>
        <w:t>①</w:t>
      </w:r>
      <w:r>
        <w:rPr>
          <w:rFonts w:cs="Times New Roman" w:eastAsiaTheme="minorEastAsia"/>
          <w:kern w:val="0"/>
          <w:szCs w:val="24"/>
        </w:rPr>
        <w:t>动物区系</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t>代尔昆代水库工程位于新疆维吾尔自治区哈密市伊吾县代尔昆代郭勒河上游河段。动物区划上</w:t>
      </w:r>
      <w:r>
        <w:rPr>
          <w:rFonts w:hint="eastAsia" w:cs="Times New Roman" w:eastAsiaTheme="minorEastAsia"/>
          <w:kern w:val="0"/>
          <w:lang w:eastAsia="zh-CN"/>
        </w:rPr>
        <w:t>将</w:t>
      </w:r>
      <w:r>
        <w:rPr>
          <w:rFonts w:cs="Times New Roman" w:eastAsiaTheme="minorEastAsia"/>
          <w:kern w:val="0"/>
        </w:rPr>
        <w:t>其归属于古北界--中亚亚界--蒙新区--西部荒漠亚区--准噶尔盆地小区。</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t>该区属大陆性气候，干旱少雨，植被稀疏，生境条件恶劣，动物种群数量相对贫乏。现场调查时除见到一些常见荒漠类爬行动物、鸟类、小型兽类以外，大型兽类踪影难觅。通过现场实地走访和调查并结合文献资料，整理出调查区陆栖脊椎动物16目31科74种，包括两栖类1目1科1种，爬行类1目3科5种，哺乳纲6目8科11种，鸟类10目25科57种。</w:t>
      </w:r>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t>调查区陆生动物物种名录见附录2。</w:t>
      </w:r>
    </w:p>
    <w:p>
      <w:pPr>
        <w:tabs>
          <w:tab w:val="right" w:leader="dot" w:pos="8302"/>
        </w:tabs>
        <w:autoSpaceDE w:val="0"/>
        <w:autoSpaceDN w:val="0"/>
        <w:ind w:firstLine="480"/>
        <w:textAlignment w:val="baseline"/>
        <w:rPr>
          <w:rFonts w:cs="Times New Roman" w:eastAsiaTheme="minorEastAsia"/>
          <w:kern w:val="0"/>
          <w:szCs w:val="20"/>
        </w:rPr>
      </w:pPr>
      <w:r>
        <w:rPr>
          <w:rFonts w:hint="eastAsia" w:ascii="宋体" w:hAnsi="宋体" w:cs="宋体"/>
          <w:kern w:val="0"/>
          <w:szCs w:val="20"/>
        </w:rPr>
        <w:t>②</w:t>
      </w:r>
      <w:r>
        <w:rPr>
          <w:rFonts w:cs="Times New Roman" w:eastAsiaTheme="minorEastAsia"/>
          <w:kern w:val="0"/>
          <w:szCs w:val="20"/>
        </w:rPr>
        <w:t>工程影响区陆生动物现状</w:t>
      </w:r>
    </w:p>
    <w:p>
      <w:pPr>
        <w:tabs>
          <w:tab w:val="right" w:leader="dot" w:pos="8302"/>
        </w:tabs>
        <w:autoSpaceDE w:val="0"/>
        <w:autoSpaceDN w:val="0"/>
        <w:ind w:firstLine="480"/>
        <w:textAlignment w:val="baseline"/>
        <w:rPr>
          <w:rFonts w:cs="Times New Roman" w:eastAsiaTheme="minorEastAsia"/>
          <w:kern w:val="0"/>
          <w:szCs w:val="20"/>
        </w:rPr>
      </w:pPr>
      <w:r>
        <w:rPr>
          <w:rFonts w:cs="Times New Roman" w:eastAsiaTheme="minorEastAsia"/>
          <w:kern w:val="0"/>
          <w:szCs w:val="20"/>
        </w:rPr>
        <w:t>A.两栖类、爬行类</w:t>
      </w:r>
    </w:p>
    <w:p>
      <w:pPr>
        <w:tabs>
          <w:tab w:val="right" w:leader="dot" w:pos="8302"/>
        </w:tabs>
        <w:autoSpaceDE w:val="0"/>
        <w:autoSpaceDN w:val="0"/>
        <w:ind w:firstLine="480"/>
        <w:textAlignment w:val="baseline"/>
        <w:rPr>
          <w:rFonts w:cs="Times New Roman" w:eastAsiaTheme="minorEastAsia"/>
          <w:kern w:val="0"/>
          <w:szCs w:val="24"/>
        </w:rPr>
      </w:pPr>
      <w:r>
        <w:rPr>
          <w:rFonts w:cs="Times New Roman" w:eastAsiaTheme="minorEastAsia"/>
          <w:kern w:val="0"/>
          <w:szCs w:val="20"/>
        </w:rPr>
        <w:t>评价区域分布的两栖类和爬行类种类和数量都很贫乏，其中两栖类仅1目1科1种，为绿蟾蜍。爬行类1目3科5种，</w:t>
      </w:r>
      <w:bookmarkStart w:id="82" w:name="_Hlk11617065"/>
      <w:r>
        <w:rPr>
          <w:rFonts w:cs="Times New Roman" w:eastAsiaTheme="minorEastAsia"/>
          <w:kern w:val="0"/>
          <w:szCs w:val="20"/>
        </w:rPr>
        <w:t>包括有鳞目的</w:t>
      </w:r>
      <w:bookmarkEnd w:id="82"/>
      <w:r>
        <w:rPr>
          <w:rFonts w:cs="Times New Roman" w:eastAsiaTheme="minorEastAsia"/>
          <w:kern w:val="0"/>
          <w:szCs w:val="20"/>
        </w:rPr>
        <w:t>快步麻蜥、密点麻蜥，鬣蜥科的南疆沙蜥、变色沙蜥，以及蝰科的中介腹。其中工程淹没占地区地处低山区，河道大部分时间无地表明流，植被稀疏，基本未见两栖类动物绿蟾蜍分布，区域主要以常见的快步麻蜥、密点麻蜥等荒漠爬行类为主。经调查，评价区域无国家和自治区级重点保护两栖类、爬行类动物分布。</w:t>
      </w:r>
    </w:p>
    <w:p>
      <w:pPr>
        <w:tabs>
          <w:tab w:val="right" w:leader="dot" w:pos="8302"/>
        </w:tabs>
        <w:autoSpaceDE w:val="0"/>
        <w:autoSpaceDN w:val="0"/>
        <w:ind w:firstLine="480"/>
        <w:textAlignment w:val="baseline"/>
        <w:rPr>
          <w:rFonts w:cs="Times New Roman" w:eastAsiaTheme="minorEastAsia"/>
          <w:kern w:val="0"/>
          <w:szCs w:val="20"/>
        </w:rPr>
      </w:pPr>
      <w:r>
        <w:rPr>
          <w:rFonts w:cs="Times New Roman" w:eastAsiaTheme="minorEastAsia"/>
          <w:kern w:val="0"/>
          <w:szCs w:val="20"/>
        </w:rPr>
        <w:t>B.</w:t>
      </w:r>
      <w:r>
        <w:rPr>
          <w:rFonts w:cs="Times New Roman" w:eastAsiaTheme="minorEastAsia"/>
          <w:kern w:val="0"/>
          <w:szCs w:val="24"/>
        </w:rPr>
        <w:t>鸟类</w:t>
      </w:r>
    </w:p>
    <w:p>
      <w:pPr>
        <w:tabs>
          <w:tab w:val="right" w:leader="dot" w:pos="8302"/>
        </w:tabs>
        <w:autoSpaceDE w:val="0"/>
        <w:autoSpaceDN w:val="0"/>
        <w:ind w:firstLine="480"/>
        <w:textAlignment w:val="baseline"/>
        <w:rPr>
          <w:rFonts w:cs="Times New Roman" w:eastAsiaTheme="minorEastAsia"/>
          <w:kern w:val="0"/>
          <w:sz w:val="15"/>
          <w:szCs w:val="15"/>
        </w:rPr>
      </w:pPr>
      <w:r>
        <w:rPr>
          <w:rFonts w:cs="Times New Roman" w:eastAsiaTheme="minorEastAsia"/>
          <w:kern w:val="0"/>
          <w:szCs w:val="20"/>
        </w:rPr>
        <w:t>根据调查和走访，综合文献资料，评价区域分布的鸟类共计10目25科57种，以活动范围较为广泛的隼形目和雀形目为主，代表物种有鸢、白尾鹞、</w:t>
      </w:r>
      <w:r>
        <w:rPr>
          <w:rFonts w:cs="Times New Roman" w:eastAsiaTheme="minorEastAsia"/>
          <w:szCs w:val="24"/>
        </w:rPr>
        <w:t>燕隼、灰背隼</w:t>
      </w:r>
      <w:r>
        <w:rPr>
          <w:rFonts w:cs="Times New Roman" w:eastAsiaTheme="minorEastAsia"/>
          <w:kern w:val="0"/>
          <w:szCs w:val="20"/>
        </w:rPr>
        <w:t>、红隼、岩鸽、斑鸠、杜鹃、楼燕、戴胜、伯劳、蓝胸佛法僧、喜鹊、树麻雀、黑胸麻雀等。</w:t>
      </w:r>
      <w:bookmarkStart w:id="83" w:name="_Hlk11617129"/>
      <w:r>
        <w:rPr>
          <w:rFonts w:cs="Times New Roman" w:eastAsiaTheme="minorEastAsia"/>
          <w:kern w:val="0"/>
          <w:szCs w:val="20"/>
        </w:rPr>
        <w:t>由于工程区地处低山区，植被条件较差，无高大乔木生长，自然条件较差，鸟类数量不多。其中鸢、苍鹰、白尾鹞、燕隼、灰背隼、红隼属于国家二级保护动物，工程淹没、占地区未见到保护鸟类营巢，偶有觅食个体出现。</w:t>
      </w:r>
      <w:bookmarkEnd w:id="83"/>
    </w:p>
    <w:p>
      <w:pPr>
        <w:tabs>
          <w:tab w:val="right" w:leader="dot" w:pos="8302"/>
        </w:tabs>
        <w:autoSpaceDE w:val="0"/>
        <w:autoSpaceDN w:val="0"/>
        <w:ind w:firstLine="480"/>
        <w:textAlignment w:val="baseline"/>
        <w:rPr>
          <w:rFonts w:cs="Times New Roman" w:eastAsiaTheme="minorEastAsia"/>
          <w:kern w:val="0"/>
          <w:szCs w:val="20"/>
        </w:rPr>
      </w:pPr>
      <w:r>
        <w:rPr>
          <w:rFonts w:cs="Times New Roman" w:eastAsiaTheme="minorEastAsia"/>
          <w:kern w:val="0"/>
          <w:szCs w:val="20"/>
        </w:rPr>
        <w:t>C.</w:t>
      </w:r>
      <w:r>
        <w:rPr>
          <w:rFonts w:cs="Times New Roman" w:eastAsiaTheme="minorEastAsia"/>
          <w:kern w:val="0"/>
          <w:szCs w:val="24"/>
        </w:rPr>
        <w:t>兽类</w:t>
      </w:r>
    </w:p>
    <w:p>
      <w:pPr>
        <w:tabs>
          <w:tab w:val="right" w:leader="dot" w:pos="8302"/>
        </w:tabs>
        <w:autoSpaceDE w:val="0"/>
        <w:autoSpaceDN w:val="0"/>
        <w:ind w:firstLine="480"/>
        <w:textAlignment w:val="baseline"/>
        <w:rPr>
          <w:rFonts w:cs="Times New Roman" w:eastAsiaTheme="minorEastAsia"/>
          <w:kern w:val="0"/>
          <w:szCs w:val="20"/>
        </w:rPr>
      </w:pPr>
      <w:r>
        <w:rPr>
          <w:rFonts w:cs="Times New Roman" w:eastAsiaTheme="minorEastAsia"/>
          <w:kern w:val="0"/>
          <w:szCs w:val="24"/>
        </w:rPr>
        <w:t>根据调查和走访，综合文献资料，</w:t>
      </w:r>
      <w:bookmarkStart w:id="84" w:name="_Hlk11617330"/>
      <w:r>
        <w:rPr>
          <w:rFonts w:cs="Times New Roman" w:eastAsiaTheme="minorEastAsia"/>
          <w:kern w:val="0"/>
          <w:szCs w:val="24"/>
        </w:rPr>
        <w:t>评价区域分布的鸟类共计6目8科11种，评价区域内分布的兽类有赤狐、北山羊、灰旱獭、大耳猬、蒙古兔及一些鼠类等。</w:t>
      </w:r>
      <w:bookmarkStart w:id="85" w:name="_Hlk11618045"/>
      <w:r>
        <w:rPr>
          <w:rFonts w:cs="Times New Roman" w:eastAsiaTheme="minorEastAsia"/>
          <w:kern w:val="0"/>
          <w:szCs w:val="24"/>
        </w:rPr>
        <w:t>其中北山羊、赤狐被列为国家二级保护动物。</w:t>
      </w:r>
      <w:bookmarkEnd w:id="85"/>
      <w:r>
        <w:rPr>
          <w:rFonts w:cs="Times New Roman" w:eastAsiaTheme="minorEastAsia"/>
          <w:kern w:val="0"/>
          <w:szCs w:val="24"/>
        </w:rPr>
        <w:t>工程区所处河段地处低山区，植被条件较差，生境恶劣，因此工程区可见的野生动物主要是一些小型啮齿类动物，赤狐、北山羊等大型兽类非常罕见，主要活动于中、高山无人区域，工程区并非这类保护动物的重要觅食、栖息场所。</w:t>
      </w:r>
      <w:bookmarkEnd w:id="84"/>
    </w:p>
    <w:p>
      <w:pPr>
        <w:pStyle w:val="89"/>
        <w:numPr>
          <w:ilvl w:val="0"/>
          <w:numId w:val="5"/>
        </w:numPr>
        <w:tabs>
          <w:tab w:val="right" w:leader="dot" w:pos="8302"/>
        </w:tabs>
        <w:autoSpaceDE w:val="0"/>
        <w:autoSpaceDN w:val="0"/>
        <w:ind w:firstLineChars="0"/>
        <w:textAlignment w:val="baseline"/>
        <w:rPr>
          <w:rFonts w:cs="Times New Roman" w:eastAsiaTheme="minorEastAsia"/>
          <w:bCs/>
          <w:kern w:val="0"/>
          <w:szCs w:val="20"/>
        </w:rPr>
      </w:pPr>
      <w:r>
        <w:rPr>
          <w:rFonts w:cs="Times New Roman" w:eastAsiaTheme="minorEastAsia"/>
          <w:bCs/>
          <w:kern w:val="0"/>
          <w:szCs w:val="20"/>
        </w:rPr>
        <w:t>工程</w:t>
      </w:r>
      <w:r>
        <w:rPr>
          <w:rFonts w:cs="Times New Roman" w:eastAsiaTheme="minorEastAsia"/>
          <w:kern w:val="0"/>
          <w:szCs w:val="20"/>
        </w:rPr>
        <w:t>影响区域保护</w:t>
      </w:r>
      <w:r>
        <w:rPr>
          <w:rFonts w:cs="Times New Roman" w:eastAsiaTheme="minorEastAsia"/>
          <w:bCs/>
          <w:kern w:val="0"/>
          <w:szCs w:val="20"/>
        </w:rPr>
        <w:t>动物</w:t>
      </w:r>
    </w:p>
    <w:p>
      <w:pPr>
        <w:tabs>
          <w:tab w:val="right" w:leader="dot" w:pos="8302"/>
        </w:tabs>
        <w:ind w:firstLine="480"/>
        <w:rPr>
          <w:rFonts w:cs="Times New Roman" w:eastAsiaTheme="minorEastAsia"/>
          <w:bCs/>
        </w:rPr>
      </w:pPr>
      <w:r>
        <w:rPr>
          <w:rFonts w:cs="Times New Roman" w:eastAsiaTheme="minorEastAsia"/>
          <w:bCs/>
        </w:rPr>
        <w:t>分布在调查范围的保护动物共有7种，均为国家二级保护动物，为鸢、白尾鹞、燕隼、灰背隼、红隼、赤狐、北山羊。调查区域陆生保护动物见表4.2-13。由于工程区地处低山区，植被条件较差，无高大乔木生长，自然条件较差，工程区除能见到活动范围广泛的隼型目鸟类外，其它保护动物均极为罕见。经调查，工程淹没、占地区未见保护动物营巢。</w:t>
      </w:r>
    </w:p>
    <w:p>
      <w:pPr>
        <w:pStyle w:val="137"/>
        <w:spacing w:before="62"/>
        <w:rPr>
          <w:b/>
        </w:rPr>
      </w:pPr>
      <w:r>
        <w:rPr>
          <w:rFonts w:eastAsiaTheme="minorEastAsia"/>
          <w:b/>
        </w:rPr>
        <w:br w:type="page"/>
      </w:r>
      <w:r>
        <w:t>表4.2-13                     调查区野生保护动物名录</w:t>
      </w:r>
    </w:p>
    <w:tbl>
      <w:tblPr>
        <w:tblStyle w:val="4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54"/>
        <w:gridCol w:w="1133"/>
        <w:gridCol w:w="2406"/>
        <w:gridCol w:w="1223"/>
        <w:gridCol w:w="3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413" w:type="pct"/>
            <w:vAlign w:val="bottom"/>
          </w:tcPr>
          <w:p>
            <w:pPr>
              <w:tabs>
                <w:tab w:val="right" w:leader="dot" w:pos="8302"/>
              </w:tabs>
              <w:spacing w:line="240" w:lineRule="auto"/>
              <w:ind w:firstLine="0" w:firstLineChars="0"/>
              <w:jc w:val="center"/>
              <w:rPr>
                <w:rFonts w:cs="Times New Roman"/>
                <w:sz w:val="18"/>
                <w:szCs w:val="18"/>
              </w:rPr>
            </w:pPr>
            <w:r>
              <w:rPr>
                <w:rFonts w:cs="Times New Roman"/>
                <w:sz w:val="18"/>
                <w:szCs w:val="18"/>
              </w:rPr>
              <w:t>分类</w:t>
            </w:r>
          </w:p>
        </w:tc>
        <w:tc>
          <w:tcPr>
            <w:tcW w:w="621" w:type="pct"/>
            <w:vAlign w:val="bottom"/>
          </w:tcPr>
          <w:p>
            <w:pPr>
              <w:tabs>
                <w:tab w:val="right" w:leader="dot" w:pos="8302"/>
              </w:tabs>
              <w:spacing w:line="240" w:lineRule="auto"/>
              <w:ind w:firstLine="0" w:firstLineChars="0"/>
              <w:jc w:val="center"/>
              <w:rPr>
                <w:rFonts w:cs="Times New Roman"/>
                <w:sz w:val="18"/>
                <w:szCs w:val="18"/>
              </w:rPr>
            </w:pPr>
            <w:r>
              <w:rPr>
                <w:rFonts w:cs="Times New Roman"/>
                <w:sz w:val="18"/>
                <w:szCs w:val="18"/>
              </w:rPr>
              <w:t>名称</w:t>
            </w:r>
          </w:p>
        </w:tc>
        <w:tc>
          <w:tcPr>
            <w:tcW w:w="1318" w:type="pct"/>
            <w:vAlign w:val="bottom"/>
          </w:tcPr>
          <w:p>
            <w:pPr>
              <w:tabs>
                <w:tab w:val="right" w:leader="dot" w:pos="8302"/>
              </w:tabs>
              <w:spacing w:line="240" w:lineRule="auto"/>
              <w:ind w:firstLine="0" w:firstLineChars="0"/>
              <w:jc w:val="center"/>
              <w:rPr>
                <w:rFonts w:cs="Times New Roman"/>
                <w:sz w:val="18"/>
                <w:szCs w:val="18"/>
              </w:rPr>
            </w:pPr>
            <w:r>
              <w:rPr>
                <w:rFonts w:cs="Times New Roman"/>
                <w:sz w:val="18"/>
                <w:szCs w:val="18"/>
              </w:rPr>
              <w:t>拉丁名</w:t>
            </w:r>
          </w:p>
        </w:tc>
        <w:tc>
          <w:tcPr>
            <w:tcW w:w="670" w:type="pct"/>
            <w:vAlign w:val="bottom"/>
          </w:tcPr>
          <w:p>
            <w:pPr>
              <w:tabs>
                <w:tab w:val="right" w:leader="dot" w:pos="8302"/>
              </w:tabs>
              <w:spacing w:line="240" w:lineRule="auto"/>
              <w:ind w:firstLine="0" w:firstLineChars="0"/>
              <w:jc w:val="center"/>
              <w:rPr>
                <w:rFonts w:cs="Times New Roman"/>
                <w:sz w:val="18"/>
                <w:szCs w:val="18"/>
              </w:rPr>
            </w:pPr>
            <w:r>
              <w:rPr>
                <w:rFonts w:cs="Times New Roman"/>
                <w:sz w:val="18"/>
                <w:szCs w:val="18"/>
              </w:rPr>
              <w:t>保护级别</w:t>
            </w:r>
          </w:p>
        </w:tc>
        <w:tc>
          <w:tcPr>
            <w:tcW w:w="1978" w:type="pct"/>
            <w:vAlign w:val="bottom"/>
          </w:tcPr>
          <w:p>
            <w:pPr>
              <w:tabs>
                <w:tab w:val="right" w:leader="dot" w:pos="8302"/>
              </w:tabs>
              <w:spacing w:line="240" w:lineRule="auto"/>
              <w:ind w:firstLine="0" w:firstLineChars="0"/>
              <w:jc w:val="center"/>
              <w:rPr>
                <w:rFonts w:cs="Times New Roman"/>
                <w:sz w:val="18"/>
                <w:szCs w:val="18"/>
              </w:rPr>
            </w:pPr>
            <w:r>
              <w:rPr>
                <w:rFonts w:cs="Times New Roman"/>
                <w:sz w:val="18"/>
                <w:szCs w:val="18"/>
              </w:rPr>
              <w:t>分布区域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413" w:type="pct"/>
            <w:vMerge w:val="restart"/>
            <w:vAlign w:val="center"/>
          </w:tcPr>
          <w:p>
            <w:pPr>
              <w:tabs>
                <w:tab w:val="right" w:leader="dot" w:pos="8302"/>
              </w:tabs>
              <w:spacing w:line="240" w:lineRule="auto"/>
              <w:ind w:firstLine="0" w:firstLineChars="0"/>
              <w:jc w:val="center"/>
              <w:rPr>
                <w:rFonts w:cs="Times New Roman"/>
                <w:sz w:val="18"/>
                <w:szCs w:val="18"/>
              </w:rPr>
            </w:pPr>
            <w:bookmarkStart w:id="86" w:name="_Hlk11619715"/>
            <w:r>
              <w:rPr>
                <w:rFonts w:cs="Times New Roman"/>
                <w:sz w:val="18"/>
                <w:szCs w:val="18"/>
              </w:rPr>
              <w:t>鸟类</w:t>
            </w:r>
          </w:p>
        </w:tc>
        <w:tc>
          <w:tcPr>
            <w:tcW w:w="621"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1.鸢</w:t>
            </w:r>
          </w:p>
        </w:tc>
        <w:tc>
          <w:tcPr>
            <w:tcW w:w="1318" w:type="pct"/>
            <w:vAlign w:val="center"/>
          </w:tcPr>
          <w:p>
            <w:pPr>
              <w:tabs>
                <w:tab w:val="right" w:leader="dot" w:pos="8302"/>
              </w:tabs>
              <w:spacing w:line="240" w:lineRule="auto"/>
              <w:ind w:firstLine="0" w:firstLineChars="0"/>
              <w:jc w:val="center"/>
              <w:rPr>
                <w:rFonts w:cs="Times New Roman"/>
                <w:i/>
                <w:iCs/>
                <w:sz w:val="18"/>
                <w:szCs w:val="18"/>
              </w:rPr>
            </w:pPr>
            <w:r>
              <w:rPr>
                <w:rFonts w:cs="Times New Roman"/>
                <w:i/>
                <w:iCs/>
                <w:sz w:val="18"/>
                <w:szCs w:val="18"/>
              </w:rPr>
              <w:t>Milvus korschun</w:t>
            </w:r>
          </w:p>
        </w:tc>
        <w:tc>
          <w:tcPr>
            <w:tcW w:w="670"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国家二级</w:t>
            </w:r>
          </w:p>
        </w:tc>
        <w:tc>
          <w:tcPr>
            <w:tcW w:w="1978"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活动范围广泛，多见于山区林地、城郊及居民点附近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413" w:type="pct"/>
            <w:vMerge w:val="continue"/>
            <w:vAlign w:val="center"/>
          </w:tcPr>
          <w:p>
            <w:pPr>
              <w:tabs>
                <w:tab w:val="right" w:leader="dot" w:pos="8302"/>
              </w:tabs>
              <w:spacing w:line="240" w:lineRule="auto"/>
              <w:ind w:firstLine="0" w:firstLineChars="0"/>
              <w:jc w:val="center"/>
              <w:rPr>
                <w:rFonts w:cs="Times New Roman"/>
                <w:sz w:val="18"/>
                <w:szCs w:val="18"/>
              </w:rPr>
            </w:pPr>
          </w:p>
        </w:tc>
        <w:tc>
          <w:tcPr>
            <w:tcW w:w="621"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2.白尾鹞</w:t>
            </w:r>
          </w:p>
        </w:tc>
        <w:tc>
          <w:tcPr>
            <w:tcW w:w="1318" w:type="pct"/>
            <w:vAlign w:val="center"/>
          </w:tcPr>
          <w:p>
            <w:pPr>
              <w:tabs>
                <w:tab w:val="right" w:leader="dot" w:pos="8302"/>
              </w:tabs>
              <w:spacing w:line="240" w:lineRule="auto"/>
              <w:ind w:firstLine="0" w:firstLineChars="0"/>
              <w:jc w:val="center"/>
              <w:rPr>
                <w:rFonts w:cs="Times New Roman"/>
                <w:i/>
                <w:iCs/>
                <w:sz w:val="18"/>
                <w:szCs w:val="18"/>
              </w:rPr>
            </w:pPr>
            <w:r>
              <w:rPr>
                <w:rFonts w:cs="Times New Roman"/>
                <w:i/>
                <w:iCs/>
                <w:sz w:val="18"/>
                <w:szCs w:val="18"/>
              </w:rPr>
              <w:t>Circus cyaneus (Linnaeus)</w:t>
            </w:r>
          </w:p>
        </w:tc>
        <w:tc>
          <w:tcPr>
            <w:tcW w:w="670"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国家二级</w:t>
            </w:r>
          </w:p>
        </w:tc>
        <w:tc>
          <w:tcPr>
            <w:tcW w:w="1978"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栖息于平原和低山丘陵地带，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413" w:type="pct"/>
            <w:vMerge w:val="continue"/>
            <w:vAlign w:val="center"/>
          </w:tcPr>
          <w:p>
            <w:pPr>
              <w:tabs>
                <w:tab w:val="right" w:leader="dot" w:pos="8302"/>
              </w:tabs>
              <w:spacing w:line="240" w:lineRule="auto"/>
              <w:ind w:firstLine="0" w:firstLineChars="0"/>
              <w:jc w:val="center"/>
              <w:rPr>
                <w:rFonts w:cs="Times New Roman"/>
                <w:sz w:val="18"/>
                <w:szCs w:val="18"/>
              </w:rPr>
            </w:pPr>
          </w:p>
        </w:tc>
        <w:tc>
          <w:tcPr>
            <w:tcW w:w="621"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3.燕隼</w:t>
            </w:r>
          </w:p>
        </w:tc>
        <w:tc>
          <w:tcPr>
            <w:tcW w:w="1318" w:type="pct"/>
            <w:vAlign w:val="center"/>
          </w:tcPr>
          <w:p>
            <w:pPr>
              <w:tabs>
                <w:tab w:val="right" w:leader="dot" w:pos="8302"/>
              </w:tabs>
              <w:spacing w:line="240" w:lineRule="auto"/>
              <w:ind w:firstLine="0" w:firstLineChars="0"/>
              <w:jc w:val="center"/>
              <w:rPr>
                <w:rFonts w:cs="Times New Roman"/>
                <w:i/>
                <w:iCs/>
                <w:sz w:val="18"/>
                <w:szCs w:val="18"/>
              </w:rPr>
            </w:pPr>
            <w:r>
              <w:rPr>
                <w:rFonts w:cs="Times New Roman"/>
                <w:i/>
                <w:iCs/>
                <w:sz w:val="18"/>
                <w:szCs w:val="18"/>
              </w:rPr>
              <w:t>Falco columbarius</w:t>
            </w:r>
          </w:p>
        </w:tc>
        <w:tc>
          <w:tcPr>
            <w:tcW w:w="670"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国家二级</w:t>
            </w:r>
          </w:p>
        </w:tc>
        <w:tc>
          <w:tcPr>
            <w:tcW w:w="1978"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活动范围广泛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413" w:type="pct"/>
            <w:vMerge w:val="continue"/>
            <w:vAlign w:val="center"/>
          </w:tcPr>
          <w:p>
            <w:pPr>
              <w:tabs>
                <w:tab w:val="right" w:leader="dot" w:pos="8302"/>
              </w:tabs>
              <w:spacing w:line="240" w:lineRule="auto"/>
              <w:ind w:firstLine="0" w:firstLineChars="0"/>
              <w:jc w:val="center"/>
              <w:rPr>
                <w:rFonts w:cs="Times New Roman"/>
                <w:sz w:val="18"/>
                <w:szCs w:val="18"/>
              </w:rPr>
            </w:pPr>
          </w:p>
        </w:tc>
        <w:tc>
          <w:tcPr>
            <w:tcW w:w="621"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4.红隼</w:t>
            </w:r>
          </w:p>
        </w:tc>
        <w:tc>
          <w:tcPr>
            <w:tcW w:w="1318" w:type="pct"/>
            <w:vAlign w:val="center"/>
          </w:tcPr>
          <w:p>
            <w:pPr>
              <w:tabs>
                <w:tab w:val="right" w:leader="dot" w:pos="8302"/>
              </w:tabs>
              <w:spacing w:line="240" w:lineRule="auto"/>
              <w:ind w:firstLine="0" w:firstLineChars="0"/>
              <w:jc w:val="center"/>
              <w:rPr>
                <w:rFonts w:cs="Times New Roman"/>
                <w:i/>
                <w:iCs/>
                <w:sz w:val="18"/>
                <w:szCs w:val="18"/>
              </w:rPr>
            </w:pPr>
            <w:r>
              <w:rPr>
                <w:rFonts w:cs="Times New Roman"/>
                <w:i/>
                <w:iCs/>
                <w:sz w:val="18"/>
                <w:szCs w:val="18"/>
              </w:rPr>
              <w:t>Falco peregrinus Tunstall</w:t>
            </w:r>
          </w:p>
        </w:tc>
        <w:tc>
          <w:tcPr>
            <w:tcW w:w="670"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国家二级</w:t>
            </w:r>
          </w:p>
        </w:tc>
        <w:tc>
          <w:tcPr>
            <w:tcW w:w="1978" w:type="pct"/>
            <w:vAlign w:val="center"/>
          </w:tcPr>
          <w:p>
            <w:pPr>
              <w:tabs>
                <w:tab w:val="right" w:leader="dot" w:pos="8302"/>
              </w:tabs>
              <w:spacing w:line="240" w:lineRule="auto"/>
              <w:ind w:firstLine="0" w:firstLineChars="0"/>
              <w:jc w:val="center"/>
              <w:rPr>
                <w:rFonts w:cs="Times New Roman"/>
                <w:spacing w:val="-10"/>
                <w:sz w:val="18"/>
                <w:szCs w:val="18"/>
              </w:rPr>
            </w:pPr>
            <w:r>
              <w:rPr>
                <w:rFonts w:cs="Times New Roman"/>
                <w:spacing w:val="-10"/>
                <w:sz w:val="18"/>
                <w:szCs w:val="18"/>
              </w:rPr>
              <w:t>开阔的农田、河谷、草地或低山丘陵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413" w:type="pct"/>
            <w:vMerge w:val="continue"/>
            <w:vAlign w:val="center"/>
          </w:tcPr>
          <w:p>
            <w:pPr>
              <w:tabs>
                <w:tab w:val="right" w:leader="dot" w:pos="8302"/>
              </w:tabs>
              <w:spacing w:line="240" w:lineRule="auto"/>
              <w:ind w:firstLine="0" w:firstLineChars="0"/>
              <w:jc w:val="center"/>
              <w:rPr>
                <w:rFonts w:cs="Times New Roman"/>
                <w:sz w:val="18"/>
                <w:szCs w:val="18"/>
              </w:rPr>
            </w:pPr>
          </w:p>
        </w:tc>
        <w:tc>
          <w:tcPr>
            <w:tcW w:w="621"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5.灰背隼</w:t>
            </w:r>
          </w:p>
        </w:tc>
        <w:tc>
          <w:tcPr>
            <w:tcW w:w="1318" w:type="pct"/>
            <w:vAlign w:val="center"/>
          </w:tcPr>
          <w:p>
            <w:pPr>
              <w:tabs>
                <w:tab w:val="right" w:leader="dot" w:pos="8302"/>
              </w:tabs>
              <w:spacing w:line="240" w:lineRule="auto"/>
              <w:ind w:firstLine="0" w:firstLineChars="0"/>
              <w:jc w:val="center"/>
              <w:rPr>
                <w:rFonts w:cs="Times New Roman"/>
                <w:i/>
                <w:iCs/>
                <w:sz w:val="18"/>
                <w:szCs w:val="18"/>
              </w:rPr>
            </w:pPr>
            <w:r>
              <w:rPr>
                <w:rFonts w:cs="Times New Roman"/>
                <w:i/>
                <w:iCs/>
                <w:sz w:val="18"/>
                <w:szCs w:val="18"/>
              </w:rPr>
              <w:t>Falco columbarius</w:t>
            </w:r>
          </w:p>
        </w:tc>
        <w:tc>
          <w:tcPr>
            <w:tcW w:w="670"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国家二级</w:t>
            </w:r>
          </w:p>
        </w:tc>
        <w:tc>
          <w:tcPr>
            <w:tcW w:w="1978"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活动范围广泛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413" w:type="pct"/>
            <w:vMerge w:val="restar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兽类</w:t>
            </w:r>
          </w:p>
        </w:tc>
        <w:tc>
          <w:tcPr>
            <w:tcW w:w="621"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6.北山羊</w:t>
            </w:r>
          </w:p>
        </w:tc>
        <w:tc>
          <w:tcPr>
            <w:tcW w:w="1318" w:type="pct"/>
          </w:tcPr>
          <w:p>
            <w:pPr>
              <w:tabs>
                <w:tab w:val="right" w:leader="dot" w:pos="8302"/>
              </w:tabs>
              <w:spacing w:line="240" w:lineRule="auto"/>
              <w:ind w:firstLine="0" w:firstLineChars="0"/>
              <w:jc w:val="center"/>
              <w:rPr>
                <w:rFonts w:cs="Times New Roman"/>
                <w:i/>
                <w:iCs/>
                <w:sz w:val="18"/>
                <w:szCs w:val="18"/>
              </w:rPr>
            </w:pPr>
            <w:r>
              <w:rPr>
                <w:rFonts w:cs="Times New Roman"/>
                <w:i/>
                <w:iCs/>
                <w:sz w:val="18"/>
                <w:szCs w:val="18"/>
              </w:rPr>
              <w:t>Capra sibirica (Linnaeus)</w:t>
            </w:r>
          </w:p>
        </w:tc>
        <w:tc>
          <w:tcPr>
            <w:tcW w:w="670"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国家二级</w:t>
            </w:r>
          </w:p>
        </w:tc>
        <w:tc>
          <w:tcPr>
            <w:tcW w:w="1978" w:type="pct"/>
            <w:vAlign w:val="center"/>
          </w:tcPr>
          <w:p>
            <w:pPr>
              <w:tabs>
                <w:tab w:val="right" w:leader="dot" w:pos="8302"/>
              </w:tabs>
              <w:spacing w:line="240" w:lineRule="auto"/>
              <w:ind w:firstLine="0" w:firstLineChars="0"/>
              <w:jc w:val="center"/>
              <w:rPr>
                <w:rFonts w:cs="Times New Roman"/>
                <w:spacing w:val="-4"/>
                <w:sz w:val="18"/>
                <w:szCs w:val="18"/>
              </w:rPr>
            </w:pPr>
            <w:r>
              <w:rPr>
                <w:rFonts w:cs="Times New Roman"/>
                <w:spacing w:val="-4"/>
                <w:sz w:val="18"/>
                <w:szCs w:val="18"/>
              </w:rPr>
              <w:t>栖息于无林的高山、中山和丘陵地带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413" w:type="pct"/>
            <w:vMerge w:val="continue"/>
            <w:vAlign w:val="center"/>
          </w:tcPr>
          <w:p>
            <w:pPr>
              <w:tabs>
                <w:tab w:val="right" w:leader="dot" w:pos="8302"/>
              </w:tabs>
              <w:spacing w:line="240" w:lineRule="auto"/>
              <w:ind w:firstLine="0" w:firstLineChars="0"/>
              <w:jc w:val="center"/>
              <w:rPr>
                <w:rFonts w:cs="Times New Roman"/>
                <w:sz w:val="18"/>
                <w:szCs w:val="18"/>
              </w:rPr>
            </w:pPr>
          </w:p>
        </w:tc>
        <w:tc>
          <w:tcPr>
            <w:tcW w:w="621"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7.赤狐</w:t>
            </w:r>
          </w:p>
        </w:tc>
        <w:tc>
          <w:tcPr>
            <w:tcW w:w="1318" w:type="pct"/>
            <w:vAlign w:val="center"/>
          </w:tcPr>
          <w:p>
            <w:pPr>
              <w:tabs>
                <w:tab w:val="right" w:leader="dot" w:pos="8302"/>
              </w:tabs>
              <w:spacing w:line="240" w:lineRule="auto"/>
              <w:ind w:firstLine="0" w:firstLineChars="0"/>
              <w:jc w:val="center"/>
              <w:rPr>
                <w:rFonts w:cs="Times New Roman"/>
                <w:i/>
                <w:iCs/>
                <w:sz w:val="18"/>
                <w:szCs w:val="18"/>
              </w:rPr>
            </w:pPr>
            <w:r>
              <w:rPr>
                <w:rFonts w:cs="Times New Roman"/>
                <w:i/>
                <w:iCs/>
                <w:sz w:val="18"/>
                <w:szCs w:val="18"/>
              </w:rPr>
              <w:t>Vulpes vulpes</w:t>
            </w:r>
          </w:p>
        </w:tc>
        <w:tc>
          <w:tcPr>
            <w:tcW w:w="670" w:type="pct"/>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国家二级</w:t>
            </w:r>
          </w:p>
        </w:tc>
        <w:tc>
          <w:tcPr>
            <w:tcW w:w="1978" w:type="pct"/>
            <w:vAlign w:val="center"/>
          </w:tcPr>
          <w:p>
            <w:pPr>
              <w:tabs>
                <w:tab w:val="right" w:leader="dot" w:pos="8302"/>
              </w:tabs>
              <w:spacing w:line="240" w:lineRule="auto"/>
              <w:ind w:firstLine="0" w:firstLineChars="0"/>
              <w:jc w:val="center"/>
              <w:rPr>
                <w:rFonts w:cs="Times New Roman"/>
                <w:sz w:val="18"/>
                <w:szCs w:val="18"/>
              </w:rPr>
            </w:pPr>
            <w:r>
              <w:rPr>
                <w:rFonts w:cs="Times New Roman"/>
                <w:spacing w:val="-12"/>
                <w:sz w:val="18"/>
                <w:szCs w:val="18"/>
              </w:rPr>
              <w:t>栖息于各种生境，居于土洞、树洞、石隙或其他动物废弃的旧洞穴内</w:t>
            </w:r>
            <w:r>
              <w:rPr>
                <w:rFonts w:cs="Times New Roman"/>
                <w:sz w:val="18"/>
                <w:szCs w:val="18"/>
              </w:rPr>
              <w:t>，</w:t>
            </w:r>
          </w:p>
        </w:tc>
      </w:tr>
      <w:bookmarkEnd w:id="81"/>
      <w:bookmarkEnd w:id="86"/>
    </w:tbl>
    <w:p>
      <w:pPr>
        <w:tabs>
          <w:tab w:val="right" w:leader="dot" w:pos="8302"/>
        </w:tabs>
        <w:autoSpaceDE w:val="0"/>
        <w:autoSpaceDN w:val="0"/>
        <w:adjustRightInd w:val="0"/>
        <w:snapToGrid w:val="0"/>
        <w:spacing w:line="240" w:lineRule="auto"/>
        <w:ind w:firstLine="420"/>
        <w:textAlignment w:val="baseline"/>
        <w:rPr>
          <w:rFonts w:cs="Times New Roman"/>
          <w:kern w:val="0"/>
          <w:sz w:val="21"/>
          <w:szCs w:val="21"/>
        </w:rPr>
      </w:pPr>
      <w:bookmarkStart w:id="87" w:name="_Toc453666636"/>
      <w:bookmarkStart w:id="88" w:name="_Toc449902507"/>
      <w:bookmarkStart w:id="89" w:name="_Toc457387461"/>
    </w:p>
    <w:p>
      <w:pPr>
        <w:tabs>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t>（4）陆生生态系统的结构与功能现状评价</w:t>
      </w:r>
      <w:bookmarkEnd w:id="87"/>
      <w:bookmarkEnd w:id="88"/>
      <w:bookmarkEnd w:id="89"/>
    </w:p>
    <w:p>
      <w:pPr>
        <w:tabs>
          <w:tab w:val="right" w:leader="dot" w:pos="8302"/>
        </w:tabs>
        <w:ind w:firstLine="480"/>
        <w:rPr>
          <w:rFonts w:cs="Times New Roman" w:eastAsiaTheme="minorEastAsia"/>
          <w:bCs/>
        </w:rPr>
      </w:pPr>
      <w:r>
        <w:rPr>
          <w:rFonts w:cs="Times New Roman" w:eastAsiaTheme="minorEastAsia"/>
          <w:bCs/>
        </w:rPr>
        <w:fldChar w:fldCharType="begin"/>
      </w:r>
      <w:r>
        <w:rPr>
          <w:rFonts w:cs="Times New Roman" w:eastAsiaTheme="minorEastAsia"/>
          <w:bCs/>
        </w:rPr>
        <w:instrText xml:space="preserve"> = 1 \* GB3 </w:instrText>
      </w:r>
      <w:r>
        <w:rPr>
          <w:rFonts w:cs="Times New Roman" w:eastAsiaTheme="minorEastAsia"/>
          <w:bCs/>
        </w:rPr>
        <w:fldChar w:fldCharType="separate"/>
      </w:r>
      <w:r>
        <w:rPr>
          <w:rFonts w:hint="eastAsia" w:ascii="宋体" w:hAnsi="宋体" w:cs="宋体"/>
          <w:bCs/>
        </w:rPr>
        <w:t>①</w:t>
      </w:r>
      <w:r>
        <w:rPr>
          <w:rFonts w:cs="Times New Roman" w:eastAsiaTheme="minorEastAsia"/>
          <w:bCs/>
        </w:rPr>
        <w:fldChar w:fldCharType="end"/>
      </w:r>
      <w:r>
        <w:rPr>
          <w:rFonts w:cs="Times New Roman" w:eastAsiaTheme="minorEastAsia"/>
          <w:bCs/>
        </w:rPr>
        <w:t>工程影响区生态系统结构与功能状况</w:t>
      </w:r>
    </w:p>
    <w:p>
      <w:pPr>
        <w:tabs>
          <w:tab w:val="right" w:leader="dot" w:pos="8302"/>
        </w:tabs>
        <w:ind w:firstLine="480"/>
        <w:rPr>
          <w:rFonts w:cs="Times New Roman" w:eastAsiaTheme="minorEastAsia"/>
          <w:bCs/>
        </w:rPr>
      </w:pPr>
      <w:r>
        <w:rPr>
          <w:rFonts w:cs="Times New Roman" w:eastAsiaTheme="minorEastAsia"/>
          <w:bCs/>
        </w:rPr>
        <w:t>从自然系统本底的生产能力及稳定状况、自然系统背景生产能力及稳定状况、区域环境功能状况三方面综合分析评价工程</w:t>
      </w:r>
      <w:r>
        <w:rPr>
          <w:rFonts w:cs="Times New Roman" w:eastAsiaTheme="minorEastAsia"/>
        </w:rPr>
        <w:t>评价区</w:t>
      </w:r>
      <w:r>
        <w:rPr>
          <w:rFonts w:cs="Times New Roman" w:eastAsiaTheme="minorEastAsia"/>
          <w:bCs/>
        </w:rPr>
        <w:t>域生态系统结构与功能状况。</w:t>
      </w:r>
    </w:p>
    <w:p>
      <w:pPr>
        <w:tabs>
          <w:tab w:val="right" w:leader="dot" w:pos="8302"/>
        </w:tabs>
        <w:ind w:firstLine="480"/>
        <w:rPr>
          <w:rFonts w:cs="Times New Roman" w:eastAsiaTheme="minorEastAsia"/>
          <w:bCs/>
          <w:kern w:val="0"/>
        </w:rPr>
      </w:pPr>
      <w:r>
        <w:rPr>
          <w:rFonts w:cs="Times New Roman" w:eastAsiaTheme="minorEastAsia"/>
          <w:bCs/>
          <w:kern w:val="0"/>
        </w:rPr>
        <w:t>根据工程影响特征和河流形态，确定评价范围为：</w:t>
      </w:r>
      <w:r>
        <w:rPr>
          <w:rFonts w:cs="Times New Roman" w:eastAsiaTheme="minorEastAsia"/>
          <w:szCs w:val="24"/>
        </w:rPr>
        <w:t>西以</w:t>
      </w:r>
      <w:bookmarkStart w:id="90" w:name="_Hlk180594638"/>
      <w:r>
        <w:rPr>
          <w:rFonts w:cs="Times New Roman" w:eastAsiaTheme="minorEastAsia"/>
          <w:szCs w:val="24"/>
        </w:rPr>
        <w:t>代尔昆代水库</w:t>
      </w:r>
      <w:bookmarkEnd w:id="90"/>
      <w:r>
        <w:rPr>
          <w:rFonts w:cs="Times New Roman" w:eastAsiaTheme="minorEastAsia"/>
          <w:szCs w:val="24"/>
        </w:rPr>
        <w:t>淹没回水末端为界，东至下马崖水库，南北以代尔昆代郭勒河两侧各2km为界，主要包括淹没区、主体工程占地区、工程施工区及下游影响河段区等，评价区面积共计170.87km</w:t>
      </w:r>
      <w:r>
        <w:rPr>
          <w:rFonts w:cs="Times New Roman" w:eastAsiaTheme="minorEastAsia"/>
          <w:szCs w:val="24"/>
          <w:vertAlign w:val="superscript"/>
        </w:rPr>
        <w:t>2</w:t>
      </w:r>
      <w:r>
        <w:rPr>
          <w:rFonts w:cs="Times New Roman" w:eastAsiaTheme="minorEastAsia"/>
          <w:szCs w:val="24"/>
        </w:rPr>
        <w:t>。</w:t>
      </w:r>
    </w:p>
    <w:p>
      <w:pPr>
        <w:tabs>
          <w:tab w:val="right" w:leader="dot" w:pos="8302"/>
        </w:tabs>
        <w:ind w:firstLine="480"/>
        <w:rPr>
          <w:rFonts w:cs="Times New Roman" w:eastAsiaTheme="minorEastAsia"/>
          <w:kern w:val="0"/>
        </w:rPr>
      </w:pPr>
      <w:r>
        <w:rPr>
          <w:rFonts w:cs="Times New Roman" w:eastAsiaTheme="minorEastAsia"/>
          <w:kern w:val="0"/>
        </w:rPr>
        <w:t>本次评价工作景观生态类型划分是以土地利用类型为基础，同时，结合野外植被调查情况、参考国家《土地利用现状分类》（GB/T 21010—2007）以及《生态环境遥感调查分类规范》，对工程</w:t>
      </w:r>
      <w:r>
        <w:rPr>
          <w:rFonts w:cs="Times New Roman" w:eastAsiaTheme="minorEastAsia"/>
        </w:rPr>
        <w:t>评价区</w:t>
      </w:r>
      <w:r>
        <w:rPr>
          <w:rFonts w:cs="Times New Roman" w:eastAsiaTheme="minorEastAsia"/>
          <w:kern w:val="0"/>
        </w:rPr>
        <w:t>景观生态系统进行景观分类，现状年（2017年）分类结果见表4.3-14。</w:t>
      </w:r>
    </w:p>
    <w:p>
      <w:pPr>
        <w:pStyle w:val="137"/>
        <w:spacing w:before="62"/>
      </w:pPr>
      <w:r>
        <w:t>表4.3-14          现状年工程评价区域景观分类结果统计表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1"/>
        <w:gridCol w:w="2589"/>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景观类型</w:t>
            </w: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土地利用类型</w:t>
            </w:r>
          </w:p>
        </w:tc>
        <w:tc>
          <w:tcPr>
            <w:tcW w:w="197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sz w:val="18"/>
                <w:szCs w:val="18"/>
              </w:rPr>
              <w:t>面积（</w:t>
            </w:r>
            <w:r>
              <w:rPr>
                <w:rFonts w:cs="Times New Roman" w:eastAsiaTheme="minorEastAsia"/>
                <w:kern w:val="0"/>
                <w:sz w:val="18"/>
                <w:szCs w:val="18"/>
              </w:rPr>
              <w:t>hm</w:t>
            </w:r>
            <w:r>
              <w:rPr>
                <w:rFonts w:cs="Times New Roman" w:eastAsiaTheme="minorEastAsia"/>
                <w:kern w:val="0"/>
                <w:sz w:val="18"/>
                <w:szCs w:val="18"/>
                <w:vertAlign w:val="superscript"/>
              </w:rPr>
              <w:t>2</w:t>
            </w:r>
            <w:r>
              <w:rPr>
                <w:rFonts w:cs="Times New Roman"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农田景观</w:t>
            </w: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耕地</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66.67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林地景观</w:t>
            </w: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灌木林地</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111.76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草地景观</w:t>
            </w: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天然牧草地</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9131.97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vMerge w:val="restar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水域景观</w:t>
            </w: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河流水面</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140.13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vMerge w:val="continue"/>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水库水面</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33.66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vMerge w:val="continue"/>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内陆滩涂</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5384.23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vMerge w:val="continue"/>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小计</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5558.02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vMerge w:val="restar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人居景观</w:t>
            </w: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农村宅基地</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12.11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vMerge w:val="continue"/>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交通运输用地</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118.45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其它景观</w:t>
            </w:r>
          </w:p>
        </w:tc>
        <w:tc>
          <w:tcPr>
            <w:tcW w:w="1394" w:type="pct"/>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裸岩石砾地</w:t>
            </w:r>
          </w:p>
        </w:tc>
        <w:tc>
          <w:tcPr>
            <w:tcW w:w="1974" w:type="pct"/>
            <w:tcBorders>
              <w:top w:val="single" w:color="auto" w:sz="4" w:space="0"/>
              <w:left w:val="nil"/>
              <w:bottom w:val="single" w:color="auto" w:sz="4" w:space="0"/>
              <w:right w:val="single" w:color="auto" w:sz="4" w:space="0"/>
            </w:tcBorders>
            <w:shd w:val="clear" w:color="auto" w:fill="auto"/>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 xml:space="preserve">130.57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pct"/>
            <w:gridSpan w:val="2"/>
            <w:noWrap/>
            <w:vAlign w:val="center"/>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总计</w:t>
            </w:r>
          </w:p>
        </w:tc>
        <w:tc>
          <w:tcPr>
            <w:tcW w:w="1974" w:type="pct"/>
            <w:noWrap/>
          </w:tcPr>
          <w:p>
            <w:pPr>
              <w:widowControl/>
              <w:tabs>
                <w:tab w:val="right" w:leader="dot" w:pos="8302"/>
              </w:tabs>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8991.45</w:t>
            </w:r>
          </w:p>
        </w:tc>
      </w:tr>
    </w:tbl>
    <w:p>
      <w:pPr>
        <w:tabs>
          <w:tab w:val="right" w:leader="dot" w:pos="8302"/>
        </w:tabs>
        <w:spacing w:line="240" w:lineRule="auto"/>
        <w:ind w:firstLine="0" w:firstLineChars="0"/>
        <w:rPr>
          <w:rFonts w:cs="Times New Roman"/>
          <w:sz w:val="21"/>
        </w:rPr>
      </w:pPr>
    </w:p>
    <w:p>
      <w:pPr>
        <w:tabs>
          <w:tab w:val="right" w:leader="dot" w:pos="8302"/>
        </w:tabs>
        <w:ind w:firstLine="480"/>
        <w:rPr>
          <w:rFonts w:cs="Times New Roman" w:eastAsiaTheme="minorEastAsia"/>
        </w:rPr>
      </w:pPr>
      <w:r>
        <w:rPr>
          <w:rFonts w:hint="eastAsia" w:ascii="宋体" w:hAnsi="宋体" w:cs="宋体"/>
          <w:kern w:val="0"/>
        </w:rPr>
        <w:t>①</w:t>
      </w:r>
      <w:r>
        <w:rPr>
          <w:rFonts w:cs="Times New Roman" w:eastAsiaTheme="minorEastAsia"/>
          <w:kern w:val="0"/>
        </w:rPr>
        <w:t>自然系统本底的生产能力及稳定状况分析</w:t>
      </w:r>
    </w:p>
    <w:p>
      <w:pPr>
        <w:tabs>
          <w:tab w:val="right" w:leader="dot" w:pos="8302"/>
        </w:tabs>
        <w:ind w:firstLine="480"/>
        <w:rPr>
          <w:rFonts w:cs="Times New Roman" w:eastAsiaTheme="minorEastAsia"/>
          <w:kern w:val="0"/>
        </w:rPr>
      </w:pPr>
      <w:r>
        <w:rPr>
          <w:rFonts w:cs="Times New Roman" w:eastAsiaTheme="minorEastAsia"/>
          <w:kern w:val="0"/>
        </w:rPr>
        <w:t>A.自然体系的本底生产能力</w:t>
      </w:r>
    </w:p>
    <w:p>
      <w:pPr>
        <w:tabs>
          <w:tab w:val="right" w:leader="dot" w:pos="8302"/>
        </w:tabs>
        <w:ind w:firstLine="480"/>
        <w:rPr>
          <w:rFonts w:cs="Times New Roman" w:eastAsiaTheme="minorEastAsia"/>
          <w:kern w:val="0"/>
        </w:rPr>
      </w:pPr>
      <w:r>
        <w:rPr>
          <w:rFonts w:cs="Times New Roman" w:eastAsiaTheme="minorEastAsia"/>
        </w:rPr>
        <w:t>根据评价区域气候要素，本评价分别采用自然植被净第一性生产力模型对区域本底生产能力进行计算。</w:t>
      </w:r>
    </w:p>
    <w:p>
      <w:pPr>
        <w:tabs>
          <w:tab w:val="right" w:leader="dot" w:pos="8302"/>
        </w:tabs>
        <w:ind w:firstLine="480"/>
        <w:rPr>
          <w:rFonts w:cs="Times New Roman" w:eastAsiaTheme="minorEastAsia"/>
        </w:rPr>
      </w:pPr>
      <w:r>
        <w:rPr>
          <w:rFonts w:cs="Times New Roman" w:eastAsiaTheme="minorEastAsia"/>
        </w:rPr>
        <w:t>周广胜、张新时(1995)根据水热平衡联系方程及生物生理生态特征建立了自然植被净第一性生产力模型。该模型以生物温度和降水量两个重要的生态因子为参数，可较为准确地测算区域自然植被的净第一性生产力。</w:t>
      </w:r>
    </w:p>
    <w:p>
      <w:pPr>
        <w:tabs>
          <w:tab w:val="right" w:leader="dot" w:pos="8302"/>
        </w:tabs>
        <w:ind w:firstLine="480"/>
        <w:rPr>
          <w:rFonts w:cs="Times New Roman" w:eastAsiaTheme="minorEastAsia"/>
        </w:rPr>
      </w:pPr>
      <w:r>
        <w:rPr>
          <w:rFonts w:cs="Times New Roman" w:eastAsiaTheme="minorEastAsia"/>
        </w:rPr>
        <w:t>表达式如下：</w:t>
      </w:r>
    </w:p>
    <w:p>
      <w:pPr>
        <w:tabs>
          <w:tab w:val="right" w:leader="dot" w:pos="8302"/>
        </w:tabs>
        <w:ind w:firstLine="420"/>
        <w:rPr>
          <w:rFonts w:cs="Times New Roman" w:eastAsiaTheme="minorEastAsia"/>
          <w:sz w:val="21"/>
        </w:rPr>
      </w:pPr>
      <w:r>
        <w:rPr>
          <w:rFonts w:cs="Times New Roman" w:eastAsiaTheme="minorEastAsia"/>
          <w:position w:val="-88"/>
          <w:sz w:val="21"/>
        </w:rPr>
        <w:drawing>
          <wp:inline distT="0" distB="0" distL="0" distR="0">
            <wp:extent cx="4248150" cy="11747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248150" cy="1174750"/>
                    </a:xfrm>
                    <a:prstGeom prst="rect">
                      <a:avLst/>
                    </a:prstGeom>
                    <a:noFill/>
                    <a:ln>
                      <a:noFill/>
                    </a:ln>
                  </pic:spPr>
                </pic:pic>
              </a:graphicData>
            </a:graphic>
          </wp:inline>
        </w:drawing>
      </w:r>
    </w:p>
    <w:p>
      <w:pPr>
        <w:tabs>
          <w:tab w:val="right" w:leader="dot" w:pos="8302"/>
        </w:tabs>
        <w:ind w:firstLine="480"/>
        <w:rPr>
          <w:rFonts w:cs="Times New Roman" w:eastAsiaTheme="minorEastAsia"/>
        </w:rPr>
      </w:pPr>
      <w:r>
        <w:rPr>
          <w:rFonts w:cs="Times New Roman" w:eastAsiaTheme="minorEastAsia"/>
        </w:rPr>
        <w:t>式中：</w:t>
      </w:r>
      <w:r>
        <w:rPr>
          <w:rFonts w:cs="Times New Roman" w:eastAsiaTheme="minorEastAsia"/>
          <w:i/>
        </w:rPr>
        <w:t>NPP</w:t>
      </w:r>
      <w:r>
        <w:rPr>
          <w:rFonts w:cs="Times New Roman" w:eastAsiaTheme="minorEastAsia"/>
        </w:rPr>
        <w:t>—辐射干燥度，t/(hm</w:t>
      </w:r>
      <w:r>
        <w:rPr>
          <w:rFonts w:cs="Times New Roman" w:eastAsiaTheme="minorEastAsia"/>
          <w:vertAlign w:val="superscript"/>
        </w:rPr>
        <w:t>2</w:t>
      </w:r>
      <w:r>
        <w:rPr>
          <w:rFonts w:cs="Times New Roman" w:eastAsiaTheme="minorEastAsia"/>
        </w:rPr>
        <w:t>·a)；</w:t>
      </w:r>
    </w:p>
    <w:p>
      <w:pPr>
        <w:tabs>
          <w:tab w:val="right" w:leader="dot" w:pos="8302"/>
        </w:tabs>
        <w:ind w:firstLine="1200" w:firstLineChars="500"/>
        <w:rPr>
          <w:rFonts w:cs="Times New Roman" w:eastAsiaTheme="minorEastAsia"/>
        </w:rPr>
      </w:pPr>
      <w:r>
        <w:rPr>
          <w:rFonts w:cs="Times New Roman" w:eastAsiaTheme="minorEastAsia"/>
          <w:i/>
        </w:rPr>
        <w:t>RDI</w:t>
      </w:r>
      <w:r>
        <w:rPr>
          <w:rFonts w:cs="Times New Roman" w:eastAsiaTheme="minorEastAsia"/>
        </w:rPr>
        <w:t>—辐射干燥度；</w:t>
      </w:r>
    </w:p>
    <w:p>
      <w:pPr>
        <w:tabs>
          <w:tab w:val="right" w:leader="dot" w:pos="8302"/>
        </w:tabs>
        <w:ind w:firstLine="1200" w:firstLineChars="500"/>
        <w:rPr>
          <w:rFonts w:cs="Times New Roman" w:eastAsiaTheme="minorEastAsia"/>
        </w:rPr>
      </w:pPr>
      <w:r>
        <w:rPr>
          <w:rFonts w:cs="Times New Roman" w:eastAsiaTheme="minorEastAsia"/>
          <w:i/>
        </w:rPr>
        <w:t>r</w:t>
      </w:r>
      <w:r>
        <w:rPr>
          <w:rFonts w:cs="Times New Roman" w:eastAsiaTheme="minorEastAsia"/>
        </w:rPr>
        <w:t>—年降水量，mm；</w:t>
      </w:r>
    </w:p>
    <w:p>
      <w:pPr>
        <w:tabs>
          <w:tab w:val="right" w:leader="dot" w:pos="8302"/>
        </w:tabs>
        <w:ind w:firstLine="1200" w:firstLineChars="500"/>
        <w:rPr>
          <w:rFonts w:cs="Times New Roman" w:eastAsiaTheme="minorEastAsia"/>
        </w:rPr>
      </w:pPr>
      <w:r>
        <w:rPr>
          <w:rFonts w:cs="Times New Roman" w:eastAsiaTheme="minorEastAsia"/>
          <w:i/>
        </w:rPr>
        <w:t>PER</w:t>
      </w:r>
      <w:r>
        <w:rPr>
          <w:rFonts w:cs="Times New Roman" w:eastAsiaTheme="minorEastAsia"/>
        </w:rPr>
        <w:t>—可能蒸散率；</w:t>
      </w:r>
    </w:p>
    <w:p>
      <w:pPr>
        <w:tabs>
          <w:tab w:val="right" w:leader="dot" w:pos="8302"/>
        </w:tabs>
        <w:ind w:firstLine="1200" w:firstLineChars="500"/>
        <w:rPr>
          <w:rFonts w:cs="Times New Roman" w:eastAsiaTheme="minorEastAsia"/>
        </w:rPr>
      </w:pPr>
      <w:r>
        <w:rPr>
          <w:rFonts w:cs="Times New Roman" w:eastAsiaTheme="minorEastAsia"/>
          <w:i/>
        </w:rPr>
        <w:t>PET</w:t>
      </w:r>
      <w:r>
        <w:rPr>
          <w:rFonts w:cs="Times New Roman" w:eastAsiaTheme="minorEastAsia"/>
        </w:rPr>
        <w:t>—年可能蒸散量，mm；</w:t>
      </w:r>
    </w:p>
    <w:p>
      <w:pPr>
        <w:tabs>
          <w:tab w:val="right" w:leader="dot" w:pos="8302"/>
        </w:tabs>
        <w:ind w:firstLine="1200" w:firstLineChars="500"/>
        <w:rPr>
          <w:rFonts w:cs="Times New Roman" w:eastAsiaTheme="minorEastAsia"/>
        </w:rPr>
      </w:pPr>
      <w:r>
        <w:rPr>
          <w:rFonts w:cs="Times New Roman" w:eastAsiaTheme="minorEastAsia"/>
          <w:i/>
        </w:rPr>
        <w:t>BT</w:t>
      </w:r>
      <w:r>
        <w:rPr>
          <w:rFonts w:cs="Times New Roman" w:eastAsiaTheme="minorEastAsia"/>
        </w:rPr>
        <w:t>—年平均生物温度，℃；</w:t>
      </w:r>
    </w:p>
    <w:p>
      <w:pPr>
        <w:tabs>
          <w:tab w:val="right" w:leader="dot" w:pos="8302"/>
        </w:tabs>
        <w:ind w:firstLine="1200" w:firstLineChars="500"/>
        <w:rPr>
          <w:rFonts w:cs="Times New Roman" w:eastAsiaTheme="minorEastAsia"/>
        </w:rPr>
      </w:pPr>
      <w:r>
        <w:rPr>
          <w:rFonts w:cs="Times New Roman" w:eastAsiaTheme="minorEastAsia"/>
          <w:i/>
        </w:rPr>
        <w:t>t</w:t>
      </w:r>
      <w:r>
        <w:rPr>
          <w:rFonts w:cs="Times New Roman" w:eastAsiaTheme="minorEastAsia"/>
        </w:rPr>
        <w:t>—小于30℃与大于0℃的日均值；</w:t>
      </w:r>
    </w:p>
    <w:p>
      <w:pPr>
        <w:tabs>
          <w:tab w:val="right" w:leader="dot" w:pos="8302"/>
        </w:tabs>
        <w:ind w:firstLine="1200" w:firstLineChars="500"/>
        <w:rPr>
          <w:rFonts w:cs="Times New Roman" w:eastAsiaTheme="minorEastAsia"/>
        </w:rPr>
      </w:pPr>
      <w:r>
        <w:rPr>
          <w:rFonts w:cs="Times New Roman" w:eastAsiaTheme="minorEastAsia"/>
          <w:i/>
        </w:rPr>
        <w:t>T</w:t>
      </w:r>
      <w:r>
        <w:rPr>
          <w:rFonts w:cs="Times New Roman" w:eastAsiaTheme="minorEastAsia"/>
        </w:rPr>
        <w:t>—小于30℃与大于0℃的月均值。</w:t>
      </w:r>
    </w:p>
    <w:p>
      <w:pPr>
        <w:tabs>
          <w:tab w:val="right" w:leader="dot" w:pos="8302"/>
        </w:tabs>
        <w:ind w:firstLine="480"/>
        <w:rPr>
          <w:rFonts w:cs="Times New Roman" w:eastAsiaTheme="minorEastAsia"/>
        </w:rPr>
      </w:pPr>
      <w:r>
        <w:rPr>
          <w:rFonts w:cs="Times New Roman" w:eastAsiaTheme="minorEastAsia"/>
        </w:rPr>
        <w:t>代尔昆代水库附近无基本水文气象站网，属无资料区域，本着距离较近的原则，本次评价采用伊吾县气象站气象资料为代表，依据整理的气象资料，利用上式对评价范围内的自然植被净第一性生产力进行计算，其结果如表4.3-15所示。</w:t>
      </w:r>
    </w:p>
    <w:p>
      <w:pPr>
        <w:pStyle w:val="137"/>
        <w:spacing w:before="62"/>
      </w:pPr>
      <w:r>
        <w:t>表4.3-15         工程评价范围自然体系净第一性生产力(NPP)测算结果表</w:t>
      </w:r>
    </w:p>
    <w:tbl>
      <w:tblPr>
        <w:tblStyle w:val="40"/>
        <w:tblW w:w="4988" w:type="pct"/>
        <w:jc w:val="center"/>
        <w:tblLayout w:type="autofit"/>
        <w:tblCellMar>
          <w:top w:w="0" w:type="dxa"/>
          <w:left w:w="108" w:type="dxa"/>
          <w:bottom w:w="0" w:type="dxa"/>
          <w:right w:w="108" w:type="dxa"/>
        </w:tblCellMar>
      </w:tblPr>
      <w:tblGrid>
        <w:gridCol w:w="2762"/>
        <w:gridCol w:w="1775"/>
        <w:gridCol w:w="1479"/>
        <w:gridCol w:w="1477"/>
        <w:gridCol w:w="1771"/>
      </w:tblGrid>
      <w:tr>
        <w:trPr>
          <w:trHeight w:val="284" w:hRule="atLeast"/>
          <w:jc w:val="center"/>
        </w:trPr>
        <w:tc>
          <w:tcPr>
            <w:tcW w:w="1491" w:type="pct"/>
            <w:tcBorders>
              <w:top w:val="single" w:color="auto" w:sz="4" w:space="0"/>
              <w:left w:val="single" w:color="auto" w:sz="4" w:space="0"/>
              <w:bottom w:val="single" w:color="auto" w:sz="4" w:space="0"/>
              <w:right w:val="single" w:color="auto" w:sz="4" w:space="0"/>
            </w:tcBorders>
            <w:vAlign w:val="center"/>
          </w:tcPr>
          <w:p>
            <w:pPr>
              <w:widowControl/>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气象站</w:t>
            </w:r>
          </w:p>
        </w:tc>
        <w:tc>
          <w:tcPr>
            <w:tcW w:w="958" w:type="pct"/>
            <w:tcBorders>
              <w:top w:val="single" w:color="auto" w:sz="4" w:space="0"/>
              <w:left w:val="nil"/>
              <w:bottom w:val="single" w:color="auto" w:sz="4" w:space="0"/>
              <w:right w:val="single" w:color="auto" w:sz="4" w:space="0"/>
            </w:tcBorders>
            <w:vAlign w:val="center"/>
          </w:tcPr>
          <w:p>
            <w:pPr>
              <w:widowControl/>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BT(℃)</w:t>
            </w:r>
          </w:p>
        </w:tc>
        <w:tc>
          <w:tcPr>
            <w:tcW w:w="798" w:type="pct"/>
            <w:tcBorders>
              <w:top w:val="single" w:color="auto" w:sz="4" w:space="0"/>
              <w:left w:val="nil"/>
              <w:bottom w:val="single" w:color="auto" w:sz="4" w:space="0"/>
              <w:right w:val="single" w:color="auto" w:sz="4" w:space="0"/>
            </w:tcBorders>
            <w:vAlign w:val="center"/>
          </w:tcPr>
          <w:p>
            <w:pPr>
              <w:widowControl/>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r(mm)</w:t>
            </w:r>
          </w:p>
        </w:tc>
        <w:tc>
          <w:tcPr>
            <w:tcW w:w="797" w:type="pct"/>
            <w:tcBorders>
              <w:top w:val="single" w:color="auto" w:sz="4" w:space="0"/>
              <w:left w:val="nil"/>
              <w:bottom w:val="single" w:color="auto" w:sz="4" w:space="0"/>
              <w:right w:val="single" w:color="auto" w:sz="4" w:space="0"/>
            </w:tcBorders>
          </w:tcPr>
          <w:p>
            <w:pPr>
              <w:widowControl/>
              <w:tabs>
                <w:tab w:val="right" w:leader="dot" w:pos="8302"/>
              </w:tabs>
              <w:spacing w:line="240" w:lineRule="auto"/>
              <w:ind w:firstLine="0" w:firstLineChars="0"/>
              <w:jc w:val="center"/>
              <w:rPr>
                <w:rFonts w:cs="Times New Roman"/>
                <w:kern w:val="0"/>
                <w:sz w:val="18"/>
                <w:szCs w:val="18"/>
              </w:rPr>
            </w:pPr>
            <w:r>
              <w:rPr>
                <w:rFonts w:cs="Times New Roman"/>
                <w:kern w:val="0"/>
                <w:sz w:val="18"/>
                <w:szCs w:val="18"/>
              </w:rPr>
              <w:t>PET(mm)</w:t>
            </w:r>
          </w:p>
        </w:tc>
        <w:tc>
          <w:tcPr>
            <w:tcW w:w="956" w:type="pct"/>
            <w:tcBorders>
              <w:top w:val="single" w:color="auto" w:sz="4" w:space="0"/>
              <w:left w:val="single" w:color="auto" w:sz="4" w:space="0"/>
              <w:bottom w:val="single" w:color="auto" w:sz="4" w:space="0"/>
              <w:right w:val="single" w:color="auto" w:sz="4" w:space="0"/>
            </w:tcBorders>
            <w:vAlign w:val="center"/>
          </w:tcPr>
          <w:p>
            <w:pPr>
              <w:widowControl/>
              <w:tabs>
                <w:tab w:val="right" w:leader="dot" w:pos="8302"/>
              </w:tabs>
              <w:spacing w:line="240" w:lineRule="auto"/>
              <w:ind w:firstLine="0" w:firstLineChars="0"/>
              <w:rPr>
                <w:rFonts w:cs="Times New Roman"/>
                <w:kern w:val="0"/>
                <w:sz w:val="18"/>
                <w:szCs w:val="18"/>
              </w:rPr>
            </w:pPr>
            <w:r>
              <w:rPr>
                <w:rFonts w:cs="Times New Roman"/>
                <w:kern w:val="0"/>
                <w:sz w:val="18"/>
                <w:szCs w:val="18"/>
              </w:rPr>
              <w:t>NPP(t/hm</w:t>
            </w:r>
            <w:r>
              <w:rPr>
                <w:rFonts w:cs="Times New Roman"/>
                <w:kern w:val="0"/>
                <w:sz w:val="18"/>
                <w:szCs w:val="18"/>
                <w:vertAlign w:val="superscript"/>
              </w:rPr>
              <w:t>2</w:t>
            </w:r>
            <w:r>
              <w:rPr>
                <w:rFonts w:cs="Times New Roman"/>
                <w:kern w:val="0"/>
                <w:sz w:val="18"/>
                <w:szCs w:val="18"/>
              </w:rPr>
              <w:t>﹒a)</w:t>
            </w:r>
          </w:p>
        </w:tc>
      </w:tr>
      <w:tr>
        <w:tblPrEx>
          <w:tblCellMar>
            <w:top w:w="0" w:type="dxa"/>
            <w:left w:w="108" w:type="dxa"/>
            <w:bottom w:w="0" w:type="dxa"/>
            <w:right w:w="108" w:type="dxa"/>
          </w:tblCellMar>
        </w:tblPrEx>
        <w:trPr>
          <w:trHeight w:val="270" w:hRule="atLeast"/>
          <w:jc w:val="center"/>
        </w:trPr>
        <w:tc>
          <w:tcPr>
            <w:tcW w:w="1491" w:type="pct"/>
            <w:tcBorders>
              <w:top w:val="nil"/>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伊吾气象站</w:t>
            </w:r>
          </w:p>
        </w:tc>
        <w:tc>
          <w:tcPr>
            <w:tcW w:w="958" w:type="pct"/>
            <w:tcBorders>
              <w:top w:val="nil"/>
              <w:left w:val="nil"/>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12.37</w:t>
            </w:r>
          </w:p>
        </w:tc>
        <w:tc>
          <w:tcPr>
            <w:tcW w:w="798" w:type="pct"/>
            <w:tcBorders>
              <w:top w:val="nil"/>
              <w:left w:val="nil"/>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97.70</w:t>
            </w:r>
          </w:p>
        </w:tc>
        <w:tc>
          <w:tcPr>
            <w:tcW w:w="797" w:type="pct"/>
            <w:tcBorders>
              <w:top w:val="single" w:color="auto" w:sz="4" w:space="0"/>
              <w:left w:val="nil"/>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1405</w:t>
            </w:r>
          </w:p>
        </w:tc>
        <w:tc>
          <w:tcPr>
            <w:tcW w:w="956"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0.81</w:t>
            </w:r>
          </w:p>
        </w:tc>
      </w:tr>
    </w:tbl>
    <w:p>
      <w:pPr>
        <w:tabs>
          <w:tab w:val="right" w:leader="dot" w:pos="8302"/>
        </w:tabs>
        <w:spacing w:line="240" w:lineRule="auto"/>
        <w:ind w:firstLine="420"/>
        <w:rPr>
          <w:rFonts w:cs="Times New Roman"/>
          <w:sz w:val="21"/>
          <w:szCs w:val="21"/>
        </w:rPr>
      </w:pPr>
    </w:p>
    <w:p>
      <w:pPr>
        <w:tabs>
          <w:tab w:val="right" w:leader="dot" w:pos="8302"/>
        </w:tabs>
        <w:ind w:firstLine="480"/>
        <w:rPr>
          <w:rFonts w:cs="Times New Roman" w:eastAsiaTheme="minorEastAsia"/>
          <w:kern w:val="0"/>
        </w:rPr>
      </w:pPr>
      <w:r>
        <w:rPr>
          <w:rFonts w:cs="Times New Roman" w:eastAsiaTheme="minorEastAsia"/>
        </w:rPr>
        <w:t>从表4.3-7可以看出，根据工程评价范围附近伊吾气象站资料计算出来的工</w:t>
      </w:r>
      <w:r>
        <w:rPr>
          <w:rFonts w:cs="Times New Roman" w:eastAsiaTheme="minorEastAsia"/>
          <w:kern w:val="0"/>
        </w:rPr>
        <w:t>程评价区自然体系本底净第一性生产力为0.81t/hm</w:t>
      </w:r>
      <w:r>
        <w:rPr>
          <w:rFonts w:cs="Times New Roman" w:eastAsiaTheme="minorEastAsia"/>
          <w:kern w:val="0"/>
          <w:vertAlign w:val="superscript"/>
        </w:rPr>
        <w:t>2</w:t>
      </w:r>
      <w:r>
        <w:rPr>
          <w:rFonts w:cs="Times New Roman" w:eastAsiaTheme="minorEastAsia"/>
          <w:kern w:val="0"/>
        </w:rPr>
        <w:t>•a（折合0.22/m</w:t>
      </w:r>
      <w:r>
        <w:rPr>
          <w:rFonts w:cs="Times New Roman" w:eastAsiaTheme="minorEastAsia"/>
          <w:kern w:val="0"/>
          <w:vertAlign w:val="superscript"/>
        </w:rPr>
        <w:t>2</w:t>
      </w:r>
      <w:r>
        <w:rPr>
          <w:rFonts w:cs="Times New Roman" w:eastAsiaTheme="minorEastAsia"/>
          <w:kern w:val="0"/>
        </w:rPr>
        <w:t>•d）。</w:t>
      </w:r>
      <w:r>
        <w:rPr>
          <w:rFonts w:cs="Times New Roman" w:eastAsiaTheme="minorEastAsia"/>
        </w:rPr>
        <w:t>奥德姆（Odum，1959）根据生态系统净生产力的高低，</w:t>
      </w:r>
      <w:r>
        <w:rPr>
          <w:rFonts w:hint="eastAsia" w:cs="Times New Roman" w:eastAsiaTheme="minorEastAsia"/>
          <w:lang w:eastAsia="zh-CN"/>
        </w:rPr>
        <w:t>将</w:t>
      </w:r>
      <w:r>
        <w:rPr>
          <w:rFonts w:cs="Times New Roman" w:eastAsiaTheme="minorEastAsia"/>
        </w:rPr>
        <w:t>生态系统划分为最低（小于0.5g/m</w:t>
      </w:r>
      <w:r>
        <w:rPr>
          <w:rFonts w:cs="Times New Roman" w:eastAsiaTheme="minorEastAsia"/>
          <w:vertAlign w:val="superscript"/>
        </w:rPr>
        <w:t>2</w:t>
      </w:r>
      <w:r>
        <w:rPr>
          <w:rFonts w:cs="Times New Roman" w:eastAsiaTheme="minorEastAsia"/>
        </w:rPr>
        <w:t>•d）、较低（0.5～3.0g/m</w:t>
      </w:r>
      <w:r>
        <w:rPr>
          <w:rFonts w:cs="Times New Roman" w:eastAsiaTheme="minorEastAsia"/>
          <w:vertAlign w:val="superscript"/>
        </w:rPr>
        <w:t>2</w:t>
      </w:r>
      <w:r>
        <w:rPr>
          <w:rFonts w:cs="Times New Roman" w:eastAsiaTheme="minorEastAsia"/>
        </w:rPr>
        <w:t>•d）、较高（3～10g/m</w:t>
      </w:r>
      <w:r>
        <w:rPr>
          <w:rFonts w:cs="Times New Roman" w:eastAsiaTheme="minorEastAsia"/>
          <w:vertAlign w:val="superscript"/>
        </w:rPr>
        <w:t>2</w:t>
      </w:r>
      <w:r>
        <w:rPr>
          <w:rFonts w:cs="Times New Roman" w:eastAsiaTheme="minorEastAsia"/>
        </w:rPr>
        <w:t>•d）、最高（10～20g/m</w:t>
      </w:r>
      <w:r>
        <w:rPr>
          <w:rFonts w:cs="Times New Roman" w:eastAsiaTheme="minorEastAsia"/>
          <w:vertAlign w:val="superscript"/>
        </w:rPr>
        <w:t>2</w:t>
      </w:r>
      <w:r>
        <w:rPr>
          <w:rFonts w:cs="Times New Roman" w:eastAsiaTheme="minorEastAsia"/>
        </w:rPr>
        <w:t>•d）四个等级</w:t>
      </w:r>
      <w:r>
        <w:rPr>
          <w:rFonts w:cs="Times New Roman" w:eastAsiaTheme="minorEastAsia"/>
          <w:kern w:val="0"/>
        </w:rPr>
        <w:t>，经对照，</w:t>
      </w:r>
      <w:r>
        <w:rPr>
          <w:rFonts w:cs="Times New Roman" w:eastAsiaTheme="minorEastAsia"/>
        </w:rPr>
        <w:t>工程</w:t>
      </w:r>
      <w:r>
        <w:rPr>
          <w:rFonts w:cs="Times New Roman" w:eastAsiaTheme="minorEastAsia"/>
          <w:kern w:val="0"/>
        </w:rPr>
        <w:t>评价区</w:t>
      </w:r>
      <w:r>
        <w:rPr>
          <w:rFonts w:cs="Times New Roman" w:eastAsiaTheme="minorEastAsia"/>
        </w:rPr>
        <w:t>自然生态系统属于最低生产力生态系统。</w:t>
      </w:r>
    </w:p>
    <w:p>
      <w:pPr>
        <w:tabs>
          <w:tab w:val="right" w:leader="dot" w:pos="8302"/>
        </w:tabs>
        <w:ind w:firstLine="480"/>
        <w:rPr>
          <w:rFonts w:cs="Times New Roman" w:eastAsiaTheme="minorEastAsia"/>
          <w:kern w:val="0"/>
        </w:rPr>
      </w:pPr>
      <w:r>
        <w:rPr>
          <w:rFonts w:cs="Times New Roman" w:eastAsiaTheme="minorEastAsia"/>
        </w:rPr>
        <w:t>B.自然系统本底的稳定状况分析</w:t>
      </w:r>
    </w:p>
    <w:p>
      <w:pPr>
        <w:tabs>
          <w:tab w:val="right" w:leader="dot" w:pos="8302"/>
        </w:tabs>
        <w:ind w:firstLine="480"/>
        <w:rPr>
          <w:rFonts w:cs="Times New Roman" w:eastAsiaTheme="minorEastAsia"/>
        </w:rPr>
      </w:pPr>
      <w:r>
        <w:rPr>
          <w:rFonts w:cs="Times New Roman" w:eastAsiaTheme="minorEastAsia"/>
        </w:rPr>
        <w:t>工程评价区的生产力水平低于冻原和高山草甸（144g/m</w:t>
      </w:r>
      <w:r>
        <w:rPr>
          <w:rFonts w:cs="Times New Roman" w:eastAsiaTheme="minorEastAsia"/>
          <w:vertAlign w:val="superscript"/>
        </w:rPr>
        <w:t>2</w:t>
      </w:r>
      <w:r>
        <w:rPr>
          <w:rFonts w:cs="Times New Roman" w:eastAsiaTheme="minorEastAsia"/>
        </w:rPr>
        <w:t>•a）的平均净生产力水平（Odum，1959），属于最低的等级，其恢复稳定性也较差，说明工程评价区自然系统本底恢复稳定性较差。</w:t>
      </w:r>
    </w:p>
    <w:p>
      <w:pPr>
        <w:tabs>
          <w:tab w:val="right" w:leader="dot" w:pos="8302"/>
        </w:tabs>
        <w:ind w:firstLine="480"/>
        <w:rPr>
          <w:rFonts w:cs="Times New Roman" w:eastAsiaTheme="minorEastAsia"/>
        </w:rPr>
      </w:pPr>
      <w:r>
        <w:rPr>
          <w:rFonts w:cs="Times New Roman" w:eastAsiaTheme="minorEastAsia"/>
        </w:rPr>
        <w:t>工程</w:t>
      </w:r>
      <w:r>
        <w:rPr>
          <w:rFonts w:cs="Times New Roman" w:eastAsiaTheme="minorEastAsia"/>
          <w:kern w:val="0"/>
        </w:rPr>
        <w:t>评价区</w:t>
      </w:r>
      <w:r>
        <w:rPr>
          <w:rFonts w:cs="Times New Roman" w:eastAsiaTheme="minorEastAsia"/>
        </w:rPr>
        <w:t>河流穿越的地貌单元较简单，加之区域降雨量很低，生态环境比较恶劣，发育的植被类型主要为稀疏的荒漠植被，这使得工程</w:t>
      </w:r>
      <w:r>
        <w:rPr>
          <w:rFonts w:cs="Times New Roman" w:eastAsiaTheme="minorEastAsia"/>
          <w:kern w:val="0"/>
        </w:rPr>
        <w:t>评价区</w:t>
      </w:r>
      <w:r>
        <w:rPr>
          <w:rFonts w:cs="Times New Roman" w:eastAsiaTheme="minorEastAsia"/>
        </w:rPr>
        <w:t>植被的本底异质化程度极低。综合分析认为工程</w:t>
      </w:r>
      <w:r>
        <w:rPr>
          <w:rFonts w:cs="Times New Roman" w:eastAsiaTheme="minorEastAsia"/>
          <w:kern w:val="0"/>
        </w:rPr>
        <w:t>评价区</w:t>
      </w:r>
      <w:r>
        <w:rPr>
          <w:rFonts w:cs="Times New Roman" w:eastAsiaTheme="minorEastAsia"/>
        </w:rPr>
        <w:t>自然体系本底阻抗稳定性较低。</w:t>
      </w:r>
    </w:p>
    <w:p>
      <w:pPr>
        <w:tabs>
          <w:tab w:val="right" w:leader="dot" w:pos="8302"/>
        </w:tabs>
        <w:ind w:firstLine="424" w:firstLineChars="177"/>
        <w:rPr>
          <w:rFonts w:cs="Times New Roman" w:eastAsiaTheme="minorEastAsia"/>
        </w:rPr>
      </w:pPr>
      <w:r>
        <w:rPr>
          <w:rFonts w:hint="eastAsia" w:ascii="宋体" w:hAnsi="宋体" w:cs="宋体"/>
        </w:rPr>
        <w:t>②</w:t>
      </w:r>
      <w:r>
        <w:rPr>
          <w:rFonts w:cs="Times New Roman" w:eastAsiaTheme="minorEastAsia"/>
        </w:rPr>
        <w:t>自然系统背景</w:t>
      </w:r>
      <w:r>
        <w:rPr>
          <w:rFonts w:hint="eastAsia" w:cs="Times New Roman" w:eastAsiaTheme="minorEastAsia"/>
          <w:lang w:eastAsia="zh-CN"/>
        </w:rPr>
        <w:t>下</w:t>
      </w:r>
      <w:r>
        <w:rPr>
          <w:rFonts w:cs="Times New Roman" w:eastAsiaTheme="minorEastAsia"/>
        </w:rPr>
        <w:t>的生产能力及稳定状况分析</w:t>
      </w:r>
    </w:p>
    <w:p>
      <w:pPr>
        <w:tabs>
          <w:tab w:val="right" w:leader="dot" w:pos="8302"/>
        </w:tabs>
        <w:ind w:firstLine="424" w:firstLineChars="177"/>
        <w:rPr>
          <w:rFonts w:cs="Times New Roman" w:eastAsiaTheme="minorEastAsia"/>
        </w:rPr>
      </w:pPr>
      <w:r>
        <w:rPr>
          <w:rFonts w:cs="Times New Roman" w:eastAsiaTheme="minorEastAsia"/>
        </w:rPr>
        <w:t>A.自然系统背景的生产能力</w:t>
      </w:r>
    </w:p>
    <w:p>
      <w:pPr>
        <w:tabs>
          <w:tab w:val="right" w:leader="dot" w:pos="8302"/>
        </w:tabs>
        <w:ind w:firstLine="424" w:firstLineChars="177"/>
        <w:rPr>
          <w:rFonts w:cs="Times New Roman" w:eastAsiaTheme="minorEastAsia"/>
        </w:rPr>
      </w:pPr>
      <w:r>
        <w:rPr>
          <w:rFonts w:cs="Times New Roman" w:eastAsiaTheme="minorEastAsia"/>
        </w:rPr>
        <w:t>工程</w:t>
      </w:r>
      <w:r>
        <w:rPr>
          <w:rFonts w:cs="Times New Roman" w:eastAsiaTheme="minorEastAsia"/>
          <w:kern w:val="0"/>
        </w:rPr>
        <w:t>评价</w:t>
      </w:r>
      <w:r>
        <w:rPr>
          <w:rFonts w:cs="Times New Roman" w:eastAsiaTheme="minorEastAsia"/>
        </w:rPr>
        <w:t>区的植被按其群落特征及生态、经济意义的不同，参照《中国植被》的分类原则，以及卫片能够达到的解译精度，工程</w:t>
      </w:r>
      <w:r>
        <w:rPr>
          <w:rFonts w:cs="Times New Roman" w:eastAsiaTheme="minorEastAsia"/>
          <w:kern w:val="0"/>
        </w:rPr>
        <w:t>评价</w:t>
      </w:r>
      <w:r>
        <w:rPr>
          <w:rFonts w:cs="Times New Roman" w:eastAsiaTheme="minorEastAsia"/>
        </w:rPr>
        <w:t>区植被可分为草原、荒漠、灌丛、栽培植被等4类。工程</w:t>
      </w:r>
      <w:r>
        <w:rPr>
          <w:rFonts w:cs="Times New Roman" w:eastAsiaTheme="minorEastAsia"/>
          <w:kern w:val="0"/>
        </w:rPr>
        <w:t>评价</w:t>
      </w:r>
      <w:r>
        <w:rPr>
          <w:rFonts w:cs="Times New Roman" w:eastAsiaTheme="minorEastAsia"/>
        </w:rPr>
        <w:t>区净第一性生产力是在前述陆生植物现状调查并结合植被类型遥感解译成果分析基础之上计算获得的。</w:t>
      </w:r>
    </w:p>
    <w:p>
      <w:pPr>
        <w:tabs>
          <w:tab w:val="left" w:pos="1260"/>
          <w:tab w:val="right" w:leader="dot" w:pos="8302"/>
        </w:tabs>
        <w:autoSpaceDE w:val="0"/>
        <w:autoSpaceDN w:val="0"/>
        <w:ind w:firstLine="480"/>
        <w:textAlignment w:val="baseline"/>
        <w:rPr>
          <w:rFonts w:cs="Times New Roman" w:eastAsiaTheme="minorEastAsia"/>
          <w:kern w:val="0"/>
        </w:rPr>
      </w:pPr>
      <w:r>
        <w:rPr>
          <w:rFonts w:cs="Times New Roman" w:eastAsiaTheme="minorEastAsia"/>
          <w:kern w:val="0"/>
        </w:rPr>
        <w:t>陆生植物现状调查的一项重要内容是测定各植被类型的生物量。野外调查的过程中主要对草原、荒漠的生物量值进行实测，灌丛、栽培植物的生物量值参照当地林业局、农业</w:t>
      </w:r>
      <w:r>
        <w:rPr>
          <w:rFonts w:hint="eastAsia" w:cs="Times New Roman" w:eastAsiaTheme="minorEastAsia"/>
          <w:kern w:val="0"/>
          <w:lang w:eastAsia="zh-CN"/>
        </w:rPr>
        <w:t>农村</w:t>
      </w:r>
      <w:r>
        <w:rPr>
          <w:rFonts w:cs="Times New Roman" w:eastAsiaTheme="minorEastAsia"/>
          <w:kern w:val="0"/>
        </w:rPr>
        <w:t>局调查资料，</w:t>
      </w:r>
      <w:r>
        <w:rPr>
          <w:rFonts w:cs="Times New Roman" w:eastAsiaTheme="minorEastAsia"/>
        </w:rPr>
        <w:t>河流等的生物量值参照非污染生态影响评价技术导则培训教材（国家环境保护总局自然生态保护司，2000年）。</w:t>
      </w:r>
    </w:p>
    <w:p>
      <w:pPr>
        <w:tabs>
          <w:tab w:val="right" w:leader="dot" w:pos="8302"/>
        </w:tabs>
        <w:ind w:firstLine="480"/>
        <w:rPr>
          <w:rFonts w:cs="Times New Roman" w:eastAsiaTheme="minorEastAsia"/>
        </w:rPr>
      </w:pPr>
      <w:r>
        <w:rPr>
          <w:rFonts w:cs="Times New Roman" w:eastAsiaTheme="minorEastAsia"/>
        </w:rPr>
        <w:t>在GIS技术和收集该地区已有科学考察成果及其它相关资料的基础上，用植被类型计算出的工程</w:t>
      </w:r>
      <w:r>
        <w:rPr>
          <w:rFonts w:cs="Times New Roman" w:eastAsiaTheme="minorEastAsia"/>
          <w:kern w:val="0"/>
        </w:rPr>
        <w:t>评价</w:t>
      </w:r>
      <w:r>
        <w:rPr>
          <w:rFonts w:cs="Times New Roman" w:eastAsiaTheme="minorEastAsia"/>
        </w:rPr>
        <w:t>区内现状平均净生产力及平均生物量见表4.3-16。</w:t>
      </w:r>
    </w:p>
    <w:p>
      <w:pPr>
        <w:pStyle w:val="137"/>
        <w:spacing w:before="62"/>
      </w:pPr>
      <w:r>
        <w:t>表4.3-16           工程评价区净第一性生产力及平均生物量统计表</w:t>
      </w:r>
    </w:p>
    <w:tbl>
      <w:tblPr>
        <w:tblStyle w:val="40"/>
        <w:tblW w:w="51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4"/>
        <w:gridCol w:w="1541"/>
        <w:gridCol w:w="1601"/>
        <w:gridCol w:w="2158"/>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noWrap/>
            <w:vAlign w:val="center"/>
          </w:tcPr>
          <w:p>
            <w:pPr>
              <w:widowControl/>
              <w:tabs>
                <w:tab w:val="right" w:leader="dot" w:pos="8302"/>
              </w:tabs>
              <w:spacing w:line="240" w:lineRule="exact"/>
              <w:ind w:firstLine="0" w:firstLineChars="0"/>
              <w:jc w:val="center"/>
              <w:rPr>
                <w:rFonts w:cs="Times New Roman" w:eastAsiaTheme="minorEastAsia"/>
                <w:kern w:val="0"/>
                <w:sz w:val="18"/>
                <w:szCs w:val="18"/>
              </w:rPr>
            </w:pPr>
            <w:r>
              <w:rPr>
                <w:rFonts w:cs="Times New Roman" w:eastAsiaTheme="minorEastAsia"/>
                <w:kern w:val="0"/>
                <w:sz w:val="18"/>
                <w:szCs w:val="18"/>
              </w:rPr>
              <w:t>植被类型</w:t>
            </w:r>
          </w:p>
        </w:tc>
        <w:tc>
          <w:tcPr>
            <w:tcW w:w="802" w:type="pct"/>
            <w:noWrap/>
            <w:vAlign w:val="center"/>
          </w:tcPr>
          <w:p>
            <w:pPr>
              <w:widowControl/>
              <w:tabs>
                <w:tab w:val="right" w:leader="dot" w:pos="8302"/>
              </w:tabs>
              <w:spacing w:line="240" w:lineRule="exact"/>
              <w:ind w:firstLine="0" w:firstLineChars="0"/>
              <w:jc w:val="center"/>
              <w:rPr>
                <w:rFonts w:cs="Times New Roman" w:eastAsiaTheme="minorEastAsia"/>
                <w:kern w:val="0"/>
                <w:sz w:val="18"/>
                <w:szCs w:val="18"/>
              </w:rPr>
            </w:pPr>
            <w:r>
              <w:rPr>
                <w:rFonts w:cs="Times New Roman" w:eastAsiaTheme="minorEastAsia"/>
                <w:kern w:val="0"/>
                <w:sz w:val="18"/>
                <w:szCs w:val="18"/>
              </w:rPr>
              <w:t>面积</w:t>
            </w:r>
          </w:p>
          <w:p>
            <w:pPr>
              <w:widowControl/>
              <w:tabs>
                <w:tab w:val="right" w:leader="dot" w:pos="8302"/>
              </w:tabs>
              <w:spacing w:line="240" w:lineRule="exact"/>
              <w:ind w:firstLine="0" w:firstLineChars="0"/>
              <w:jc w:val="center"/>
              <w:rPr>
                <w:rFonts w:cs="Times New Roman" w:eastAsiaTheme="minorEastAsia"/>
                <w:kern w:val="0"/>
                <w:sz w:val="18"/>
                <w:szCs w:val="18"/>
              </w:rPr>
            </w:pPr>
            <w:r>
              <w:rPr>
                <w:rFonts w:cs="Times New Roman" w:eastAsiaTheme="minorEastAsia"/>
                <w:kern w:val="0"/>
                <w:sz w:val="18"/>
                <w:szCs w:val="18"/>
              </w:rPr>
              <w:t>（hm</w:t>
            </w:r>
            <w:r>
              <w:rPr>
                <w:rFonts w:cs="Times New Roman" w:eastAsiaTheme="minorEastAsia"/>
                <w:kern w:val="0"/>
                <w:sz w:val="18"/>
                <w:szCs w:val="18"/>
                <w:vertAlign w:val="superscript"/>
              </w:rPr>
              <w:t>2</w:t>
            </w:r>
            <w:r>
              <w:rPr>
                <w:rFonts w:cs="Times New Roman" w:eastAsiaTheme="minorEastAsia"/>
                <w:kern w:val="0"/>
                <w:sz w:val="18"/>
                <w:szCs w:val="18"/>
              </w:rPr>
              <w:t>）</w:t>
            </w:r>
          </w:p>
        </w:tc>
        <w:tc>
          <w:tcPr>
            <w:tcW w:w="833" w:type="pct"/>
            <w:noWrap/>
            <w:vAlign w:val="center"/>
          </w:tcPr>
          <w:p>
            <w:pPr>
              <w:widowControl/>
              <w:tabs>
                <w:tab w:val="right" w:leader="dot" w:pos="8302"/>
              </w:tabs>
              <w:spacing w:line="240" w:lineRule="exact"/>
              <w:ind w:firstLine="0" w:firstLineChars="0"/>
              <w:jc w:val="center"/>
              <w:rPr>
                <w:rFonts w:cs="Times New Roman" w:eastAsiaTheme="minorEastAsia"/>
                <w:kern w:val="0"/>
                <w:sz w:val="18"/>
                <w:szCs w:val="18"/>
              </w:rPr>
            </w:pPr>
            <w:r>
              <w:rPr>
                <w:rFonts w:cs="Times New Roman" w:eastAsiaTheme="minorEastAsia"/>
                <w:kern w:val="0"/>
                <w:sz w:val="18"/>
                <w:szCs w:val="18"/>
              </w:rPr>
              <w:t>占区域比例</w:t>
            </w:r>
          </w:p>
          <w:p>
            <w:pPr>
              <w:widowControl/>
              <w:tabs>
                <w:tab w:val="right" w:leader="dot" w:pos="8302"/>
              </w:tabs>
              <w:spacing w:line="240" w:lineRule="exact"/>
              <w:ind w:firstLine="0" w:firstLineChars="0"/>
              <w:jc w:val="center"/>
              <w:rPr>
                <w:rFonts w:cs="Times New Roman" w:eastAsiaTheme="minorEastAsia"/>
                <w:kern w:val="0"/>
                <w:sz w:val="18"/>
                <w:szCs w:val="18"/>
              </w:rPr>
            </w:pPr>
            <w:r>
              <w:rPr>
                <w:rFonts w:cs="Times New Roman" w:eastAsiaTheme="minorEastAsia"/>
                <w:kern w:val="0"/>
                <w:sz w:val="18"/>
                <w:szCs w:val="18"/>
              </w:rPr>
              <w:t>（%）</w:t>
            </w:r>
          </w:p>
        </w:tc>
        <w:tc>
          <w:tcPr>
            <w:tcW w:w="1123" w:type="pct"/>
            <w:noWrap/>
            <w:vAlign w:val="center"/>
          </w:tcPr>
          <w:p>
            <w:pPr>
              <w:widowControl/>
              <w:tabs>
                <w:tab w:val="right" w:leader="dot" w:pos="8302"/>
              </w:tabs>
              <w:spacing w:line="240" w:lineRule="exact"/>
              <w:ind w:firstLine="0" w:firstLineChars="0"/>
              <w:jc w:val="center"/>
              <w:rPr>
                <w:rFonts w:cs="Times New Roman" w:eastAsiaTheme="minorEastAsia"/>
                <w:kern w:val="0"/>
                <w:sz w:val="18"/>
                <w:szCs w:val="18"/>
              </w:rPr>
            </w:pPr>
            <w:r>
              <w:rPr>
                <w:rFonts w:cs="Times New Roman" w:eastAsiaTheme="minorEastAsia"/>
                <w:kern w:val="0"/>
                <w:sz w:val="18"/>
                <w:szCs w:val="18"/>
              </w:rPr>
              <w:t>平均净生产力</w:t>
            </w:r>
          </w:p>
          <w:p>
            <w:pPr>
              <w:widowControl/>
              <w:tabs>
                <w:tab w:val="right" w:leader="dot" w:pos="8302"/>
              </w:tabs>
              <w:spacing w:line="240" w:lineRule="exact"/>
              <w:ind w:firstLine="0" w:firstLineChars="0"/>
              <w:jc w:val="center"/>
              <w:rPr>
                <w:rFonts w:cs="Times New Roman" w:eastAsiaTheme="minorEastAsia"/>
                <w:kern w:val="0"/>
                <w:sz w:val="18"/>
                <w:szCs w:val="18"/>
              </w:rPr>
            </w:pPr>
            <w:r>
              <w:rPr>
                <w:rFonts w:cs="Times New Roman" w:eastAsiaTheme="minorEastAsia"/>
                <w:kern w:val="0"/>
                <w:sz w:val="18"/>
                <w:szCs w:val="18"/>
              </w:rPr>
              <w:t>（g/m·d）</w:t>
            </w:r>
          </w:p>
        </w:tc>
        <w:tc>
          <w:tcPr>
            <w:tcW w:w="856" w:type="pct"/>
            <w:vAlign w:val="center"/>
          </w:tcPr>
          <w:p>
            <w:pPr>
              <w:widowControl/>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kern w:val="0"/>
                <w:sz w:val="18"/>
                <w:szCs w:val="18"/>
              </w:rPr>
              <w:t>平均生物量</w:t>
            </w:r>
          </w:p>
          <w:p>
            <w:pPr>
              <w:widowControl/>
              <w:tabs>
                <w:tab w:val="right" w:leader="dot" w:pos="8302"/>
              </w:tabs>
              <w:spacing w:line="240" w:lineRule="exact"/>
              <w:ind w:firstLine="0" w:firstLineChars="0"/>
              <w:jc w:val="center"/>
              <w:rPr>
                <w:rFonts w:cs="Times New Roman" w:eastAsiaTheme="minorEastAsia"/>
                <w:kern w:val="0"/>
                <w:sz w:val="18"/>
                <w:szCs w:val="18"/>
              </w:rPr>
            </w:pPr>
            <w:r>
              <w:rPr>
                <w:rFonts w:cs="Times New Roman" w:eastAsiaTheme="minorEastAsia"/>
                <w:sz w:val="18"/>
                <w:szCs w:val="18"/>
              </w:rPr>
              <w:t>（kg/m</w:t>
            </w:r>
            <w:r>
              <w:rPr>
                <w:rFonts w:cs="Times New Roman" w:eastAsiaTheme="minorEastAsia"/>
                <w:sz w:val="18"/>
                <w:szCs w:val="18"/>
                <w:vertAlign w:val="superscript"/>
              </w:rPr>
              <w:t>2</w:t>
            </w:r>
            <w:r>
              <w:rPr>
                <w:rFonts w:cs="Times New Roman"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noWrap/>
            <w:vAlign w:val="center"/>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灌丛</w:t>
            </w:r>
          </w:p>
        </w:tc>
        <w:tc>
          <w:tcPr>
            <w:tcW w:w="802"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111.76</w:t>
            </w:r>
          </w:p>
        </w:tc>
        <w:tc>
          <w:tcPr>
            <w:tcW w:w="83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0.65</w:t>
            </w:r>
          </w:p>
        </w:tc>
        <w:tc>
          <w:tcPr>
            <w:tcW w:w="112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1.23</w:t>
            </w:r>
          </w:p>
        </w:tc>
        <w:tc>
          <w:tcPr>
            <w:tcW w:w="856" w:type="pct"/>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noWrap/>
            <w:vAlign w:val="center"/>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荒漠草原</w:t>
            </w:r>
          </w:p>
        </w:tc>
        <w:tc>
          <w:tcPr>
            <w:tcW w:w="802"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3471.52</w:t>
            </w:r>
          </w:p>
        </w:tc>
        <w:tc>
          <w:tcPr>
            <w:tcW w:w="83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20.30</w:t>
            </w:r>
          </w:p>
        </w:tc>
        <w:tc>
          <w:tcPr>
            <w:tcW w:w="112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0.86</w:t>
            </w:r>
          </w:p>
        </w:tc>
        <w:tc>
          <w:tcPr>
            <w:tcW w:w="856" w:type="pct"/>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noWrap/>
            <w:vAlign w:val="center"/>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荒漠</w:t>
            </w:r>
          </w:p>
        </w:tc>
        <w:tc>
          <w:tcPr>
            <w:tcW w:w="802"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5660.45</w:t>
            </w:r>
          </w:p>
        </w:tc>
        <w:tc>
          <w:tcPr>
            <w:tcW w:w="83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33.11</w:t>
            </w:r>
          </w:p>
        </w:tc>
        <w:tc>
          <w:tcPr>
            <w:tcW w:w="112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0.19</w:t>
            </w:r>
          </w:p>
        </w:tc>
        <w:tc>
          <w:tcPr>
            <w:tcW w:w="856" w:type="pct"/>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noWrap/>
            <w:vAlign w:val="center"/>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栽培植被</w:t>
            </w:r>
          </w:p>
        </w:tc>
        <w:tc>
          <w:tcPr>
            <w:tcW w:w="802"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66.67</w:t>
            </w:r>
          </w:p>
        </w:tc>
        <w:tc>
          <w:tcPr>
            <w:tcW w:w="83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0.39</w:t>
            </w:r>
          </w:p>
        </w:tc>
        <w:tc>
          <w:tcPr>
            <w:tcW w:w="112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1.75</w:t>
            </w:r>
          </w:p>
        </w:tc>
        <w:tc>
          <w:tcPr>
            <w:tcW w:w="856" w:type="pct"/>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noWrap/>
            <w:vAlign w:val="center"/>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河流、滩涂、裸地等</w:t>
            </w:r>
          </w:p>
        </w:tc>
        <w:tc>
          <w:tcPr>
            <w:tcW w:w="802"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7786.82</w:t>
            </w:r>
          </w:p>
        </w:tc>
        <w:tc>
          <w:tcPr>
            <w:tcW w:w="83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45.54</w:t>
            </w:r>
          </w:p>
        </w:tc>
        <w:tc>
          <w:tcPr>
            <w:tcW w:w="1123" w:type="pct"/>
            <w:noWrap/>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0.01</w:t>
            </w:r>
          </w:p>
        </w:tc>
        <w:tc>
          <w:tcPr>
            <w:tcW w:w="856" w:type="pct"/>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noWrap/>
            <w:vAlign w:val="center"/>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合计</w:t>
            </w:r>
          </w:p>
        </w:tc>
        <w:tc>
          <w:tcPr>
            <w:tcW w:w="802" w:type="pct"/>
            <w:noWrap/>
            <w:vAlign w:val="center"/>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17097.22</w:t>
            </w:r>
          </w:p>
        </w:tc>
        <w:tc>
          <w:tcPr>
            <w:tcW w:w="833" w:type="pct"/>
            <w:noWrap/>
            <w:vAlign w:val="center"/>
          </w:tcPr>
          <w:p>
            <w:pPr>
              <w:widowControl/>
              <w:tabs>
                <w:tab w:val="right" w:leader="dot" w:pos="8302"/>
              </w:tabs>
              <w:spacing w:line="240" w:lineRule="exact"/>
              <w:ind w:firstLine="0" w:firstLineChars="0"/>
              <w:jc w:val="center"/>
              <w:rPr>
                <w:rFonts w:cs="Times New Roman" w:eastAsiaTheme="minorEastAsia"/>
                <w:kern w:val="0"/>
                <w:sz w:val="18"/>
                <w:szCs w:val="18"/>
              </w:rPr>
            </w:pPr>
            <w:r>
              <w:rPr>
                <w:rFonts w:cs="Times New Roman" w:eastAsiaTheme="minorEastAsia"/>
                <w:sz w:val="18"/>
                <w:szCs w:val="18"/>
              </w:rPr>
              <w:t>100.00</w:t>
            </w:r>
          </w:p>
        </w:tc>
        <w:tc>
          <w:tcPr>
            <w:tcW w:w="1123" w:type="pct"/>
            <w:noWrap/>
            <w:vAlign w:val="center"/>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0.26</w:t>
            </w:r>
          </w:p>
        </w:tc>
        <w:tc>
          <w:tcPr>
            <w:tcW w:w="856" w:type="pct"/>
            <w:vAlign w:val="center"/>
          </w:tcPr>
          <w:p>
            <w:pPr>
              <w:tabs>
                <w:tab w:val="right" w:leader="dot" w:pos="8302"/>
              </w:tabs>
              <w:spacing w:line="240" w:lineRule="exact"/>
              <w:ind w:firstLine="0" w:firstLineChars="0"/>
              <w:jc w:val="center"/>
              <w:rPr>
                <w:rFonts w:cs="Times New Roman" w:eastAsiaTheme="minorEastAsia"/>
                <w:sz w:val="18"/>
                <w:szCs w:val="18"/>
              </w:rPr>
            </w:pPr>
            <w:r>
              <w:rPr>
                <w:rFonts w:cs="Times New Roman" w:eastAsiaTheme="minorEastAsia"/>
                <w:sz w:val="18"/>
                <w:szCs w:val="18"/>
              </w:rPr>
              <w:t>0.60</w:t>
            </w:r>
          </w:p>
        </w:tc>
      </w:tr>
    </w:tbl>
    <w:p>
      <w:pPr>
        <w:tabs>
          <w:tab w:val="right" w:leader="dot" w:pos="8302"/>
        </w:tabs>
        <w:spacing w:line="240" w:lineRule="auto"/>
        <w:ind w:firstLine="480"/>
        <w:rPr>
          <w:rFonts w:cs="Times New Roman"/>
        </w:rPr>
      </w:pPr>
    </w:p>
    <w:p>
      <w:pPr>
        <w:tabs>
          <w:tab w:val="right" w:leader="dot" w:pos="8302"/>
        </w:tabs>
        <w:ind w:firstLine="480"/>
        <w:rPr>
          <w:rFonts w:cs="Times New Roman" w:eastAsiaTheme="minorEastAsia"/>
        </w:rPr>
      </w:pPr>
      <w:r>
        <w:rPr>
          <w:rFonts w:cs="Times New Roman" w:eastAsiaTheme="minorEastAsia"/>
        </w:rPr>
        <w:t>由表4.3-16计算结果可知，工程</w:t>
      </w:r>
      <w:r>
        <w:rPr>
          <w:rFonts w:cs="Times New Roman" w:eastAsiaTheme="minorEastAsia"/>
          <w:kern w:val="0"/>
        </w:rPr>
        <w:t>评价</w:t>
      </w:r>
      <w:r>
        <w:rPr>
          <w:rFonts w:cs="Times New Roman" w:eastAsiaTheme="minorEastAsia"/>
        </w:rPr>
        <w:t>区平均净生产力为0.26g/m</w:t>
      </w:r>
      <w:r>
        <w:rPr>
          <w:rFonts w:cs="Times New Roman" w:eastAsiaTheme="minorEastAsia"/>
          <w:vertAlign w:val="superscript"/>
        </w:rPr>
        <w:t>2</w:t>
      </w:r>
      <w:r>
        <w:rPr>
          <w:rFonts w:cs="Times New Roman" w:eastAsiaTheme="minorEastAsia"/>
        </w:rPr>
        <w:t>•d，与其本底生产能力相比有所上升，这主要是受气象资料不足的影响，评价区范围涵盖部分山区，该区实际降水量应高于伊吾县气象站观测的降水量，同时在下马崖水库周边依靠较好的水分条件分布有一定面积生产力较高的灌丛、栽培植被，使得评价区背景生产能力较本底生产能力有所上升，但仍处于最低生产力生态系统水平。</w:t>
      </w:r>
    </w:p>
    <w:p>
      <w:pPr>
        <w:tabs>
          <w:tab w:val="right" w:leader="dot" w:pos="8302"/>
        </w:tabs>
        <w:ind w:firstLine="480"/>
        <w:rPr>
          <w:rFonts w:cs="Times New Roman" w:eastAsiaTheme="minorEastAsia"/>
        </w:rPr>
      </w:pPr>
      <w:r>
        <w:rPr>
          <w:rFonts w:cs="Times New Roman" w:eastAsiaTheme="minorEastAsia"/>
        </w:rPr>
        <w:t>B.自然系统背景的稳定状况分析</w:t>
      </w:r>
    </w:p>
    <w:p>
      <w:pPr>
        <w:tabs>
          <w:tab w:val="right" w:leader="dot" w:pos="8302"/>
        </w:tabs>
        <w:ind w:firstLine="480"/>
        <w:rPr>
          <w:rFonts w:cs="Times New Roman" w:eastAsiaTheme="minorEastAsia"/>
        </w:rPr>
      </w:pPr>
      <w:r>
        <w:rPr>
          <w:rFonts w:cs="Times New Roman" w:eastAsiaTheme="minorEastAsia"/>
        </w:rPr>
        <w:t>ⅰ.恢复稳定性</w:t>
      </w:r>
    </w:p>
    <w:p>
      <w:pPr>
        <w:tabs>
          <w:tab w:val="right" w:leader="dot" w:pos="8302"/>
        </w:tabs>
        <w:ind w:firstLine="480"/>
        <w:rPr>
          <w:rFonts w:cs="Times New Roman" w:eastAsiaTheme="minorEastAsia"/>
        </w:rPr>
      </w:pPr>
      <w:r>
        <w:rPr>
          <w:rFonts w:cs="Times New Roman" w:eastAsiaTheme="minorEastAsia"/>
        </w:rPr>
        <w:t>植被平均净第一性生产力偏离本底值越远，系统被改变后返回原来状态需要的时间越长，其恢复稳定性也就越低。</w:t>
      </w:r>
      <w:r>
        <w:rPr>
          <w:rFonts w:cs="Times New Roman" w:eastAsiaTheme="minorEastAsia"/>
          <w:kern w:val="0"/>
        </w:rPr>
        <w:t>由以上生物平均净生产力计算成果可知，工程评价区</w:t>
      </w:r>
      <w:r>
        <w:rPr>
          <w:rFonts w:cs="Times New Roman" w:eastAsiaTheme="minorEastAsia"/>
        </w:rPr>
        <w:t>平均净生产能力与本底状况相比上升了16.62%，因此总体来看，区域自然系统恢复稳定性相对一般。</w:t>
      </w:r>
    </w:p>
    <w:p>
      <w:pPr>
        <w:tabs>
          <w:tab w:val="right" w:leader="dot" w:pos="8302"/>
        </w:tabs>
        <w:ind w:firstLine="480"/>
        <w:rPr>
          <w:rFonts w:cs="Times New Roman" w:eastAsiaTheme="minorEastAsia"/>
        </w:rPr>
      </w:pPr>
      <w:r>
        <w:rPr>
          <w:rFonts w:cs="Times New Roman" w:eastAsiaTheme="minorEastAsia"/>
        </w:rPr>
        <w:t>ⅱ.阻抗稳定性</w:t>
      </w:r>
    </w:p>
    <w:p>
      <w:pPr>
        <w:tabs>
          <w:tab w:val="right" w:leader="dot" w:pos="8302"/>
        </w:tabs>
        <w:ind w:firstLine="480"/>
        <w:rPr>
          <w:rFonts w:cs="Times New Roman" w:eastAsiaTheme="minorEastAsia"/>
        </w:rPr>
      </w:pPr>
      <w:r>
        <w:rPr>
          <w:rFonts w:cs="Times New Roman" w:eastAsiaTheme="minorEastAsia"/>
        </w:rPr>
        <w:t>阻抗稳定性与高亚稳定性元素的数量、空间分布及其异质化程度密切相关。由现状调查可知，工程评价区本底的异质化程度就很低，区域分布有大面积的覆</w:t>
      </w:r>
      <w:r>
        <w:rPr>
          <w:rFonts w:hint="eastAsia" w:cs="Times New Roman" w:eastAsiaTheme="minorEastAsia"/>
          <w:lang w:eastAsia="zh-CN"/>
        </w:rPr>
        <w:t>植盖度</w:t>
      </w:r>
      <w:r>
        <w:rPr>
          <w:rFonts w:cs="Times New Roman" w:eastAsiaTheme="minorEastAsia"/>
        </w:rPr>
        <w:t>极低的荒漠和无植被区（滩涂、裸岩石砾地）等，植被群落结构简单，物种贫乏，因此，工程评价区自然系统的阻抗稳定性相对较差。</w:t>
      </w:r>
    </w:p>
    <w:p>
      <w:pPr>
        <w:tabs>
          <w:tab w:val="right" w:leader="dot" w:pos="8302"/>
        </w:tabs>
        <w:ind w:firstLine="480"/>
        <w:rPr>
          <w:rFonts w:cs="Times New Roman" w:eastAsiaTheme="minorEastAsia"/>
        </w:rPr>
      </w:pPr>
      <w:r>
        <w:rPr>
          <w:rFonts w:cs="Times New Roman" w:eastAsiaTheme="minorEastAsia"/>
        </w:rPr>
        <w:t>C.自然体系生态承载力分析</w:t>
      </w:r>
    </w:p>
    <w:p>
      <w:pPr>
        <w:tabs>
          <w:tab w:val="right" w:leader="dot" w:pos="8302"/>
        </w:tabs>
        <w:ind w:firstLine="480"/>
        <w:rPr>
          <w:rFonts w:cs="Times New Roman" w:eastAsiaTheme="minorEastAsia"/>
        </w:rPr>
      </w:pPr>
      <w:r>
        <w:rPr>
          <w:rFonts w:cs="Times New Roman" w:eastAsiaTheme="minorEastAsia"/>
        </w:rPr>
        <w:t>生态承载力是客观存在的某种类型自然体系调节能力极限值，它是一种相对稳定状态即亚稳定性，根据非污染生态技术导则，第一性生产者抗御外力作用的限度是生态承载力的指示。</w:t>
      </w:r>
    </w:p>
    <w:p>
      <w:pPr>
        <w:tabs>
          <w:tab w:val="right" w:leader="dot" w:pos="8302"/>
        </w:tabs>
        <w:ind w:firstLine="480"/>
        <w:rPr>
          <w:rFonts w:cs="Times New Roman" w:eastAsiaTheme="minorEastAsia"/>
        </w:rPr>
      </w:pPr>
      <w:r>
        <w:rPr>
          <w:rFonts w:cs="Times New Roman" w:eastAsiaTheme="minorEastAsia"/>
        </w:rPr>
        <w:t>工程评价区</w:t>
      </w:r>
      <w:r>
        <w:rPr>
          <w:rFonts w:cs="Times New Roman" w:eastAsiaTheme="minorEastAsia"/>
          <w:kern w:val="0"/>
        </w:rPr>
        <w:t>本底</w:t>
      </w:r>
      <w:r>
        <w:rPr>
          <w:rFonts w:cs="Times New Roman" w:eastAsiaTheme="minorEastAsia"/>
        </w:rPr>
        <w:t>净第一性生产力为0.26g/m</w:t>
      </w:r>
      <w:r>
        <w:rPr>
          <w:rFonts w:cs="Times New Roman" w:eastAsiaTheme="minorEastAsia"/>
          <w:vertAlign w:val="superscript"/>
        </w:rPr>
        <w:t>2</w:t>
      </w:r>
      <w:r>
        <w:rPr>
          <w:rFonts w:cs="Times New Roman" w:eastAsiaTheme="minorEastAsia"/>
        </w:rPr>
        <w:t>•d，属于荒漠生态系统的水平。而荒漠生态承载力阈值（奥德姆等级划分）为小于0.5g/m</w:t>
      </w:r>
      <w:r>
        <w:rPr>
          <w:rFonts w:cs="Times New Roman" w:eastAsiaTheme="minorEastAsia"/>
          <w:vertAlign w:val="superscript"/>
        </w:rPr>
        <w:t>2</w:t>
      </w:r>
      <w:r>
        <w:rPr>
          <w:rFonts w:cs="Times New Roman" w:eastAsiaTheme="minorEastAsia"/>
        </w:rPr>
        <w:t>•d，评价区生产力水平属于最低生产力生态系统，生态承载力水平较低。</w:t>
      </w:r>
    </w:p>
    <w:p>
      <w:pPr>
        <w:pStyle w:val="89"/>
        <w:numPr>
          <w:ilvl w:val="0"/>
          <w:numId w:val="5"/>
        </w:numPr>
        <w:tabs>
          <w:tab w:val="right" w:leader="dot" w:pos="8302"/>
        </w:tabs>
        <w:ind w:firstLineChars="0"/>
        <w:rPr>
          <w:rFonts w:cs="Times New Roman" w:eastAsiaTheme="minorEastAsia"/>
          <w:kern w:val="0"/>
        </w:rPr>
      </w:pPr>
      <w:r>
        <w:rPr>
          <w:rFonts w:cs="Times New Roman" w:eastAsiaTheme="minorEastAsia"/>
          <w:kern w:val="0"/>
        </w:rPr>
        <w:t>区域环境功能现状评价</w:t>
      </w:r>
    </w:p>
    <w:p>
      <w:pPr>
        <w:tabs>
          <w:tab w:val="right" w:leader="dot" w:pos="8302"/>
        </w:tabs>
        <w:ind w:firstLine="480"/>
        <w:rPr>
          <w:rFonts w:cs="Times New Roman" w:eastAsiaTheme="minorEastAsia"/>
          <w:kern w:val="0"/>
        </w:rPr>
      </w:pPr>
      <w:r>
        <w:rPr>
          <w:rFonts w:cs="Times New Roman" w:eastAsiaTheme="minorEastAsia"/>
          <w:kern w:val="0"/>
        </w:rPr>
        <w:t>对工程评价</w:t>
      </w:r>
      <w:r>
        <w:rPr>
          <w:rFonts w:cs="Times New Roman" w:eastAsiaTheme="minorEastAsia"/>
        </w:rPr>
        <w:t>区</w:t>
      </w:r>
      <w:r>
        <w:rPr>
          <w:rFonts w:cs="Times New Roman" w:eastAsiaTheme="minorEastAsia"/>
          <w:kern w:val="0"/>
        </w:rPr>
        <w:t>进行生态学研究，利用“3S”技术手段，分析并获取对区域生态过程评价有重要价值的生态学指标，即密度（</w:t>
      </w:r>
      <w:r>
        <w:rPr>
          <w:rFonts w:cs="Times New Roman" w:eastAsiaTheme="minorEastAsia"/>
          <w:i/>
          <w:kern w:val="0"/>
        </w:rPr>
        <w:t>Rd</w:t>
      </w:r>
      <w:r>
        <w:rPr>
          <w:rFonts w:cs="Times New Roman" w:eastAsiaTheme="minorEastAsia"/>
          <w:kern w:val="0"/>
        </w:rPr>
        <w:t>）、频率（</w:t>
      </w:r>
      <w:r>
        <w:rPr>
          <w:rFonts w:cs="Times New Roman" w:eastAsiaTheme="minorEastAsia"/>
          <w:i/>
          <w:kern w:val="0"/>
        </w:rPr>
        <w:t>Rf</w:t>
      </w:r>
      <w:r>
        <w:rPr>
          <w:rFonts w:cs="Times New Roman" w:eastAsiaTheme="minorEastAsia"/>
          <w:kern w:val="0"/>
        </w:rPr>
        <w:t>）和景观比例（</w:t>
      </w:r>
      <w:r>
        <w:rPr>
          <w:rFonts w:cs="Times New Roman" w:eastAsiaTheme="minorEastAsia"/>
          <w:i/>
          <w:kern w:val="0"/>
        </w:rPr>
        <w:t>Lp</w:t>
      </w:r>
      <w:r>
        <w:rPr>
          <w:rFonts w:cs="Times New Roman" w:eastAsiaTheme="minorEastAsia"/>
          <w:kern w:val="0"/>
        </w:rPr>
        <w:t>）。密度（</w:t>
      </w:r>
      <w:r>
        <w:rPr>
          <w:rFonts w:cs="Times New Roman" w:eastAsiaTheme="minorEastAsia"/>
          <w:i/>
          <w:kern w:val="0"/>
        </w:rPr>
        <w:t>Rd</w:t>
      </w:r>
      <w:r>
        <w:rPr>
          <w:rFonts w:cs="Times New Roman" w:eastAsiaTheme="minorEastAsia"/>
          <w:kern w:val="0"/>
        </w:rPr>
        <w:t>）、频率（</w:t>
      </w:r>
      <w:r>
        <w:rPr>
          <w:rFonts w:cs="Times New Roman" w:eastAsiaTheme="minorEastAsia"/>
          <w:i/>
          <w:kern w:val="0"/>
        </w:rPr>
        <w:t>Rf</w:t>
      </w:r>
      <w:r>
        <w:rPr>
          <w:rFonts w:cs="Times New Roman" w:eastAsiaTheme="minorEastAsia"/>
          <w:kern w:val="0"/>
        </w:rPr>
        <w:t>）这两个参数对模地判定有较好的反映，景观比例（</w:t>
      </w:r>
      <w:r>
        <w:rPr>
          <w:rFonts w:cs="Times New Roman" w:eastAsiaTheme="minorEastAsia"/>
          <w:i/>
          <w:kern w:val="0"/>
        </w:rPr>
        <w:t>Lp</w:t>
      </w:r>
      <w:r>
        <w:rPr>
          <w:rFonts w:cs="Times New Roman" w:eastAsiaTheme="minorEastAsia"/>
          <w:kern w:val="0"/>
        </w:rPr>
        <w:t>）表达不够明确，但依据模地的判定步骤可以认为，当前两个标准的判定比较明确时，可以认为其中相对面积大、连通程度高的，即为具有生境质量调控能力的模地。工程评价</w:t>
      </w:r>
      <w:r>
        <w:rPr>
          <w:rFonts w:cs="Times New Roman" w:eastAsiaTheme="minorEastAsia"/>
        </w:rPr>
        <w:t>区</w:t>
      </w:r>
      <w:r>
        <w:rPr>
          <w:rFonts w:cs="Times New Roman" w:eastAsiaTheme="minorEastAsia"/>
          <w:kern w:val="0"/>
        </w:rPr>
        <w:t>优势度值见表4.3-17。</w:t>
      </w:r>
    </w:p>
    <w:p>
      <w:pPr>
        <w:tabs>
          <w:tab w:val="right" w:leader="dot" w:pos="8302"/>
        </w:tabs>
        <w:ind w:firstLine="480"/>
        <w:rPr>
          <w:rFonts w:cs="Times New Roman" w:eastAsiaTheme="minorEastAsia"/>
          <w:kern w:val="0"/>
        </w:rPr>
      </w:pPr>
    </w:p>
    <w:p>
      <w:pPr>
        <w:pStyle w:val="137"/>
        <w:spacing w:before="62"/>
      </w:pPr>
      <w:r>
        <w:t>表4.3-17            现状年工程评价区域景观优势度计算结果统计表</w:t>
      </w:r>
    </w:p>
    <w:tbl>
      <w:tblPr>
        <w:tblStyle w:val="40"/>
        <w:tblW w:w="50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1671"/>
        <w:gridCol w:w="1608"/>
        <w:gridCol w:w="2195"/>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1" w:type="pct"/>
            <w:noWrap/>
            <w:vAlign w:val="center"/>
          </w:tcPr>
          <w:p>
            <w:pPr>
              <w:widowControl/>
              <w:tabs>
                <w:tab w:val="right" w:leader="dot" w:pos="8302"/>
              </w:tabs>
              <w:spacing w:line="240" w:lineRule="auto"/>
              <w:ind w:firstLine="0" w:firstLineChars="0"/>
              <w:jc w:val="center"/>
              <w:rPr>
                <w:rFonts w:cs="Times New Roman"/>
                <w:bCs/>
                <w:kern w:val="0"/>
                <w:sz w:val="18"/>
                <w:szCs w:val="18"/>
              </w:rPr>
            </w:pPr>
            <w:r>
              <w:rPr>
                <w:rFonts w:cs="Times New Roman"/>
                <w:bCs/>
                <w:kern w:val="0"/>
                <w:sz w:val="18"/>
                <w:szCs w:val="18"/>
              </w:rPr>
              <w:t>景观类型</w:t>
            </w:r>
          </w:p>
        </w:tc>
        <w:tc>
          <w:tcPr>
            <w:tcW w:w="885" w:type="pct"/>
            <w:noWrap/>
            <w:vAlign w:val="center"/>
          </w:tcPr>
          <w:p>
            <w:pPr>
              <w:widowControl/>
              <w:tabs>
                <w:tab w:val="right" w:leader="dot" w:pos="8302"/>
              </w:tabs>
              <w:spacing w:line="240" w:lineRule="auto"/>
              <w:ind w:firstLine="0" w:firstLineChars="0"/>
              <w:jc w:val="center"/>
              <w:rPr>
                <w:rFonts w:cs="Times New Roman"/>
                <w:bCs/>
                <w:kern w:val="0"/>
                <w:sz w:val="18"/>
                <w:szCs w:val="18"/>
              </w:rPr>
            </w:pPr>
            <w:r>
              <w:rPr>
                <w:rFonts w:cs="Times New Roman"/>
                <w:bCs/>
                <w:kern w:val="0"/>
                <w:sz w:val="18"/>
                <w:szCs w:val="18"/>
              </w:rPr>
              <w:t>密度Rd(%)</w:t>
            </w:r>
          </w:p>
        </w:tc>
        <w:tc>
          <w:tcPr>
            <w:tcW w:w="852" w:type="pct"/>
            <w:noWrap/>
            <w:vAlign w:val="center"/>
          </w:tcPr>
          <w:p>
            <w:pPr>
              <w:widowControl/>
              <w:tabs>
                <w:tab w:val="right" w:leader="dot" w:pos="8302"/>
              </w:tabs>
              <w:spacing w:line="240" w:lineRule="auto"/>
              <w:ind w:firstLine="0" w:firstLineChars="0"/>
              <w:jc w:val="center"/>
              <w:rPr>
                <w:rFonts w:cs="Times New Roman"/>
                <w:bCs/>
                <w:kern w:val="0"/>
                <w:sz w:val="18"/>
                <w:szCs w:val="18"/>
              </w:rPr>
            </w:pPr>
            <w:r>
              <w:rPr>
                <w:rFonts w:cs="Times New Roman"/>
                <w:bCs/>
                <w:kern w:val="0"/>
                <w:sz w:val="18"/>
                <w:szCs w:val="18"/>
              </w:rPr>
              <w:t>频率Rf(%)</w:t>
            </w:r>
          </w:p>
        </w:tc>
        <w:tc>
          <w:tcPr>
            <w:tcW w:w="1163" w:type="pct"/>
            <w:noWrap/>
            <w:vAlign w:val="center"/>
          </w:tcPr>
          <w:p>
            <w:pPr>
              <w:widowControl/>
              <w:tabs>
                <w:tab w:val="right" w:leader="dot" w:pos="8302"/>
              </w:tabs>
              <w:spacing w:line="240" w:lineRule="auto"/>
              <w:ind w:firstLine="0" w:firstLineChars="0"/>
              <w:jc w:val="center"/>
              <w:rPr>
                <w:rFonts w:cs="Times New Roman"/>
                <w:bCs/>
                <w:kern w:val="0"/>
                <w:sz w:val="18"/>
                <w:szCs w:val="18"/>
              </w:rPr>
            </w:pPr>
            <w:r>
              <w:rPr>
                <w:rFonts w:cs="Times New Roman"/>
                <w:bCs/>
                <w:kern w:val="0"/>
                <w:sz w:val="18"/>
                <w:szCs w:val="18"/>
              </w:rPr>
              <w:t>景观比例Lp(%)</w:t>
            </w:r>
          </w:p>
        </w:tc>
        <w:tc>
          <w:tcPr>
            <w:tcW w:w="1019" w:type="pct"/>
            <w:noWrap/>
            <w:vAlign w:val="center"/>
          </w:tcPr>
          <w:p>
            <w:pPr>
              <w:widowControl/>
              <w:tabs>
                <w:tab w:val="right" w:leader="dot" w:pos="8302"/>
              </w:tabs>
              <w:spacing w:line="240" w:lineRule="auto"/>
              <w:ind w:firstLine="0" w:firstLineChars="0"/>
              <w:jc w:val="center"/>
              <w:rPr>
                <w:rFonts w:cs="Times New Roman"/>
                <w:bCs/>
                <w:kern w:val="0"/>
                <w:sz w:val="18"/>
                <w:szCs w:val="18"/>
              </w:rPr>
            </w:pPr>
            <w:r>
              <w:rPr>
                <w:rFonts w:cs="Times New Roman"/>
                <w:bCs/>
                <w:kern w:val="0"/>
                <w:sz w:val="18"/>
                <w:szCs w:val="18"/>
              </w:rPr>
              <w:t>优势度Do(%)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81" w:type="pct"/>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农田景观</w:t>
            </w:r>
          </w:p>
        </w:tc>
        <w:tc>
          <w:tcPr>
            <w:tcW w:w="885"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3.16 </w:t>
            </w:r>
          </w:p>
        </w:tc>
        <w:tc>
          <w:tcPr>
            <w:tcW w:w="852"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1.80 </w:t>
            </w:r>
          </w:p>
        </w:tc>
        <w:tc>
          <w:tcPr>
            <w:tcW w:w="1163"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0.39 </w:t>
            </w:r>
          </w:p>
        </w:tc>
        <w:tc>
          <w:tcPr>
            <w:tcW w:w="1019"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81" w:type="pct"/>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林地景观</w:t>
            </w:r>
          </w:p>
        </w:tc>
        <w:tc>
          <w:tcPr>
            <w:tcW w:w="885"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4.21 </w:t>
            </w:r>
          </w:p>
        </w:tc>
        <w:tc>
          <w:tcPr>
            <w:tcW w:w="852"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3.15 </w:t>
            </w:r>
          </w:p>
        </w:tc>
        <w:tc>
          <w:tcPr>
            <w:tcW w:w="1163"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0.65 </w:t>
            </w:r>
          </w:p>
        </w:tc>
        <w:tc>
          <w:tcPr>
            <w:tcW w:w="1019"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2.17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81" w:type="pct"/>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草地景观</w:t>
            </w:r>
          </w:p>
        </w:tc>
        <w:tc>
          <w:tcPr>
            <w:tcW w:w="885"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26.32 </w:t>
            </w:r>
          </w:p>
        </w:tc>
        <w:tc>
          <w:tcPr>
            <w:tcW w:w="852"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57.52 </w:t>
            </w:r>
          </w:p>
        </w:tc>
        <w:tc>
          <w:tcPr>
            <w:tcW w:w="1163"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53.41 </w:t>
            </w:r>
          </w:p>
        </w:tc>
        <w:tc>
          <w:tcPr>
            <w:tcW w:w="1019"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47.67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81" w:type="pct"/>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水域景观</w:t>
            </w:r>
          </w:p>
        </w:tc>
        <w:tc>
          <w:tcPr>
            <w:tcW w:w="885"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14.74 </w:t>
            </w:r>
          </w:p>
        </w:tc>
        <w:tc>
          <w:tcPr>
            <w:tcW w:w="852"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25.11 </w:t>
            </w:r>
          </w:p>
        </w:tc>
        <w:tc>
          <w:tcPr>
            <w:tcW w:w="1163"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32.51 </w:t>
            </w:r>
          </w:p>
        </w:tc>
        <w:tc>
          <w:tcPr>
            <w:tcW w:w="1019"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26.21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81" w:type="pct"/>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人居景观</w:t>
            </w:r>
          </w:p>
        </w:tc>
        <w:tc>
          <w:tcPr>
            <w:tcW w:w="885"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9.47 </w:t>
            </w:r>
          </w:p>
        </w:tc>
        <w:tc>
          <w:tcPr>
            <w:tcW w:w="852"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8.55 </w:t>
            </w:r>
          </w:p>
        </w:tc>
        <w:tc>
          <w:tcPr>
            <w:tcW w:w="1163"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0.76 </w:t>
            </w:r>
          </w:p>
        </w:tc>
        <w:tc>
          <w:tcPr>
            <w:tcW w:w="1019"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4.89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81" w:type="pct"/>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其它土地景观</w:t>
            </w:r>
          </w:p>
        </w:tc>
        <w:tc>
          <w:tcPr>
            <w:tcW w:w="885"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42.11 </w:t>
            </w:r>
          </w:p>
        </w:tc>
        <w:tc>
          <w:tcPr>
            <w:tcW w:w="852"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15.10 </w:t>
            </w:r>
          </w:p>
        </w:tc>
        <w:tc>
          <w:tcPr>
            <w:tcW w:w="1163"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12.27 </w:t>
            </w:r>
          </w:p>
        </w:tc>
        <w:tc>
          <w:tcPr>
            <w:tcW w:w="1019" w:type="pct"/>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 xml:space="preserve">20.44 </w:t>
            </w:r>
          </w:p>
        </w:tc>
      </w:tr>
    </w:tbl>
    <w:p>
      <w:pPr>
        <w:tabs>
          <w:tab w:val="right" w:leader="dot" w:pos="8302"/>
        </w:tabs>
        <w:spacing w:line="240" w:lineRule="auto"/>
        <w:ind w:firstLine="0" w:firstLineChars="0"/>
        <w:jc w:val="center"/>
        <w:rPr>
          <w:rFonts w:cs="Times New Roman"/>
          <w:sz w:val="21"/>
        </w:rPr>
      </w:pPr>
    </w:p>
    <w:p>
      <w:pPr>
        <w:ind w:firstLine="480"/>
        <w:rPr>
          <w:rFonts w:cs="Times New Roman" w:eastAsiaTheme="minorEastAsia"/>
        </w:rPr>
      </w:pPr>
      <w:r>
        <w:rPr>
          <w:rFonts w:cs="Times New Roman" w:eastAsiaTheme="minorEastAsia"/>
        </w:rPr>
        <w:t>表4.3-17中数据显示，工程评价区内草地景观优势度最高、为47.67%，其频率和景观比例也最高，分别为57.52%和53.41%，说明草地景观在评价区范围分布面积广、联通程度高，可以认为</w:t>
      </w:r>
      <w:r>
        <w:rPr>
          <w:rFonts w:cs="Times New Roman" w:eastAsiaTheme="minorEastAsia"/>
          <w:kern w:val="0"/>
        </w:rPr>
        <w:t>是工程评价</w:t>
      </w:r>
      <w:r>
        <w:rPr>
          <w:rFonts w:cs="Times New Roman" w:eastAsiaTheme="minorEastAsia"/>
        </w:rPr>
        <w:t>区</w:t>
      </w:r>
      <w:r>
        <w:rPr>
          <w:rFonts w:cs="Times New Roman" w:eastAsiaTheme="minorEastAsia"/>
          <w:kern w:val="0"/>
        </w:rPr>
        <w:t>的模地景观。其余景观中，</w:t>
      </w:r>
      <w:r>
        <w:rPr>
          <w:rFonts w:cs="Times New Roman" w:eastAsiaTheme="minorEastAsia"/>
        </w:rPr>
        <w:t>水域景观和其它土地景观优势度相对较高，分别达到了26.21%和20.44%，农田、人居景观均较低，分别为2.17%、1.43%和4.89%，说明区域人类干扰程度较弱。以上数据说明，评价区域以草地景观为模地景观，由于草地景观主要以山地草原和平原荒漠植被组成，且以大范围的平原荒漠植被为主，</w:t>
      </w:r>
      <w:r>
        <w:rPr>
          <w:rFonts w:hint="eastAsia" w:cs="Times New Roman" w:eastAsiaTheme="minorEastAsia"/>
          <w:lang w:eastAsia="zh-CN"/>
        </w:rPr>
        <w:t>植被盖度</w:t>
      </w:r>
      <w:r>
        <w:rPr>
          <w:rFonts w:cs="Times New Roman" w:eastAsiaTheme="minorEastAsia"/>
        </w:rPr>
        <w:t>低，普遍不足10%，自然体系生产能力低，植被抗干扰能力不强。因此，总体上来说，工程</w:t>
      </w:r>
      <w:r>
        <w:rPr>
          <w:rFonts w:cs="Times New Roman" w:eastAsiaTheme="minorEastAsia"/>
          <w:kern w:val="0"/>
        </w:rPr>
        <w:t>评价</w:t>
      </w:r>
      <w:r>
        <w:rPr>
          <w:rFonts w:cs="Times New Roman" w:eastAsiaTheme="minorEastAsia"/>
        </w:rPr>
        <w:t>区的生态环境质量较差。</w:t>
      </w:r>
    </w:p>
    <w:p>
      <w:pPr>
        <w:pStyle w:val="62"/>
        <w:rPr>
          <w:rFonts w:cs="Times New Roman"/>
        </w:rPr>
      </w:pPr>
      <w:r>
        <w:rPr>
          <w:rFonts w:cs="Times New Roman"/>
        </w:rPr>
        <w:t>4.2.1.8 土壤</w:t>
      </w:r>
      <w:bookmarkEnd w:id="80"/>
    </w:p>
    <w:p>
      <w:pPr>
        <w:ind w:firstLine="480"/>
        <w:rPr>
          <w:rFonts w:cs="Times New Roman" w:eastAsiaTheme="minorEastAsia"/>
        </w:rPr>
      </w:pPr>
      <w:r>
        <w:rPr>
          <w:rFonts w:cs="Times New Roman" w:eastAsiaTheme="minorEastAsia"/>
        </w:rPr>
        <w:t>（1）土壤类型</w:t>
      </w:r>
    </w:p>
    <w:p>
      <w:pPr>
        <w:ind w:firstLine="480"/>
        <w:rPr>
          <w:rFonts w:cs="Times New Roman" w:eastAsiaTheme="minorEastAsia"/>
        </w:rPr>
      </w:pPr>
      <w:r>
        <w:rPr>
          <w:rFonts w:cs="Times New Roman" w:eastAsiaTheme="minorEastAsia"/>
        </w:rPr>
        <w:t>代尔昆代水库工程区位于代尔昆代郭勒河中、低山区，工程区分布的土壤主要以棕钙土为主，出山口以下平原区分布土壤主要为淡棕漠土，在下游马崖乡周边分布少量草甸土。</w:t>
      </w:r>
    </w:p>
    <w:p>
      <w:pPr>
        <w:ind w:firstLine="480"/>
        <w:rPr>
          <w:rFonts w:cs="Times New Roman" w:eastAsiaTheme="minorEastAsia"/>
        </w:rPr>
      </w:pPr>
      <w:r>
        <w:rPr>
          <w:rFonts w:cs="Times New Roman" w:eastAsiaTheme="minorEastAsia"/>
        </w:rPr>
        <w:t>棕钙土发育在代尔昆代郭勒河上游低山区，是由生物累积和碳酸钙移动两个主要成土过程中形成的地带性土壤。组成棕钙土的母质主要是冲积-坡积-残积物，其剖面形态一般具有三个基本层次，即腐殖质层、钙积层与母质层。由于棕钙土干旱程度增加，荒漠化作用增强，导致土壤腐殖质层浅薄，有机质含量较低，流域内分布的棕钙土，腐殖质层不足20cm，钙积层出现部位高，一般出现在15～20cm处；母质层一般质地较粗，结构不明显，在底土层有数量不等的石膏聚集和可溶性盐类淀积。棕钙土是本工程淹没、占地区分布最为广泛的土壤类型。</w:t>
      </w:r>
    </w:p>
    <w:p>
      <w:pPr>
        <w:ind w:firstLine="480"/>
        <w:rPr>
          <w:rFonts w:cs="Times New Roman" w:eastAsiaTheme="minorEastAsia"/>
        </w:rPr>
      </w:pPr>
      <w:r>
        <w:rPr>
          <w:rFonts w:cs="Times New Roman" w:eastAsiaTheme="minorEastAsia"/>
        </w:rPr>
        <w:t>淡棕漠土主要分布在坝址下游出山口以下平原区，是温带漠境气候条件下粗骨母质上发育的地带性土壤。有机质含量低，介于灰漠土和棕漠土之间。其成土过程表现为石灰的表聚作用、石膏和易溶性盐的聚积、残积粘化和铁质化作用。地表为一片黑色砾漠，表层为发育良好的灰色或浅灰色多孔状结皮，厚1～2cm；其下为褐棕色或浅紧实层，厚3～15cm，粘化明显，多呈块状或团块状结构；再下为石膏与盐分聚积层。腐殖质累积极不明显，表层有机质含量&lt;0.5%。工程淹没、占地范围内不涉及该类土壤。</w:t>
      </w:r>
    </w:p>
    <w:p>
      <w:pPr>
        <w:ind w:firstLine="480"/>
        <w:rPr>
          <w:rFonts w:cs="Times New Roman" w:eastAsiaTheme="minorEastAsia"/>
        </w:rPr>
      </w:pPr>
      <w:r>
        <w:rPr>
          <w:rFonts w:cs="Times New Roman" w:eastAsiaTheme="minorEastAsia"/>
        </w:rPr>
        <w:t>草甸土主要分布于下马崖乡，该区地下水水位较高，盐分表聚性强，存在盐渍化现象，土壤呈弱碱性、碱性反应，腐殖质层厚20cm左右。工程淹没、占地范围内不涉及该类土壤。</w:t>
      </w:r>
    </w:p>
    <w:p>
      <w:pPr>
        <w:ind w:firstLine="480"/>
        <w:rPr>
          <w:rFonts w:cs="Times New Roman"/>
        </w:rPr>
      </w:pPr>
      <w:r>
        <w:rPr>
          <w:rFonts w:cs="Times New Roman"/>
        </w:rPr>
        <w:t>（2）土壤环境现状评价</w:t>
      </w:r>
    </w:p>
    <w:p>
      <w:pPr>
        <w:ind w:firstLine="480"/>
        <w:rPr>
          <w:rFonts w:cs="Times New Roman"/>
        </w:rPr>
      </w:pPr>
      <w:r>
        <w:rPr>
          <w:rFonts w:cs="Times New Roman"/>
        </w:rPr>
        <w:t>受我单位委托，2024年9月核工业二一六大队检测研究院开展了工程占地区土壤环境质量监测工作。</w:t>
      </w:r>
    </w:p>
    <w:p>
      <w:pPr>
        <w:ind w:firstLine="480"/>
        <w:rPr>
          <w:rFonts w:cs="Times New Roman"/>
        </w:rPr>
      </w:pPr>
      <w:r>
        <w:rPr>
          <w:rFonts w:cs="Times New Roman"/>
        </w:rPr>
        <w:t>监测点布设3个监测点，各监测点信息见表4.2-18，监测点位布设示意图见附图。</w:t>
      </w:r>
    </w:p>
    <w:p>
      <w:pPr>
        <w:pStyle w:val="137"/>
        <w:spacing w:before="62"/>
      </w:pPr>
      <w:r>
        <w:t>表4.2-18                        土壤监测样点布置表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6"/>
        <w:gridCol w:w="1506"/>
        <w:gridCol w:w="2197"/>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pct"/>
            <w:vAlign w:val="center"/>
          </w:tcPr>
          <w:p>
            <w:pPr>
              <w:pStyle w:val="136"/>
            </w:pPr>
            <w:r>
              <w:t>编号</w:t>
            </w:r>
          </w:p>
        </w:tc>
        <w:tc>
          <w:tcPr>
            <w:tcW w:w="811" w:type="pct"/>
            <w:vAlign w:val="center"/>
          </w:tcPr>
          <w:p>
            <w:pPr>
              <w:pStyle w:val="136"/>
            </w:pPr>
            <w:r>
              <w:t>区位</w:t>
            </w:r>
          </w:p>
        </w:tc>
        <w:tc>
          <w:tcPr>
            <w:tcW w:w="1183" w:type="pct"/>
            <w:vAlign w:val="center"/>
          </w:tcPr>
          <w:p>
            <w:pPr>
              <w:pStyle w:val="136"/>
            </w:pPr>
            <w:r>
              <w:t>经度</w:t>
            </w:r>
          </w:p>
        </w:tc>
        <w:tc>
          <w:tcPr>
            <w:tcW w:w="1183" w:type="pct"/>
            <w:vAlign w:val="center"/>
          </w:tcPr>
          <w:p>
            <w:pPr>
              <w:pStyle w:val="136"/>
            </w:pPr>
            <w: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pct"/>
            <w:vAlign w:val="center"/>
          </w:tcPr>
          <w:p>
            <w:pPr>
              <w:pStyle w:val="136"/>
            </w:pPr>
            <w:r>
              <w:t>T1（坝址）</w:t>
            </w:r>
          </w:p>
        </w:tc>
        <w:tc>
          <w:tcPr>
            <w:tcW w:w="811" w:type="pct"/>
            <w:vMerge w:val="restart"/>
            <w:vAlign w:val="center"/>
          </w:tcPr>
          <w:p>
            <w:pPr>
              <w:pStyle w:val="136"/>
            </w:pPr>
            <w:r>
              <w:t>工程区内</w:t>
            </w:r>
          </w:p>
        </w:tc>
        <w:tc>
          <w:tcPr>
            <w:tcW w:w="1183" w:type="pct"/>
            <w:vAlign w:val="center"/>
          </w:tcPr>
          <w:p>
            <w:pPr>
              <w:pStyle w:val="136"/>
            </w:pPr>
            <w:r>
              <w:t>E94°47'27.29"</w:t>
            </w:r>
          </w:p>
        </w:tc>
        <w:tc>
          <w:tcPr>
            <w:tcW w:w="1183" w:type="pct"/>
            <w:vAlign w:val="center"/>
          </w:tcPr>
          <w:p>
            <w:pPr>
              <w:pStyle w:val="136"/>
            </w:pPr>
            <w:r>
              <w:t>N43°7'49.35"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pct"/>
            <w:vAlign w:val="center"/>
          </w:tcPr>
          <w:p>
            <w:pPr>
              <w:pStyle w:val="136"/>
            </w:pPr>
            <w:r>
              <w:t>T2（水库淹没区）</w:t>
            </w:r>
          </w:p>
        </w:tc>
        <w:tc>
          <w:tcPr>
            <w:tcW w:w="811" w:type="pct"/>
            <w:vMerge w:val="continue"/>
            <w:vAlign w:val="center"/>
          </w:tcPr>
          <w:p>
            <w:pPr>
              <w:pStyle w:val="136"/>
            </w:pPr>
          </w:p>
        </w:tc>
        <w:tc>
          <w:tcPr>
            <w:tcW w:w="1183" w:type="pct"/>
            <w:vAlign w:val="center"/>
          </w:tcPr>
          <w:p>
            <w:pPr>
              <w:pStyle w:val="136"/>
            </w:pPr>
            <w:r>
              <w:t>E94°47'28.28"</w:t>
            </w:r>
          </w:p>
        </w:tc>
        <w:tc>
          <w:tcPr>
            <w:tcW w:w="1183" w:type="pct"/>
            <w:vAlign w:val="center"/>
          </w:tcPr>
          <w:p>
            <w:pPr>
              <w:pStyle w:val="136"/>
            </w:pPr>
            <w:r>
              <w:t>N43°7'43.81"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pct"/>
            <w:vAlign w:val="center"/>
          </w:tcPr>
          <w:p>
            <w:pPr>
              <w:pStyle w:val="136"/>
            </w:pPr>
            <w:r>
              <w:t>T3（坝址周边非占地）</w:t>
            </w:r>
          </w:p>
        </w:tc>
        <w:tc>
          <w:tcPr>
            <w:tcW w:w="811" w:type="pct"/>
            <w:vAlign w:val="center"/>
          </w:tcPr>
          <w:p>
            <w:pPr>
              <w:pStyle w:val="136"/>
            </w:pPr>
            <w:r>
              <w:t>工程区外</w:t>
            </w:r>
          </w:p>
        </w:tc>
        <w:tc>
          <w:tcPr>
            <w:tcW w:w="1183" w:type="pct"/>
            <w:vAlign w:val="center"/>
          </w:tcPr>
          <w:p>
            <w:pPr>
              <w:pStyle w:val="136"/>
            </w:pPr>
            <w:r>
              <w:t>E94°47'27.07"</w:t>
            </w:r>
          </w:p>
        </w:tc>
        <w:tc>
          <w:tcPr>
            <w:tcW w:w="1183" w:type="pct"/>
            <w:vAlign w:val="center"/>
          </w:tcPr>
          <w:p>
            <w:pPr>
              <w:pStyle w:val="136"/>
            </w:pPr>
            <w:r>
              <w:t>N43°8'1.26"</w:t>
            </w:r>
          </w:p>
        </w:tc>
      </w:tr>
    </w:tbl>
    <w:p>
      <w:pPr>
        <w:ind w:firstLine="480"/>
        <w:rPr>
          <w:rFonts w:cs="Times New Roman"/>
        </w:rPr>
      </w:pPr>
    </w:p>
    <w:p>
      <w:pPr>
        <w:ind w:firstLine="480"/>
        <w:rPr>
          <w:rFonts w:cs="Times New Roman"/>
        </w:rPr>
      </w:pPr>
      <w:r>
        <w:rPr>
          <w:rFonts w:cs="Times New Roman"/>
        </w:rPr>
        <w:t>监测项目及监测频率</w:t>
      </w:r>
    </w:p>
    <w:p>
      <w:pPr>
        <w:ind w:firstLine="480"/>
        <w:rPr>
          <w:rFonts w:cs="Times New Roman"/>
        </w:rPr>
      </w:pPr>
      <w:r>
        <w:rPr>
          <w:rFonts w:cs="Times New Roman"/>
        </w:rPr>
        <w:t>根据《环境影响评价技术导则土壤环境（试行）》（HJ964-2018），监测取表层土，坝址占地土壤评价因子选取土壤含盐量（SSC）、pH、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等建设用地土壤污染风险筛选值和管控值基本项目45项指标。库区及坝址周边非占地区2个表层样点土壤评价因子选取pH、镉、汞、砷、铅、铬、铜、镍、锌等共计10项指标。</w:t>
      </w:r>
    </w:p>
    <w:p>
      <w:pPr>
        <w:ind w:firstLine="480"/>
        <w:rPr>
          <w:rFonts w:cs="Times New Roman"/>
        </w:rPr>
      </w:pPr>
      <w:r>
        <w:rPr>
          <w:rFonts w:cs="Times New Roman"/>
        </w:rPr>
        <w:t>监测时间及频率：2024年9月19日一次性取样。</w:t>
      </w:r>
    </w:p>
    <w:p>
      <w:pPr>
        <w:ind w:firstLine="480"/>
        <w:rPr>
          <w:rFonts w:cs="Times New Roman"/>
        </w:rPr>
      </w:pPr>
      <w:r>
        <w:rPr>
          <w:rFonts w:cs="Times New Roman"/>
        </w:rPr>
        <w:t>评价方法</w:t>
      </w:r>
    </w:p>
    <w:p>
      <w:pPr>
        <w:ind w:firstLine="480"/>
        <w:rPr>
          <w:rFonts w:cs="Times New Roman"/>
        </w:rPr>
      </w:pPr>
      <w:r>
        <w:rPr>
          <w:rFonts w:cs="Times New Roman"/>
        </w:rPr>
        <w:t>根据《环境影响评价技术导则土壤环境（试行）》（HJ964-2018），土壤环境质量现状评价应采用对照法。</w:t>
      </w:r>
    </w:p>
    <w:p>
      <w:pPr>
        <w:ind w:firstLine="480"/>
        <w:rPr>
          <w:rFonts w:cs="Times New Roman"/>
        </w:rPr>
      </w:pPr>
      <w:r>
        <w:rPr>
          <w:rFonts w:cs="Times New Roman"/>
        </w:rPr>
        <w:t>土壤环境质量现状评价</w:t>
      </w:r>
    </w:p>
    <w:p>
      <w:pPr>
        <w:ind w:firstLine="480"/>
        <w:rPr>
          <w:rFonts w:cs="Times New Roman"/>
          <w:b/>
        </w:rPr>
      </w:pPr>
      <w:r>
        <w:rPr>
          <w:rFonts w:cs="Times New Roman"/>
        </w:rPr>
        <w:t>监测结果表明，坝址占地样点监测指标低于《土壤环境质量建设用地土壤污染风险管控标准（试行）》（GB36600-2018）中的风险筛选值，库区及非工程占地区土壤样点监测指标低于《土壤环境质量农用地土壤污染风险管控标准》（GB15618-2018）第二类用地标准中的风险筛选值，区域土壤环境污染风险低，土壤质量良好，对人体健康的风险可以忽略。</w:t>
      </w:r>
    </w:p>
    <w:p>
      <w:pPr>
        <w:ind w:firstLine="480"/>
        <w:rPr>
          <w:rFonts w:cs="Times New Roman"/>
        </w:rPr>
      </w:pPr>
      <w:r>
        <w:rPr>
          <w:rFonts w:cs="Times New Roman"/>
        </w:rPr>
        <w:t>土壤盐化评价：根据《环境影响评价技术导则(土壤环境（试行）)》(HJ964—2018)，土壤盐化分级标准见前文表1.3-9（1）。根据各样点监测结果，工程区土壤盐化评价结果见表4.2-20。</w:t>
      </w:r>
    </w:p>
    <w:p>
      <w:pPr>
        <w:pStyle w:val="137"/>
        <w:spacing w:before="62"/>
      </w:pPr>
      <w:r>
        <w:t>表4.2-20                   土壤盐化等级评价表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1302"/>
        <w:gridCol w:w="4504"/>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31" w:type="pct"/>
            <w:vAlign w:val="center"/>
          </w:tcPr>
          <w:p>
            <w:pPr>
              <w:pStyle w:val="136"/>
            </w:pPr>
            <w:r>
              <w:t>监测点</w:t>
            </w:r>
          </w:p>
        </w:tc>
        <w:tc>
          <w:tcPr>
            <w:tcW w:w="701" w:type="pct"/>
            <w:vAlign w:val="center"/>
          </w:tcPr>
          <w:p>
            <w:pPr>
              <w:pStyle w:val="136"/>
            </w:pPr>
            <w:r>
              <w:t>地区</w:t>
            </w:r>
          </w:p>
        </w:tc>
        <w:tc>
          <w:tcPr>
            <w:tcW w:w="2425" w:type="pct"/>
            <w:vAlign w:val="center"/>
          </w:tcPr>
          <w:p>
            <w:pPr>
              <w:pStyle w:val="136"/>
            </w:pPr>
            <w:r>
              <w:t>土壤含盐量（SSC）/（g/kg）</w:t>
            </w:r>
          </w:p>
        </w:tc>
        <w:tc>
          <w:tcPr>
            <w:tcW w:w="1043" w:type="pct"/>
            <w:vAlign w:val="center"/>
          </w:tcPr>
          <w:p>
            <w:pPr>
              <w:pStyle w:val="136"/>
            </w:pPr>
            <w:r>
              <w:t>盐化等级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Align w:val="center"/>
          </w:tcPr>
          <w:p>
            <w:pPr>
              <w:pStyle w:val="136"/>
            </w:pPr>
            <w:r>
              <w:t>T1样点</w:t>
            </w:r>
          </w:p>
        </w:tc>
        <w:tc>
          <w:tcPr>
            <w:tcW w:w="701" w:type="pct"/>
            <w:vMerge w:val="restart"/>
            <w:vAlign w:val="center"/>
          </w:tcPr>
          <w:p>
            <w:pPr>
              <w:pStyle w:val="136"/>
            </w:pPr>
            <w:r>
              <w:t>干旱、荒漠地区</w:t>
            </w:r>
          </w:p>
        </w:tc>
        <w:tc>
          <w:tcPr>
            <w:tcW w:w="2425" w:type="pct"/>
            <w:vAlign w:val="center"/>
          </w:tcPr>
          <w:p>
            <w:pPr>
              <w:pStyle w:val="136"/>
            </w:pPr>
            <w:r>
              <w:t>1.1</w:t>
            </w:r>
          </w:p>
        </w:tc>
        <w:tc>
          <w:tcPr>
            <w:tcW w:w="1043" w:type="pct"/>
            <w:vAlign w:val="center"/>
          </w:tcPr>
          <w:p>
            <w:pPr>
              <w:pStyle w:val="136"/>
            </w:pPr>
            <w:r>
              <w:t>未盐化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Align w:val="center"/>
          </w:tcPr>
          <w:p>
            <w:pPr>
              <w:pStyle w:val="136"/>
            </w:pPr>
            <w:r>
              <w:t>T2样点</w:t>
            </w:r>
          </w:p>
        </w:tc>
        <w:tc>
          <w:tcPr>
            <w:tcW w:w="701" w:type="pct"/>
            <w:vMerge w:val="continue"/>
            <w:vAlign w:val="center"/>
          </w:tcPr>
          <w:p>
            <w:pPr>
              <w:pStyle w:val="136"/>
            </w:pPr>
          </w:p>
        </w:tc>
        <w:tc>
          <w:tcPr>
            <w:tcW w:w="2425" w:type="pct"/>
            <w:vAlign w:val="center"/>
          </w:tcPr>
          <w:p>
            <w:pPr>
              <w:pStyle w:val="136"/>
            </w:pPr>
            <w:r>
              <w:t>1.8</w:t>
            </w:r>
          </w:p>
        </w:tc>
        <w:tc>
          <w:tcPr>
            <w:tcW w:w="1043" w:type="pct"/>
            <w:vAlign w:val="center"/>
          </w:tcPr>
          <w:p>
            <w:pPr>
              <w:pStyle w:val="136"/>
            </w:pPr>
            <w:r>
              <w:t>未盐化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Align w:val="center"/>
          </w:tcPr>
          <w:p>
            <w:pPr>
              <w:pStyle w:val="136"/>
            </w:pPr>
            <w:r>
              <w:t>T3样点</w:t>
            </w:r>
          </w:p>
        </w:tc>
        <w:tc>
          <w:tcPr>
            <w:tcW w:w="701" w:type="pct"/>
            <w:vMerge w:val="continue"/>
            <w:vAlign w:val="center"/>
          </w:tcPr>
          <w:p>
            <w:pPr>
              <w:pStyle w:val="136"/>
            </w:pPr>
          </w:p>
        </w:tc>
        <w:tc>
          <w:tcPr>
            <w:tcW w:w="2425" w:type="pct"/>
            <w:vAlign w:val="center"/>
          </w:tcPr>
          <w:p>
            <w:pPr>
              <w:pStyle w:val="136"/>
            </w:pPr>
            <w:r>
              <w:t>0.8</w:t>
            </w:r>
          </w:p>
        </w:tc>
        <w:tc>
          <w:tcPr>
            <w:tcW w:w="1043" w:type="pct"/>
            <w:vAlign w:val="center"/>
          </w:tcPr>
          <w:p>
            <w:pPr>
              <w:pStyle w:val="136"/>
            </w:pPr>
            <w:r>
              <w:t>未盐化</w:t>
            </w:r>
          </w:p>
        </w:tc>
      </w:tr>
    </w:tbl>
    <w:p>
      <w:pPr>
        <w:ind w:firstLine="480"/>
        <w:rPr>
          <w:rFonts w:cs="Times New Roman"/>
        </w:rPr>
      </w:pPr>
    </w:p>
    <w:p>
      <w:pPr>
        <w:ind w:firstLine="480"/>
        <w:rPr>
          <w:rFonts w:cs="Times New Roman"/>
        </w:rPr>
      </w:pPr>
      <w:r>
        <w:rPr>
          <w:rFonts w:cs="Times New Roman"/>
        </w:rPr>
        <w:t>根据评价结果可知，各土壤监测样点所采土壤均未盐化。</w:t>
      </w:r>
    </w:p>
    <w:p>
      <w:pPr>
        <w:ind w:firstLine="480"/>
        <w:rPr>
          <w:rFonts w:cs="Times New Roman"/>
        </w:rPr>
      </w:pPr>
      <w:r>
        <w:rPr>
          <w:rFonts w:cs="Times New Roman"/>
        </w:rPr>
        <w:t>土壤酸化、碱化评价：根据《环境影响评价技术导则(土壤环境（试行）)》(HJ964—2018)，土壤盐碱化分级标准见前文表。根据样点监测结果，工程区土壤酸化、碱化评价结果见表4.2-21。</w:t>
      </w:r>
    </w:p>
    <w:p>
      <w:pPr>
        <w:pStyle w:val="137"/>
        <w:spacing w:before="62"/>
      </w:pPr>
      <w:r>
        <w:t>表4.2-21           工程区土壤酸化、碱化等级评价表</w:t>
      </w:r>
    </w:p>
    <w:tbl>
      <w:tblPr>
        <w:tblStyle w:val="41"/>
        <w:tblW w:w="50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9"/>
        <w:gridCol w:w="3092"/>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pct"/>
            <w:vAlign w:val="center"/>
          </w:tcPr>
          <w:p>
            <w:pPr>
              <w:pStyle w:val="136"/>
            </w:pPr>
            <w:r>
              <w:t>监测点</w:t>
            </w:r>
          </w:p>
        </w:tc>
        <w:tc>
          <w:tcPr>
            <w:tcW w:w="1638" w:type="pct"/>
            <w:vAlign w:val="center"/>
          </w:tcPr>
          <w:p>
            <w:pPr>
              <w:pStyle w:val="136"/>
            </w:pPr>
            <w:r>
              <w:t>pH值</w:t>
            </w:r>
          </w:p>
        </w:tc>
        <w:tc>
          <w:tcPr>
            <w:tcW w:w="1645" w:type="pct"/>
            <w:vAlign w:val="center"/>
          </w:tcPr>
          <w:p>
            <w:pPr>
              <w:pStyle w:val="136"/>
            </w:pPr>
            <w:r>
              <w:t>酸化、碱化强度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pct"/>
            <w:vAlign w:val="center"/>
          </w:tcPr>
          <w:p>
            <w:pPr>
              <w:pStyle w:val="136"/>
            </w:pPr>
            <w:r>
              <w:t>T1样点</w:t>
            </w:r>
          </w:p>
        </w:tc>
        <w:tc>
          <w:tcPr>
            <w:tcW w:w="1638" w:type="pct"/>
            <w:vAlign w:val="center"/>
          </w:tcPr>
          <w:p>
            <w:pPr>
              <w:pStyle w:val="136"/>
            </w:pPr>
            <w:r>
              <w:t>8.74</w:t>
            </w:r>
          </w:p>
        </w:tc>
        <w:tc>
          <w:tcPr>
            <w:tcW w:w="1645" w:type="pct"/>
          </w:tcPr>
          <w:p>
            <w:pPr>
              <w:pStyle w:val="136"/>
            </w:pPr>
            <w:r>
              <w:t>轻度碱化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pct"/>
            <w:vAlign w:val="center"/>
          </w:tcPr>
          <w:p>
            <w:pPr>
              <w:pStyle w:val="136"/>
            </w:pPr>
            <w:r>
              <w:t>T2样点</w:t>
            </w:r>
          </w:p>
        </w:tc>
        <w:tc>
          <w:tcPr>
            <w:tcW w:w="1638" w:type="pct"/>
            <w:vAlign w:val="center"/>
          </w:tcPr>
          <w:p>
            <w:pPr>
              <w:pStyle w:val="136"/>
            </w:pPr>
            <w:r>
              <w:t>8.49</w:t>
            </w:r>
          </w:p>
        </w:tc>
        <w:tc>
          <w:tcPr>
            <w:tcW w:w="1645" w:type="pct"/>
          </w:tcPr>
          <w:p>
            <w:pPr>
              <w:pStyle w:val="136"/>
            </w:pPr>
            <w:r>
              <w:t>无酸化或碱化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pct"/>
            <w:vAlign w:val="center"/>
          </w:tcPr>
          <w:p>
            <w:pPr>
              <w:pStyle w:val="136"/>
            </w:pPr>
            <w:r>
              <w:t>T3样点</w:t>
            </w:r>
          </w:p>
        </w:tc>
        <w:tc>
          <w:tcPr>
            <w:tcW w:w="1638" w:type="pct"/>
            <w:vAlign w:val="center"/>
          </w:tcPr>
          <w:p>
            <w:pPr>
              <w:pStyle w:val="136"/>
            </w:pPr>
            <w:r>
              <w:t>8.47</w:t>
            </w:r>
          </w:p>
        </w:tc>
        <w:tc>
          <w:tcPr>
            <w:tcW w:w="1645" w:type="pct"/>
          </w:tcPr>
          <w:p>
            <w:pPr>
              <w:pStyle w:val="136"/>
            </w:pPr>
            <w:r>
              <w:t>无酸化或碱化</w:t>
            </w:r>
          </w:p>
        </w:tc>
      </w:tr>
    </w:tbl>
    <w:p>
      <w:pPr>
        <w:ind w:firstLine="480"/>
        <w:rPr>
          <w:rFonts w:cs="Times New Roman"/>
        </w:rPr>
      </w:pPr>
    </w:p>
    <w:p>
      <w:pPr>
        <w:ind w:firstLine="480"/>
        <w:rPr>
          <w:rFonts w:cs="Times New Roman"/>
        </w:rPr>
      </w:pPr>
      <w:r>
        <w:rPr>
          <w:rFonts w:cs="Times New Roman"/>
        </w:rPr>
        <w:t>根据评价结果可知，土壤监测样点pH值均在8.47～8.74之间，无酸化或碱化问题，仅T1样点pH值略大于8.5，为轻度碱化。</w:t>
      </w:r>
    </w:p>
    <w:p>
      <w:pPr>
        <w:ind w:firstLine="480"/>
        <w:rPr>
          <w:rFonts w:cs="Times New Roman"/>
        </w:rPr>
      </w:pPr>
      <w:r>
        <w:rPr>
          <w:rFonts w:cs="Times New Roman"/>
        </w:rPr>
        <w:t>同时，规划报告中对规划区及规划区范围外的土壤环境质量现状监测结果表明，规划区土壤各项监测因子均满足《土壤环境质量农用地土壤污染风险管控标准（试行）》（GB15618-2018）中风险筛选值要求，当地土壤环境质量较好。综上可以看出，工程评价区土壤质量总体良好。</w:t>
      </w:r>
    </w:p>
    <w:p>
      <w:pPr>
        <w:pStyle w:val="62"/>
        <w:rPr>
          <w:rFonts w:cs="Times New Roman"/>
        </w:rPr>
      </w:pPr>
      <w:r>
        <w:rPr>
          <w:rFonts w:cs="Times New Roman"/>
        </w:rPr>
        <w:t>4.2.1.9 水生生态</w:t>
      </w:r>
    </w:p>
    <w:p>
      <w:pPr>
        <w:ind w:firstLine="480"/>
        <w:rPr>
          <w:rFonts w:cs="Times New Roman"/>
        </w:rPr>
      </w:pPr>
      <w:r>
        <w:rPr>
          <w:rFonts w:cs="Times New Roman"/>
        </w:rPr>
        <w:t>据调查，代尔昆代郭勒河无历史水生生态调查资料。为了掌握代尔昆代郭勒河水生生态现状，本次评价委托新疆绿水新缘生态科技有限公司于2024年9月开展了代尔昆代郭勒河水生生态现状调查；收集了代尔昆代郭勒河流域规划环评阶段，规划环评单位于2024年7月开展的代尔昆代郭勒流域水生生态现场调查结果。以下内容则以上述现场调查结果编制而成。</w:t>
      </w:r>
    </w:p>
    <w:p>
      <w:pPr>
        <w:ind w:firstLine="480"/>
        <w:rPr>
          <w:rFonts w:cs="Times New Roman"/>
        </w:rPr>
      </w:pPr>
      <w:r>
        <w:rPr>
          <w:rFonts w:cs="Times New Roman"/>
        </w:rPr>
        <w:t>（1）调查概况</w:t>
      </w:r>
    </w:p>
    <w:p>
      <w:pPr>
        <w:ind w:firstLine="480"/>
        <w:rPr>
          <w:rFonts w:cs="Times New Roman"/>
        </w:rPr>
      </w:pPr>
      <w:r>
        <w:rPr>
          <w:rFonts w:cs="Times New Roman"/>
        </w:rPr>
        <w:t>专题单位于2024年09月开展了代尔昆代郭勒流域水生生态现状调查，但受制于河道断流影响，仅在代尔昆代郭勒河代尔昆代水库坝址上游约3km处（坝址断面断流，该处尚有少量河道径流）设置一处采样断面。调查断面特性见表4.2-22。</w:t>
      </w:r>
    </w:p>
    <w:p>
      <w:pPr>
        <w:pStyle w:val="137"/>
        <w:spacing w:before="62"/>
      </w:pPr>
      <w:r>
        <w:t>表4.2-22                        调查断面特性表</w:t>
      </w:r>
    </w:p>
    <w:tbl>
      <w:tblPr>
        <w:tblStyle w:val="41"/>
        <w:tblW w:w="9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122"/>
        <w:gridCol w:w="1276"/>
        <w:gridCol w:w="1275"/>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29" w:type="dxa"/>
            <w:vAlign w:val="center"/>
          </w:tcPr>
          <w:p>
            <w:pPr>
              <w:pStyle w:val="136"/>
            </w:pPr>
            <w:r>
              <w:t>调查断面</w:t>
            </w:r>
          </w:p>
        </w:tc>
        <w:tc>
          <w:tcPr>
            <w:tcW w:w="4122" w:type="dxa"/>
            <w:vAlign w:val="center"/>
          </w:tcPr>
          <w:p>
            <w:pPr>
              <w:pStyle w:val="136"/>
            </w:pPr>
            <w:r>
              <w:t>坐标</w:t>
            </w:r>
          </w:p>
        </w:tc>
        <w:tc>
          <w:tcPr>
            <w:tcW w:w="1276" w:type="dxa"/>
            <w:vAlign w:val="center"/>
          </w:tcPr>
          <w:p>
            <w:pPr>
              <w:pStyle w:val="136"/>
            </w:pPr>
            <w:r>
              <w:t>海拔（m）</w:t>
            </w:r>
          </w:p>
        </w:tc>
        <w:tc>
          <w:tcPr>
            <w:tcW w:w="1275" w:type="dxa"/>
            <w:vAlign w:val="center"/>
          </w:tcPr>
          <w:p>
            <w:pPr>
              <w:pStyle w:val="136"/>
            </w:pPr>
            <w:r>
              <w:t>水温（℃）</w:t>
            </w:r>
          </w:p>
        </w:tc>
        <w:tc>
          <w:tcPr>
            <w:tcW w:w="1282" w:type="dxa"/>
            <w:vAlign w:val="center"/>
          </w:tcPr>
          <w:p>
            <w:pPr>
              <w:pStyle w:val="136"/>
            </w:pPr>
            <w:r>
              <w:t>底质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29" w:type="dxa"/>
            <w:vAlign w:val="center"/>
          </w:tcPr>
          <w:p>
            <w:pPr>
              <w:pStyle w:val="136"/>
            </w:pPr>
            <w:r>
              <w:t>坝址上游3km处</w:t>
            </w:r>
          </w:p>
        </w:tc>
        <w:tc>
          <w:tcPr>
            <w:tcW w:w="4122" w:type="dxa"/>
            <w:vAlign w:val="center"/>
          </w:tcPr>
          <w:p>
            <w:pPr>
              <w:pStyle w:val="136"/>
            </w:pPr>
            <w:r>
              <w:t>E94°47'39.0844"，N43°06'49.8453"</w:t>
            </w:r>
          </w:p>
        </w:tc>
        <w:tc>
          <w:tcPr>
            <w:tcW w:w="1276" w:type="dxa"/>
            <w:vAlign w:val="center"/>
          </w:tcPr>
          <w:p>
            <w:pPr>
              <w:pStyle w:val="136"/>
            </w:pPr>
            <w:r>
              <w:t>2022</w:t>
            </w:r>
          </w:p>
        </w:tc>
        <w:tc>
          <w:tcPr>
            <w:tcW w:w="1275" w:type="dxa"/>
            <w:vAlign w:val="center"/>
          </w:tcPr>
          <w:p>
            <w:pPr>
              <w:pStyle w:val="136"/>
            </w:pPr>
            <w:r>
              <w:t>15.0</w:t>
            </w:r>
          </w:p>
        </w:tc>
        <w:tc>
          <w:tcPr>
            <w:tcW w:w="1282" w:type="dxa"/>
            <w:vAlign w:val="center"/>
          </w:tcPr>
          <w:p>
            <w:pPr>
              <w:pStyle w:val="136"/>
            </w:pPr>
            <w:r>
              <w:t>砂砾、卵石</w:t>
            </w:r>
          </w:p>
        </w:tc>
      </w:tr>
    </w:tbl>
    <w:p>
      <w:pPr>
        <w:ind w:firstLine="480"/>
        <w:rPr>
          <w:rFonts w:cs="Times New Roman"/>
        </w:rPr>
      </w:pPr>
    </w:p>
    <w:tbl>
      <w:tblPr>
        <w:tblStyle w:val="40"/>
        <w:tblW w:w="9286" w:type="dxa"/>
        <w:jc w:val="center"/>
        <w:tblLayout w:type="fixed"/>
        <w:tblCellMar>
          <w:top w:w="57" w:type="dxa"/>
          <w:left w:w="108" w:type="dxa"/>
          <w:bottom w:w="57" w:type="dxa"/>
          <w:right w:w="108" w:type="dxa"/>
        </w:tblCellMar>
      </w:tblPr>
      <w:tblGrid>
        <w:gridCol w:w="4643"/>
        <w:gridCol w:w="4643"/>
      </w:tblGrid>
      <w:tr>
        <w:tblPrEx>
          <w:tblCellMar>
            <w:top w:w="57" w:type="dxa"/>
            <w:left w:w="108" w:type="dxa"/>
            <w:bottom w:w="57" w:type="dxa"/>
            <w:right w:w="108" w:type="dxa"/>
          </w:tblCellMar>
        </w:tblPrEx>
        <w:trPr>
          <w:jc w:val="center"/>
        </w:trPr>
        <w:tc>
          <w:tcPr>
            <w:tcW w:w="4643" w:type="dxa"/>
            <w:tcBorders>
              <w:tl2br w:val="nil"/>
              <w:tr2bl w:val="nil"/>
            </w:tcBorders>
            <w:vAlign w:val="center"/>
          </w:tcPr>
          <w:p>
            <w:pPr>
              <w:ind w:firstLine="480"/>
              <w:rPr>
                <w:rFonts w:cs="Times New Roman"/>
              </w:rPr>
            </w:pPr>
            <w:r>
              <w:rPr>
                <w:rFonts w:cs="Times New Roman"/>
              </w:rPr>
              <w:drawing>
                <wp:inline distT="0" distB="0" distL="0" distR="0">
                  <wp:extent cx="2806700" cy="2108200"/>
                  <wp:effectExtent l="0" t="0" r="0" b="6350"/>
                  <wp:docPr id="1030720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20828" name="图片 1"/>
                          <pic:cNvPicPr>
                            <a:picLocks noChangeAspect="1" noChangeArrowheads="1"/>
                          </pic:cNvPicPr>
                        </pic:nvPicPr>
                        <pic:blipFill>
                          <a:blip r:embed="rId70" cstate="print"/>
                          <a:srcRect/>
                          <a:stretch>
                            <a:fillRect/>
                          </a:stretch>
                        </pic:blipFill>
                        <pic:spPr>
                          <a:xfrm>
                            <a:off x="0" y="0"/>
                            <a:ext cx="2806700" cy="2108200"/>
                          </a:xfrm>
                          <a:prstGeom prst="rect">
                            <a:avLst/>
                          </a:prstGeom>
                          <a:noFill/>
                          <a:ln>
                            <a:noFill/>
                          </a:ln>
                        </pic:spPr>
                      </pic:pic>
                    </a:graphicData>
                  </a:graphic>
                </wp:inline>
              </w:drawing>
            </w:r>
          </w:p>
        </w:tc>
        <w:tc>
          <w:tcPr>
            <w:tcW w:w="4643" w:type="dxa"/>
            <w:tcBorders>
              <w:tl2br w:val="nil"/>
              <w:tr2bl w:val="nil"/>
            </w:tcBorders>
            <w:vAlign w:val="center"/>
          </w:tcPr>
          <w:p>
            <w:pPr>
              <w:ind w:firstLine="480"/>
              <w:rPr>
                <w:rFonts w:cs="Times New Roman"/>
              </w:rPr>
            </w:pPr>
            <w:r>
              <w:rPr>
                <w:rFonts w:cs="Times New Roman"/>
              </w:rPr>
              <w:drawing>
                <wp:inline distT="0" distB="0" distL="0" distR="0">
                  <wp:extent cx="2806700" cy="2108200"/>
                  <wp:effectExtent l="0" t="0" r="0" b="6350"/>
                  <wp:docPr id="16631171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17113" name="图片 2"/>
                          <pic:cNvPicPr>
                            <a:picLocks noChangeAspect="1" noChangeArrowheads="1"/>
                          </pic:cNvPicPr>
                        </pic:nvPicPr>
                        <pic:blipFill>
                          <a:blip r:embed="rId71" cstate="print"/>
                          <a:srcRect/>
                          <a:stretch>
                            <a:fillRect/>
                          </a:stretch>
                        </pic:blipFill>
                        <pic:spPr>
                          <a:xfrm>
                            <a:off x="0" y="0"/>
                            <a:ext cx="2806700" cy="2108200"/>
                          </a:xfrm>
                          <a:prstGeom prst="rect">
                            <a:avLst/>
                          </a:prstGeom>
                          <a:noFill/>
                          <a:ln>
                            <a:noFill/>
                          </a:ln>
                        </pic:spPr>
                      </pic:pic>
                    </a:graphicData>
                  </a:graphic>
                </wp:inline>
              </w:drawing>
            </w:r>
          </w:p>
        </w:tc>
      </w:tr>
      <w:tr>
        <w:tblPrEx>
          <w:tblCellMar>
            <w:top w:w="57" w:type="dxa"/>
            <w:left w:w="108" w:type="dxa"/>
            <w:bottom w:w="57" w:type="dxa"/>
            <w:right w:w="108" w:type="dxa"/>
          </w:tblCellMar>
        </w:tblPrEx>
        <w:trPr>
          <w:jc w:val="center"/>
        </w:trPr>
        <w:tc>
          <w:tcPr>
            <w:tcW w:w="9286" w:type="dxa"/>
            <w:gridSpan w:val="2"/>
            <w:tcBorders>
              <w:tl2br w:val="nil"/>
              <w:tr2bl w:val="nil"/>
            </w:tcBorders>
            <w:vAlign w:val="center"/>
          </w:tcPr>
          <w:p>
            <w:pPr>
              <w:pStyle w:val="147"/>
            </w:pPr>
            <w:r>
              <w:t>有水河段</w:t>
            </w:r>
          </w:p>
        </w:tc>
      </w:tr>
      <w:tr>
        <w:tblPrEx>
          <w:tblCellMar>
            <w:top w:w="57" w:type="dxa"/>
            <w:left w:w="108" w:type="dxa"/>
            <w:bottom w:w="57" w:type="dxa"/>
            <w:right w:w="108" w:type="dxa"/>
          </w:tblCellMar>
        </w:tblPrEx>
        <w:trPr>
          <w:jc w:val="center"/>
        </w:trPr>
        <w:tc>
          <w:tcPr>
            <w:tcW w:w="4643" w:type="dxa"/>
            <w:tcBorders>
              <w:tl2br w:val="nil"/>
              <w:tr2bl w:val="nil"/>
            </w:tcBorders>
            <w:vAlign w:val="center"/>
          </w:tcPr>
          <w:p>
            <w:pPr>
              <w:ind w:firstLine="480"/>
              <w:rPr>
                <w:rFonts w:cs="Times New Roman"/>
              </w:rPr>
            </w:pPr>
            <w:r>
              <w:rPr>
                <w:rFonts w:cs="Times New Roman"/>
              </w:rPr>
              <w:drawing>
                <wp:inline distT="0" distB="0" distL="0" distR="0">
                  <wp:extent cx="2806700" cy="2108200"/>
                  <wp:effectExtent l="0" t="0" r="0" b="6350"/>
                  <wp:docPr id="1815774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74237" name="图片 3"/>
                          <pic:cNvPicPr>
                            <a:picLocks noChangeAspect="1" noChangeArrowheads="1"/>
                          </pic:cNvPicPr>
                        </pic:nvPicPr>
                        <pic:blipFill>
                          <a:blip r:embed="rId72" cstate="print"/>
                          <a:srcRect/>
                          <a:stretch>
                            <a:fillRect/>
                          </a:stretch>
                        </pic:blipFill>
                        <pic:spPr>
                          <a:xfrm>
                            <a:off x="0" y="0"/>
                            <a:ext cx="2806700" cy="2108200"/>
                          </a:xfrm>
                          <a:prstGeom prst="rect">
                            <a:avLst/>
                          </a:prstGeom>
                          <a:noFill/>
                          <a:ln>
                            <a:noFill/>
                          </a:ln>
                        </pic:spPr>
                      </pic:pic>
                    </a:graphicData>
                  </a:graphic>
                </wp:inline>
              </w:drawing>
            </w:r>
          </w:p>
        </w:tc>
        <w:tc>
          <w:tcPr>
            <w:tcW w:w="4643" w:type="dxa"/>
            <w:tcBorders>
              <w:tl2br w:val="nil"/>
              <w:tr2bl w:val="nil"/>
            </w:tcBorders>
            <w:vAlign w:val="center"/>
          </w:tcPr>
          <w:p>
            <w:pPr>
              <w:ind w:firstLine="480"/>
              <w:rPr>
                <w:rFonts w:cs="Times New Roman"/>
              </w:rPr>
            </w:pPr>
            <w:r>
              <w:rPr>
                <w:rFonts w:cs="Times New Roman"/>
              </w:rPr>
              <w:drawing>
                <wp:inline distT="0" distB="0" distL="0" distR="0">
                  <wp:extent cx="2806700" cy="2108200"/>
                  <wp:effectExtent l="0" t="0" r="0" b="6350"/>
                  <wp:docPr id="8712956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95627" name="图片 4"/>
                          <pic:cNvPicPr>
                            <a:picLocks noChangeAspect="1" noChangeArrowheads="1"/>
                          </pic:cNvPicPr>
                        </pic:nvPicPr>
                        <pic:blipFill>
                          <a:blip r:embed="rId73" cstate="print"/>
                          <a:srcRect/>
                          <a:stretch>
                            <a:fillRect/>
                          </a:stretch>
                        </pic:blipFill>
                        <pic:spPr>
                          <a:xfrm>
                            <a:off x="0" y="0"/>
                            <a:ext cx="2806700" cy="2108200"/>
                          </a:xfrm>
                          <a:prstGeom prst="rect">
                            <a:avLst/>
                          </a:prstGeom>
                          <a:noFill/>
                          <a:ln>
                            <a:noFill/>
                          </a:ln>
                        </pic:spPr>
                      </pic:pic>
                    </a:graphicData>
                  </a:graphic>
                </wp:inline>
              </w:drawing>
            </w:r>
          </w:p>
        </w:tc>
      </w:tr>
      <w:tr>
        <w:tblPrEx>
          <w:tblCellMar>
            <w:top w:w="57" w:type="dxa"/>
            <w:left w:w="108" w:type="dxa"/>
            <w:bottom w:w="57" w:type="dxa"/>
            <w:right w:w="108" w:type="dxa"/>
          </w:tblCellMar>
        </w:tblPrEx>
        <w:trPr>
          <w:jc w:val="center"/>
        </w:trPr>
        <w:tc>
          <w:tcPr>
            <w:tcW w:w="4643" w:type="dxa"/>
            <w:tcBorders>
              <w:tl2br w:val="nil"/>
              <w:tr2bl w:val="nil"/>
            </w:tcBorders>
            <w:vAlign w:val="center"/>
          </w:tcPr>
          <w:p>
            <w:pPr>
              <w:pStyle w:val="147"/>
            </w:pPr>
            <w:r>
              <w:t>河道末端</w:t>
            </w:r>
          </w:p>
        </w:tc>
        <w:tc>
          <w:tcPr>
            <w:tcW w:w="4643" w:type="dxa"/>
            <w:tcBorders>
              <w:tl2br w:val="nil"/>
              <w:tr2bl w:val="nil"/>
            </w:tcBorders>
            <w:vAlign w:val="center"/>
          </w:tcPr>
          <w:p>
            <w:pPr>
              <w:pStyle w:val="147"/>
            </w:pPr>
            <w:r>
              <w:t>上游有水河段</w:t>
            </w:r>
          </w:p>
        </w:tc>
      </w:tr>
      <w:tr>
        <w:tblPrEx>
          <w:tblCellMar>
            <w:top w:w="57" w:type="dxa"/>
            <w:left w:w="108" w:type="dxa"/>
            <w:bottom w:w="57" w:type="dxa"/>
            <w:right w:w="108" w:type="dxa"/>
          </w:tblCellMar>
        </w:tblPrEx>
        <w:trPr>
          <w:jc w:val="center"/>
        </w:trPr>
        <w:tc>
          <w:tcPr>
            <w:tcW w:w="4643" w:type="dxa"/>
            <w:tcBorders>
              <w:tl2br w:val="nil"/>
              <w:tr2bl w:val="nil"/>
            </w:tcBorders>
            <w:vAlign w:val="center"/>
          </w:tcPr>
          <w:p>
            <w:pPr>
              <w:ind w:firstLine="480"/>
              <w:rPr>
                <w:rFonts w:cs="Times New Roman"/>
              </w:rPr>
            </w:pPr>
            <w:r>
              <w:rPr>
                <w:rFonts w:cs="Times New Roman"/>
              </w:rPr>
              <w:drawing>
                <wp:inline distT="0" distB="0" distL="0" distR="0">
                  <wp:extent cx="2806700" cy="2108200"/>
                  <wp:effectExtent l="0" t="0" r="0" b="6350"/>
                  <wp:docPr id="3116135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13580" name="图片 6"/>
                          <pic:cNvPicPr>
                            <a:picLocks noChangeAspect="1" noChangeArrowheads="1"/>
                          </pic:cNvPicPr>
                        </pic:nvPicPr>
                        <pic:blipFill>
                          <a:blip r:embed="rId74" cstate="print"/>
                          <a:srcRect/>
                          <a:stretch>
                            <a:fillRect/>
                          </a:stretch>
                        </pic:blipFill>
                        <pic:spPr>
                          <a:xfrm>
                            <a:off x="0" y="0"/>
                            <a:ext cx="2806700" cy="2108200"/>
                          </a:xfrm>
                          <a:prstGeom prst="rect">
                            <a:avLst/>
                          </a:prstGeom>
                          <a:noFill/>
                          <a:ln>
                            <a:noFill/>
                          </a:ln>
                        </pic:spPr>
                      </pic:pic>
                    </a:graphicData>
                  </a:graphic>
                </wp:inline>
              </w:drawing>
            </w:r>
          </w:p>
        </w:tc>
        <w:tc>
          <w:tcPr>
            <w:tcW w:w="4643" w:type="dxa"/>
            <w:tcBorders>
              <w:tl2br w:val="nil"/>
              <w:tr2bl w:val="nil"/>
            </w:tcBorders>
            <w:vAlign w:val="center"/>
          </w:tcPr>
          <w:p>
            <w:pPr>
              <w:ind w:firstLine="480"/>
              <w:rPr>
                <w:rFonts w:cs="Times New Roman"/>
              </w:rPr>
            </w:pPr>
            <w:r>
              <w:rPr>
                <w:rFonts w:cs="Times New Roman"/>
              </w:rPr>
              <w:drawing>
                <wp:inline distT="0" distB="0" distL="0" distR="0">
                  <wp:extent cx="2806700" cy="2108200"/>
                  <wp:effectExtent l="0" t="0" r="0" b="6350"/>
                  <wp:docPr id="8785317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31739" name="图片 7"/>
                          <pic:cNvPicPr>
                            <a:picLocks noChangeAspect="1" noChangeArrowheads="1"/>
                          </pic:cNvPicPr>
                        </pic:nvPicPr>
                        <pic:blipFill>
                          <a:blip r:embed="rId75" cstate="print"/>
                          <a:srcRect/>
                          <a:stretch>
                            <a:fillRect/>
                          </a:stretch>
                        </pic:blipFill>
                        <pic:spPr>
                          <a:xfrm>
                            <a:off x="0" y="0"/>
                            <a:ext cx="2806700" cy="2108200"/>
                          </a:xfrm>
                          <a:prstGeom prst="rect">
                            <a:avLst/>
                          </a:prstGeom>
                          <a:noFill/>
                          <a:ln>
                            <a:noFill/>
                          </a:ln>
                        </pic:spPr>
                      </pic:pic>
                    </a:graphicData>
                  </a:graphic>
                </wp:inline>
              </w:drawing>
            </w:r>
          </w:p>
        </w:tc>
      </w:tr>
      <w:tr>
        <w:tblPrEx>
          <w:tblCellMar>
            <w:top w:w="57" w:type="dxa"/>
            <w:left w:w="108" w:type="dxa"/>
            <w:bottom w:w="57" w:type="dxa"/>
            <w:right w:w="108" w:type="dxa"/>
          </w:tblCellMar>
        </w:tblPrEx>
        <w:trPr>
          <w:jc w:val="center"/>
        </w:trPr>
        <w:tc>
          <w:tcPr>
            <w:tcW w:w="9286" w:type="dxa"/>
            <w:gridSpan w:val="2"/>
            <w:tcBorders>
              <w:tl2br w:val="nil"/>
              <w:tr2bl w:val="nil"/>
            </w:tcBorders>
            <w:vAlign w:val="center"/>
          </w:tcPr>
          <w:p>
            <w:pPr>
              <w:pStyle w:val="147"/>
            </w:pPr>
            <w:r>
              <w:t>干涸的河床</w:t>
            </w:r>
          </w:p>
        </w:tc>
      </w:tr>
    </w:tbl>
    <w:p>
      <w:pPr>
        <w:ind w:firstLine="480"/>
        <w:rPr>
          <w:rFonts w:cs="Times New Roman"/>
        </w:rPr>
      </w:pPr>
    </w:p>
    <w:p>
      <w:pPr>
        <w:ind w:firstLine="480"/>
        <w:rPr>
          <w:rFonts w:cs="Times New Roman"/>
        </w:rPr>
      </w:pPr>
      <w:r>
        <w:rPr>
          <w:rFonts w:cs="Times New Roman"/>
        </w:rPr>
        <w:t>（2）调查方法</w:t>
      </w:r>
    </w:p>
    <w:p>
      <w:pPr>
        <w:ind w:firstLine="480"/>
        <w:rPr>
          <w:rFonts w:cs="Times New Roman"/>
        </w:rPr>
      </w:pPr>
      <w:r>
        <w:rPr>
          <w:rFonts w:cs="Times New Roman"/>
        </w:rPr>
        <w:t>参照执行《内陆水域渔业自然资源调查手册》。</w:t>
      </w:r>
    </w:p>
    <w:p>
      <w:pPr>
        <w:ind w:firstLine="480"/>
        <w:rPr>
          <w:rFonts w:cs="Times New Roman"/>
        </w:rPr>
      </w:pPr>
      <w:r>
        <w:rPr>
          <w:rFonts w:cs="Times New Roman"/>
        </w:rPr>
        <w:t>A.藻类</w:t>
      </w:r>
    </w:p>
    <w:p>
      <w:pPr>
        <w:ind w:firstLine="480"/>
        <w:rPr>
          <w:rFonts w:cs="Times New Roman"/>
        </w:rPr>
      </w:pPr>
      <w:r>
        <w:rPr>
          <w:rFonts w:cs="Times New Roman"/>
        </w:rPr>
        <w:t>浮游藻类：定量样品用600ml样品瓶在水面下0.5m取水，用鲁哥试液固定；定性样品用25号浮游生物网在水面下划“∞”形捞取，甲醛固定。</w:t>
      </w:r>
    </w:p>
    <w:p>
      <w:pPr>
        <w:ind w:firstLine="480"/>
        <w:rPr>
          <w:rFonts w:cs="Times New Roman"/>
        </w:rPr>
      </w:pPr>
      <w:r>
        <w:rPr>
          <w:rFonts w:cs="Times New Roman"/>
        </w:rPr>
        <w:t>底栖藻类：定量样品在采样点随机选取3～5块石头，用尼龙刷</w:t>
      </w:r>
      <w:r>
        <w:rPr>
          <w:rFonts w:hint="eastAsia" w:cs="Times New Roman"/>
          <w:lang w:eastAsia="zh-CN"/>
        </w:rPr>
        <w:t>将</w:t>
      </w:r>
      <w:r>
        <w:rPr>
          <w:rFonts w:cs="Times New Roman"/>
        </w:rPr>
        <w:t>一定面积上的藻类刷下，装瓶，用鲁哥试液固定；定性样品则用镊子、小刀等工具采集。</w:t>
      </w:r>
    </w:p>
    <w:p>
      <w:pPr>
        <w:ind w:firstLine="480"/>
        <w:rPr>
          <w:rFonts w:cs="Times New Roman"/>
        </w:rPr>
      </w:pPr>
      <w:r>
        <w:rPr>
          <w:rFonts w:cs="Times New Roman"/>
        </w:rPr>
        <w:t>B.浮游动物</w:t>
      </w:r>
    </w:p>
    <w:p>
      <w:pPr>
        <w:ind w:firstLine="480"/>
        <w:rPr>
          <w:rFonts w:cs="Times New Roman"/>
        </w:rPr>
      </w:pPr>
      <w:r>
        <w:rPr>
          <w:rFonts w:cs="Times New Roman"/>
        </w:rPr>
        <w:t>定量样品：原生动物和轮虫标本采集取1升水样加入鲁哥试液固定，倒入有刻度的沉淀器定容，静置24小时后，用虹吸管吸取上层清液，并把沉淀物倒入已标定容积（30ml）的小塑料瓶中。桡足类和枝角类的定量标本采取20L水样经25号浮游生物网滤缩后放入小塑料瓶中，加福尔马林固定保存。</w:t>
      </w:r>
    </w:p>
    <w:p>
      <w:pPr>
        <w:ind w:firstLine="480"/>
        <w:rPr>
          <w:rFonts w:cs="Times New Roman"/>
        </w:rPr>
      </w:pPr>
      <w:r>
        <w:rPr>
          <w:rFonts w:cs="Times New Roman"/>
        </w:rPr>
        <w:t>定性样品：采用25号浮游生物网捞取，加福尔马林固定后带回实验室进行种类鉴定。</w:t>
      </w:r>
    </w:p>
    <w:p>
      <w:pPr>
        <w:ind w:firstLine="480"/>
        <w:rPr>
          <w:rFonts w:cs="Times New Roman"/>
        </w:rPr>
      </w:pPr>
      <w:r>
        <w:rPr>
          <w:rFonts w:cs="Times New Roman"/>
        </w:rPr>
        <w:t>C.底栖动物</w:t>
      </w:r>
    </w:p>
    <w:p>
      <w:pPr>
        <w:ind w:firstLine="480"/>
        <w:rPr>
          <w:rFonts w:cs="Times New Roman"/>
        </w:rPr>
      </w:pPr>
      <w:r>
        <w:rPr>
          <w:rFonts w:cs="Times New Roman"/>
        </w:rPr>
        <w:t>定量样品用1/16m</w:t>
      </w:r>
      <w:r>
        <w:rPr>
          <w:rFonts w:cs="Times New Roman"/>
          <w:vertAlign w:val="superscript"/>
        </w:rPr>
        <w:t>2</w:t>
      </w:r>
      <w:r>
        <w:rPr>
          <w:rFonts w:cs="Times New Roman"/>
        </w:rPr>
        <w:t>的加重的彼得生采泥器采集，泥样经420µm的铜筛筛洗后，置于解剖盘中</w:t>
      </w:r>
      <w:r>
        <w:rPr>
          <w:rFonts w:hint="eastAsia" w:cs="Times New Roman"/>
          <w:lang w:eastAsia="zh-CN"/>
        </w:rPr>
        <w:t>将</w:t>
      </w:r>
      <w:r>
        <w:rPr>
          <w:rFonts w:cs="Times New Roman"/>
        </w:rPr>
        <w:t>动物捡出，个体较小的底栖动物用湿漏斗法分离。捡出的动物用10%的福尔马林固定，然后进行种类鉴定、计数，部分样品现场用解剖镜及显微镜进行活体观察。</w:t>
      </w:r>
    </w:p>
    <w:p>
      <w:pPr>
        <w:ind w:firstLine="480"/>
        <w:rPr>
          <w:rFonts w:cs="Times New Roman"/>
        </w:rPr>
      </w:pPr>
      <w:r>
        <w:rPr>
          <w:rFonts w:cs="Times New Roman"/>
        </w:rPr>
        <w:t>D.大型水生植物</w:t>
      </w:r>
    </w:p>
    <w:p>
      <w:pPr>
        <w:ind w:firstLine="480"/>
        <w:rPr>
          <w:rFonts w:cs="Times New Roman"/>
        </w:rPr>
      </w:pPr>
      <w:r>
        <w:rPr>
          <w:rFonts w:cs="Times New Roman"/>
        </w:rPr>
        <w:t>定性描述中对各河（湖）现有的主要水生（含湿生）植物的种类组成及分布进行编目。定量测量选择在采样点附近具有代表性的优势水生（含湿生）植被进行样方调查。</w:t>
      </w:r>
    </w:p>
    <w:p>
      <w:pPr>
        <w:ind w:firstLine="480"/>
        <w:rPr>
          <w:rFonts w:cs="Times New Roman"/>
        </w:rPr>
      </w:pPr>
      <w:r>
        <w:rPr>
          <w:rFonts w:cs="Times New Roman"/>
        </w:rPr>
        <w:t>E.鱼类</w:t>
      </w:r>
    </w:p>
    <w:p>
      <w:pPr>
        <w:ind w:firstLine="480"/>
        <w:rPr>
          <w:rFonts w:cs="Times New Roman"/>
        </w:rPr>
      </w:pPr>
      <w:r>
        <w:rPr>
          <w:rFonts w:cs="Times New Roman"/>
        </w:rPr>
        <w:t>参照《内陆水域渔业自然资源调查手册》，以野外实地调查和资料收集为主。鱼类资源调查以区域性调查为主，不设固定的调查监测断面，捕捞工具有地笼、三层流刺网、定置式刺网、撒网和钩钓等。</w:t>
      </w:r>
    </w:p>
    <w:p>
      <w:pPr>
        <w:ind w:firstLine="480"/>
        <w:rPr>
          <w:rFonts w:cs="Times New Roman"/>
        </w:rPr>
      </w:pPr>
      <w:r>
        <w:rPr>
          <w:rFonts w:cs="Times New Roman"/>
        </w:rPr>
        <w:t>野外实地调查方面，重点调查各河流干支流是否存在洄游性鱼类，以及土著和外来上溯鱼类的栖息地、产卵场、索饵场及洄游路线等。调查方法为：观察生活在不同生态环境如干流、支流、急流、缓流中的种类，统计分析多种渔具（刺网、流刺网和抬网等）渔获量。同时走访当地居民、从居民或鱼市上购买，并收集当地水产、渔政部门逐年统计的渔业捕捞数据和放养数量及种类。</w:t>
      </w:r>
    </w:p>
    <w:p>
      <w:pPr>
        <w:ind w:firstLine="480"/>
        <w:rPr>
          <w:rFonts w:cs="Times New Roman"/>
        </w:rPr>
      </w:pPr>
      <w:r>
        <w:rPr>
          <w:rFonts w:cs="Times New Roman"/>
        </w:rPr>
        <w:t>采集的标本于室内进行分类鉴定并测定生物学指标（体长、体重、年龄、成熟系数），并对鱼类寄生虫进行了检查。</w:t>
      </w:r>
    </w:p>
    <w:p>
      <w:pPr>
        <w:ind w:firstLine="480"/>
        <w:rPr>
          <w:rFonts w:cs="Times New Roman"/>
        </w:rPr>
      </w:pPr>
      <w:r>
        <w:rPr>
          <w:rFonts w:cs="Times New Roman"/>
        </w:rPr>
        <w:t>（3）调查结果</w:t>
      </w:r>
    </w:p>
    <w:p>
      <w:pPr>
        <w:ind w:firstLine="480"/>
        <w:rPr>
          <w:rFonts w:cs="Times New Roman"/>
        </w:rPr>
      </w:pPr>
      <w:r>
        <w:rPr>
          <w:rFonts w:cs="Times New Roman"/>
        </w:rPr>
        <w:t>浮游植物</w:t>
      </w:r>
    </w:p>
    <w:p>
      <w:pPr>
        <w:ind w:firstLine="480"/>
        <w:rPr>
          <w:rFonts w:cs="Times New Roman"/>
        </w:rPr>
      </w:pPr>
      <w:r>
        <w:rPr>
          <w:rFonts w:cs="Times New Roman"/>
        </w:rPr>
        <w:t>A.种类组成</w:t>
      </w:r>
    </w:p>
    <w:p>
      <w:pPr>
        <w:ind w:firstLine="480"/>
        <w:rPr>
          <w:rFonts w:cs="Times New Roman"/>
        </w:rPr>
      </w:pPr>
      <w:r>
        <w:rPr>
          <w:rFonts w:cs="Times New Roman"/>
        </w:rPr>
        <w:t>共鉴定出浮游植物2门35种（属），其中硅藻门34种（属），绿藻门1种（属）。调查断面浮游植物信息详见表4.2-23。</w:t>
      </w:r>
    </w:p>
    <w:p>
      <w:pPr>
        <w:pStyle w:val="137"/>
        <w:spacing w:before="62"/>
      </w:pPr>
      <w:r>
        <w:t>表4.2-23                调查断面浮游植物名录</w:t>
      </w:r>
    </w:p>
    <w:tbl>
      <w:tblPr>
        <w:tblStyle w:val="40"/>
        <w:tblW w:w="9082" w:type="dxa"/>
        <w:jc w:val="center"/>
        <w:tblLayout w:type="autofit"/>
        <w:tblCellMar>
          <w:top w:w="0" w:type="dxa"/>
          <w:left w:w="108" w:type="dxa"/>
          <w:bottom w:w="0" w:type="dxa"/>
          <w:right w:w="108" w:type="dxa"/>
        </w:tblCellMar>
      </w:tblPr>
      <w:tblGrid>
        <w:gridCol w:w="9082"/>
      </w:tblGrid>
      <w:tr>
        <w:tblPrEx>
          <w:tblCellMar>
            <w:top w:w="0" w:type="dxa"/>
            <w:left w:w="108" w:type="dxa"/>
            <w:bottom w:w="0" w:type="dxa"/>
            <w:right w:w="108" w:type="dxa"/>
          </w:tblCellMar>
        </w:tblPrEx>
        <w:trPr>
          <w:trHeight w:val="310" w:hRule="atLeast"/>
          <w:tblHeader/>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种类组成</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硅藻门Bacillariophyta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等片藻</w:t>
            </w:r>
            <w:r>
              <w:rPr>
                <w:i/>
                <w:iCs/>
              </w:rPr>
              <w:t xml:space="preserve">Diatoma </w:t>
            </w:r>
            <w:r>
              <w:t>sp.</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普通等片藻</w:t>
            </w:r>
            <w:r>
              <w:rPr>
                <w:i/>
                <w:iCs/>
              </w:rPr>
              <w:t>D.vulagare</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长等片藻</w:t>
            </w:r>
            <w:r>
              <w:rPr>
                <w:i/>
                <w:iCs/>
              </w:rPr>
              <w:t>D.elongatum</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脆杆藻</w:t>
            </w:r>
            <w:r>
              <w:rPr>
                <w:i/>
                <w:iCs/>
              </w:rPr>
              <w:t>Fragilaria</w:t>
            </w:r>
            <w:r>
              <w:t xml:space="preserve"> sp.</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钝脆杆藻</w:t>
            </w:r>
            <w:r>
              <w:rPr>
                <w:i/>
                <w:iCs/>
              </w:rPr>
              <w:t>F.capucina</w:t>
            </w:r>
          </w:p>
        </w:tc>
      </w:tr>
      <w:tr>
        <w:tblPrEx>
          <w:tblCellMar>
            <w:top w:w="0" w:type="dxa"/>
            <w:left w:w="108" w:type="dxa"/>
            <w:bottom w:w="0" w:type="dxa"/>
            <w:right w:w="108" w:type="dxa"/>
          </w:tblCellMar>
        </w:tblPrEx>
        <w:trPr>
          <w:trHeight w:val="28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连结脆干藻</w:t>
            </w:r>
            <w:r>
              <w:rPr>
                <w:i/>
                <w:iCs/>
              </w:rPr>
              <w:t>F.construens</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针杆藻</w:t>
            </w:r>
            <w:r>
              <w:rPr>
                <w:i/>
                <w:iCs/>
              </w:rPr>
              <w:t>Synedra</w:t>
            </w:r>
            <w:r>
              <w:t xml:space="preserve"> sp.</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肘状针杆藻</w:t>
            </w:r>
            <w:r>
              <w:rPr>
                <w:i/>
                <w:iCs/>
              </w:rPr>
              <w:t>S.ulna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尖针杆藻</w:t>
            </w:r>
            <w:r>
              <w:rPr>
                <w:i/>
                <w:iCs/>
              </w:rPr>
              <w:t>S.acus</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头状针杆藻</w:t>
            </w:r>
            <w:r>
              <w:rPr>
                <w:i/>
                <w:iCs/>
              </w:rPr>
              <w:t>S.capitata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双头针杆藻</w:t>
            </w:r>
            <w:r>
              <w:rPr>
                <w:i/>
                <w:iCs/>
              </w:rPr>
              <w:t>S.amphicephala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近缘针杆藻</w:t>
            </w:r>
            <w:r>
              <w:rPr>
                <w:i/>
                <w:iCs/>
              </w:rPr>
              <w:t>S.affinis</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舟形藻</w:t>
            </w:r>
            <w:r>
              <w:rPr>
                <w:i/>
                <w:iCs/>
              </w:rPr>
              <w:t xml:space="preserve">Navicula </w:t>
            </w:r>
            <w:r>
              <w:t>spp.</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放射舟形藻</w:t>
            </w:r>
            <w:r>
              <w:rPr>
                <w:i/>
                <w:iCs/>
              </w:rPr>
              <w:t>N.radiosa</w:t>
            </w:r>
          </w:p>
        </w:tc>
      </w:tr>
      <w:tr>
        <w:tblPrEx>
          <w:tblCellMar>
            <w:top w:w="0" w:type="dxa"/>
            <w:left w:w="108" w:type="dxa"/>
            <w:bottom w:w="0" w:type="dxa"/>
            <w:right w:w="108" w:type="dxa"/>
          </w:tblCellMar>
        </w:tblPrEx>
        <w:trPr>
          <w:trHeight w:val="28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双球舟形藻</w:t>
            </w:r>
            <w:r>
              <w:rPr>
                <w:i/>
                <w:iCs/>
              </w:rPr>
              <w:t>N.amphibola</w:t>
            </w:r>
          </w:p>
        </w:tc>
      </w:tr>
      <w:tr>
        <w:tblPrEx>
          <w:tblCellMar>
            <w:top w:w="0" w:type="dxa"/>
            <w:left w:w="108" w:type="dxa"/>
            <w:bottom w:w="0" w:type="dxa"/>
            <w:right w:w="108" w:type="dxa"/>
          </w:tblCellMar>
        </w:tblPrEx>
        <w:trPr>
          <w:trHeight w:val="28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隐头舟形藻</w:t>
            </w:r>
            <w:r>
              <w:rPr>
                <w:i/>
                <w:iCs/>
              </w:rPr>
              <w:t>N.cryptocephala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系带舟形藻</w:t>
            </w:r>
            <w:r>
              <w:rPr>
                <w:i/>
                <w:iCs/>
              </w:rPr>
              <w:t>N.cincta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桥弯藻</w:t>
            </w:r>
            <w:r>
              <w:rPr>
                <w:i/>
                <w:iCs/>
              </w:rPr>
              <w:t xml:space="preserve">Cymbella </w:t>
            </w:r>
            <w:r>
              <w:t>spp.</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新月桥弯藻</w:t>
            </w:r>
            <w:r>
              <w:rPr>
                <w:i/>
                <w:iCs/>
              </w:rPr>
              <w:t>C. cymbiformis</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膨胀桥弯藻</w:t>
            </w:r>
            <w:r>
              <w:rPr>
                <w:i/>
                <w:iCs/>
              </w:rPr>
              <w:t>C.tumida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近缘桥弯藻</w:t>
            </w:r>
            <w:r>
              <w:rPr>
                <w:i/>
                <w:iCs/>
              </w:rPr>
              <w:t>C.affinis</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箱型桥弯藻</w:t>
            </w:r>
            <w:r>
              <w:rPr>
                <w:i/>
                <w:iCs/>
              </w:rPr>
              <w:t>C.cistula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细小桥弯藻</w:t>
            </w:r>
            <w:r>
              <w:rPr>
                <w:i/>
                <w:iCs/>
              </w:rPr>
              <w:t>C.pusilla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优美桥弯藻</w:t>
            </w:r>
            <w:r>
              <w:rPr>
                <w:i/>
                <w:iCs/>
              </w:rPr>
              <w:t>C.delicatula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纤细桥弯藻</w:t>
            </w:r>
            <w:r>
              <w:rPr>
                <w:i/>
                <w:iCs/>
              </w:rPr>
              <w:t>C.gracilis</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扁圆卵形藻</w:t>
            </w:r>
            <w:r>
              <w:rPr>
                <w:i/>
                <w:iCs/>
              </w:rPr>
              <w:t>Cocconeis placentula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菱形藻</w:t>
            </w:r>
            <w:r>
              <w:rPr>
                <w:i/>
                <w:iCs/>
              </w:rPr>
              <w:t xml:space="preserve">Nitzschia </w:t>
            </w:r>
            <w:r>
              <w:t>spp.</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线形菱形藻</w:t>
            </w:r>
            <w:r>
              <w:rPr>
                <w:i/>
                <w:iCs/>
              </w:rPr>
              <w:t>N.linearis</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池生菱形藻N.stagnorum</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36"/>
            </w:pPr>
            <w:r>
              <w:t>谷皮菱形藻</w:t>
            </w:r>
            <w:r>
              <w:rPr>
                <w:i/>
                <w:iCs/>
              </w:rPr>
              <w:t>N.palea</w:t>
            </w:r>
          </w:p>
        </w:tc>
      </w:tr>
      <w:tr>
        <w:tblPrEx>
          <w:tblCellMar>
            <w:top w:w="0" w:type="dxa"/>
            <w:left w:w="108" w:type="dxa"/>
            <w:bottom w:w="0" w:type="dxa"/>
            <w:right w:w="108" w:type="dxa"/>
          </w:tblCellMar>
        </w:tblPrEx>
        <w:trPr>
          <w:trHeight w:val="310" w:hRule="atLeast"/>
          <w:jc w:val="center"/>
        </w:trPr>
        <w:tc>
          <w:tcPr>
            <w:tcW w:w="9082" w:type="dxa"/>
            <w:tcBorders>
              <w:top w:val="single" w:color="000000" w:sz="4" w:space="0"/>
              <w:left w:val="single" w:color="000000" w:sz="4" w:space="0"/>
              <w:bottom w:val="single" w:color="auto" w:sz="4" w:space="0"/>
              <w:right w:val="single" w:color="000000" w:sz="4" w:space="0"/>
            </w:tcBorders>
            <w:shd w:val="clear" w:color="auto" w:fill="auto"/>
            <w:noWrap/>
            <w:vAlign w:val="bottom"/>
          </w:tcPr>
          <w:p>
            <w:pPr>
              <w:pStyle w:val="136"/>
            </w:pPr>
            <w:r>
              <w:t>羽纹藻</w:t>
            </w:r>
            <w:r>
              <w:rPr>
                <w:i/>
                <w:iCs/>
              </w:rPr>
              <w:t>Pinnularia</w:t>
            </w:r>
            <w:r>
              <w:t xml:space="preserve"> sp.</w:t>
            </w:r>
          </w:p>
        </w:tc>
      </w:tr>
      <w:tr>
        <w:tblPrEx>
          <w:tblCellMar>
            <w:top w:w="0" w:type="dxa"/>
            <w:left w:w="108" w:type="dxa"/>
            <w:bottom w:w="0" w:type="dxa"/>
            <w:right w:w="108" w:type="dxa"/>
          </w:tblCellMar>
        </w:tblPrEx>
        <w:trPr>
          <w:trHeight w:val="310" w:hRule="atLeast"/>
          <w:jc w:val="center"/>
        </w:trPr>
        <w:tc>
          <w:tcPr>
            <w:tcW w:w="9082" w:type="dxa"/>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6"/>
            </w:pPr>
            <w:r>
              <w:t>平板藻</w:t>
            </w:r>
            <w:r>
              <w:rPr>
                <w:i/>
                <w:iCs/>
              </w:rPr>
              <w:t>Tabellaria</w:t>
            </w:r>
            <w:r>
              <w:t xml:space="preserve"> sp.</w:t>
            </w:r>
          </w:p>
        </w:tc>
      </w:tr>
      <w:tr>
        <w:tblPrEx>
          <w:tblCellMar>
            <w:top w:w="0" w:type="dxa"/>
            <w:left w:w="108" w:type="dxa"/>
            <w:bottom w:w="0" w:type="dxa"/>
            <w:right w:w="108" w:type="dxa"/>
          </w:tblCellMar>
        </w:tblPrEx>
        <w:trPr>
          <w:trHeight w:val="310" w:hRule="atLeast"/>
          <w:jc w:val="center"/>
        </w:trPr>
        <w:tc>
          <w:tcPr>
            <w:tcW w:w="9082" w:type="dxa"/>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6"/>
            </w:pPr>
            <w:r>
              <w:t>波缘藻</w:t>
            </w:r>
            <w:r>
              <w:rPr>
                <w:i/>
                <w:iCs/>
              </w:rPr>
              <w:t>Cymatopleura</w:t>
            </w:r>
            <w:r>
              <w:t xml:space="preserve"> sp.</w:t>
            </w:r>
          </w:p>
        </w:tc>
      </w:tr>
      <w:tr>
        <w:tblPrEx>
          <w:tblCellMar>
            <w:top w:w="0" w:type="dxa"/>
            <w:left w:w="108" w:type="dxa"/>
            <w:bottom w:w="0" w:type="dxa"/>
            <w:right w:w="108" w:type="dxa"/>
          </w:tblCellMar>
        </w:tblPrEx>
        <w:trPr>
          <w:trHeight w:val="310" w:hRule="atLeast"/>
          <w:jc w:val="center"/>
        </w:trPr>
        <w:tc>
          <w:tcPr>
            <w:tcW w:w="9082" w:type="dxa"/>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6"/>
            </w:pPr>
            <w:r>
              <w:t>椭圆波缘藻</w:t>
            </w:r>
            <w:r>
              <w:rPr>
                <w:i/>
                <w:iCs/>
              </w:rPr>
              <w:t>C. elliptica</w:t>
            </w:r>
          </w:p>
        </w:tc>
      </w:tr>
      <w:tr>
        <w:tblPrEx>
          <w:tblCellMar>
            <w:top w:w="0" w:type="dxa"/>
            <w:left w:w="108" w:type="dxa"/>
            <w:bottom w:w="0" w:type="dxa"/>
            <w:right w:w="108" w:type="dxa"/>
          </w:tblCellMar>
        </w:tblPrEx>
        <w:trPr>
          <w:trHeight w:val="310" w:hRule="atLeast"/>
          <w:jc w:val="center"/>
        </w:trPr>
        <w:tc>
          <w:tcPr>
            <w:tcW w:w="9082" w:type="dxa"/>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6"/>
            </w:pPr>
          </w:p>
        </w:tc>
      </w:tr>
      <w:tr>
        <w:tblPrEx>
          <w:tblCellMar>
            <w:top w:w="0" w:type="dxa"/>
            <w:left w:w="108" w:type="dxa"/>
            <w:bottom w:w="0" w:type="dxa"/>
            <w:right w:w="108" w:type="dxa"/>
          </w:tblCellMar>
        </w:tblPrEx>
        <w:trPr>
          <w:trHeight w:val="310" w:hRule="atLeast"/>
          <w:jc w:val="center"/>
        </w:trPr>
        <w:tc>
          <w:tcPr>
            <w:tcW w:w="9082" w:type="dxa"/>
            <w:tcBorders>
              <w:top w:val="single" w:color="auto" w:sz="4" w:space="0"/>
              <w:left w:val="single" w:color="auto" w:sz="4" w:space="0"/>
              <w:bottom w:val="single" w:color="auto" w:sz="4" w:space="0"/>
              <w:right w:val="single" w:color="auto" w:sz="4" w:space="0"/>
            </w:tcBorders>
            <w:shd w:val="clear" w:color="auto" w:fill="auto"/>
            <w:noWrap/>
            <w:vAlign w:val="bottom"/>
          </w:tcPr>
          <w:p>
            <w:pPr>
              <w:pStyle w:val="136"/>
            </w:pPr>
            <w:r>
              <w:t>绿藻门</w:t>
            </w:r>
            <w:r>
              <w:rPr>
                <w:iCs/>
              </w:rPr>
              <w:t>Cholrophyta</w:t>
            </w:r>
          </w:p>
        </w:tc>
      </w:tr>
      <w:tr>
        <w:tblPrEx>
          <w:tblCellMar>
            <w:top w:w="0" w:type="dxa"/>
            <w:left w:w="108" w:type="dxa"/>
            <w:bottom w:w="0" w:type="dxa"/>
            <w:right w:w="108" w:type="dxa"/>
          </w:tblCellMar>
        </w:tblPrEx>
        <w:trPr>
          <w:trHeight w:val="310" w:hRule="atLeast"/>
          <w:jc w:val="center"/>
        </w:trPr>
        <w:tc>
          <w:tcPr>
            <w:tcW w:w="9082" w:type="dxa"/>
            <w:tcBorders>
              <w:top w:val="single" w:color="auto" w:sz="4" w:space="0"/>
              <w:left w:val="single" w:color="auto" w:sz="4" w:space="0"/>
              <w:bottom w:val="single" w:color="auto" w:sz="4" w:space="0"/>
              <w:right w:val="single" w:color="auto" w:sz="4" w:space="0"/>
            </w:tcBorders>
            <w:shd w:val="clear" w:color="auto" w:fill="auto"/>
            <w:noWrap/>
          </w:tcPr>
          <w:p>
            <w:pPr>
              <w:pStyle w:val="136"/>
            </w:pPr>
            <w:r>
              <w:t>丝藻Ulothrix sp.</w:t>
            </w:r>
          </w:p>
        </w:tc>
      </w:tr>
      <w:tr>
        <w:tblPrEx>
          <w:tblCellMar>
            <w:top w:w="0" w:type="dxa"/>
            <w:left w:w="108" w:type="dxa"/>
            <w:bottom w:w="0" w:type="dxa"/>
            <w:right w:w="108" w:type="dxa"/>
          </w:tblCellMar>
        </w:tblPrEx>
        <w:trPr>
          <w:trHeight w:val="310" w:hRule="atLeast"/>
          <w:jc w:val="center"/>
        </w:trPr>
        <w:tc>
          <w:tcPr>
            <w:tcW w:w="9082" w:type="dxa"/>
            <w:tcBorders>
              <w:top w:val="single" w:color="auto" w:sz="4" w:space="0"/>
              <w:left w:val="single" w:color="auto" w:sz="4" w:space="0"/>
              <w:bottom w:val="single" w:color="auto" w:sz="4" w:space="0"/>
              <w:right w:val="single" w:color="auto" w:sz="4" w:space="0"/>
            </w:tcBorders>
            <w:shd w:val="clear" w:color="auto" w:fill="auto"/>
            <w:noWrap/>
          </w:tcPr>
          <w:p>
            <w:pPr>
              <w:pStyle w:val="136"/>
            </w:pPr>
            <w:r>
              <w:t>合计35种（属）</w:t>
            </w:r>
          </w:p>
        </w:tc>
      </w:tr>
    </w:tbl>
    <w:p>
      <w:pPr>
        <w:ind w:firstLine="480"/>
        <w:rPr>
          <w:rFonts w:cs="Times New Roman"/>
        </w:rPr>
      </w:pPr>
    </w:p>
    <w:p>
      <w:pPr>
        <w:ind w:firstLine="480"/>
        <w:rPr>
          <w:rFonts w:cs="Times New Roman"/>
        </w:rPr>
      </w:pPr>
      <w:bookmarkStart w:id="91" w:name="_Toc138098321"/>
      <w:r>
        <w:rPr>
          <w:rFonts w:cs="Times New Roman"/>
        </w:rPr>
        <w:t>B.数量和生物量</w:t>
      </w:r>
      <w:bookmarkEnd w:id="91"/>
    </w:p>
    <w:p>
      <w:pPr>
        <w:ind w:firstLine="480"/>
        <w:rPr>
          <w:rFonts w:cs="Times New Roman"/>
        </w:rPr>
      </w:pPr>
      <w:r>
        <w:rPr>
          <w:rFonts w:cs="Times New Roman"/>
        </w:rPr>
        <w:t>调查断面浮游植物密度为66.18×10</w:t>
      </w:r>
      <w:r>
        <w:rPr>
          <w:rFonts w:cs="Times New Roman"/>
          <w:vertAlign w:val="superscript"/>
        </w:rPr>
        <w:t>4</w:t>
      </w:r>
      <w:r>
        <w:rPr>
          <w:rFonts w:cs="Times New Roman"/>
        </w:rPr>
        <w:t>ind/L，生物量为0.67mg/L，浮游植物群落均由硅藻组成。</w:t>
      </w:r>
    </w:p>
    <w:p>
      <w:pPr>
        <w:ind w:firstLine="480"/>
        <w:rPr>
          <w:rFonts w:cs="Times New Roman"/>
        </w:rPr>
      </w:pPr>
      <w:r>
        <w:rPr>
          <w:rFonts w:cs="Times New Roman"/>
        </w:rPr>
        <w:t>C.生物多样性</w:t>
      </w:r>
    </w:p>
    <w:p>
      <w:pPr>
        <w:ind w:firstLine="480"/>
        <w:rPr>
          <w:rFonts w:cs="Times New Roman"/>
        </w:rPr>
      </w:pPr>
      <w:r>
        <w:rPr>
          <w:rFonts w:cs="Times New Roman"/>
        </w:rPr>
        <w:t>调查断面浮游植物Shannon–Weaver指数为1.951，Simpson指数（D）为0.795，Pielou指数（J）指数为0.806。</w:t>
      </w:r>
    </w:p>
    <w:p>
      <w:pPr>
        <w:ind w:firstLine="480"/>
        <w:rPr>
          <w:rFonts w:cs="Times New Roman"/>
        </w:rPr>
      </w:pPr>
      <w:r>
        <w:rPr>
          <w:rFonts w:cs="Times New Roman"/>
        </w:rPr>
        <w:t>D.浮游植物现状</w:t>
      </w:r>
    </w:p>
    <w:p>
      <w:pPr>
        <w:ind w:firstLine="480"/>
        <w:rPr>
          <w:rFonts w:cs="Times New Roman"/>
        </w:rPr>
      </w:pPr>
      <w:r>
        <w:rPr>
          <w:rFonts w:cs="Times New Roman"/>
        </w:rPr>
        <w:t>浮游植物类群呈典型的硅藻型水体，多为高山河流习见的淡水藻类，加之外源营养物质注入受限，现存量较低。</w:t>
      </w:r>
    </w:p>
    <w:p>
      <w:pPr>
        <w:ind w:firstLine="480"/>
        <w:rPr>
          <w:rFonts w:cs="Times New Roman"/>
          <w:bCs/>
        </w:rPr>
      </w:pPr>
      <w:bookmarkStart w:id="92" w:name="_Toc179362703"/>
      <w:r>
        <w:rPr>
          <w:rFonts w:cs="Times New Roman"/>
          <w:bCs/>
        </w:rPr>
        <w:t>浮游动物</w:t>
      </w:r>
      <w:bookmarkEnd w:id="92"/>
    </w:p>
    <w:p>
      <w:pPr>
        <w:ind w:firstLine="480"/>
        <w:rPr>
          <w:rFonts w:cs="Times New Roman"/>
        </w:rPr>
      </w:pPr>
      <w:bookmarkStart w:id="93" w:name="_Toc138098325"/>
      <w:r>
        <w:rPr>
          <w:rFonts w:cs="Times New Roman"/>
        </w:rPr>
        <w:t>A.种类组成</w:t>
      </w:r>
      <w:bookmarkEnd w:id="93"/>
    </w:p>
    <w:p>
      <w:pPr>
        <w:ind w:firstLine="480"/>
        <w:rPr>
          <w:rFonts w:cs="Times New Roman"/>
        </w:rPr>
      </w:pPr>
      <w:r>
        <w:rPr>
          <w:rFonts w:cs="Times New Roman"/>
        </w:rPr>
        <w:t>调查断面鉴出浮游动物种类数为9种（属），其中原生动物5种（属），轮虫3种（属），桡足类1种（属）。调查断面浮游动物信息详见表4.2-24。</w:t>
      </w:r>
    </w:p>
    <w:p>
      <w:pPr>
        <w:pStyle w:val="137"/>
        <w:spacing w:before="62"/>
      </w:pPr>
      <w:r>
        <w:t>表4.2-24                      调查断面浮游动物名录</w:t>
      </w:r>
    </w:p>
    <w:tbl>
      <w:tblPr>
        <w:tblStyle w:val="40"/>
        <w:tblW w:w="9046" w:type="dxa"/>
        <w:jc w:val="center"/>
        <w:tblLayout w:type="autofit"/>
        <w:tblCellMar>
          <w:top w:w="0" w:type="dxa"/>
          <w:left w:w="108" w:type="dxa"/>
          <w:bottom w:w="0" w:type="dxa"/>
          <w:right w:w="108" w:type="dxa"/>
        </w:tblCellMar>
      </w:tblPr>
      <w:tblGrid>
        <w:gridCol w:w="9046"/>
      </w:tblGrid>
      <w:tr>
        <w:tblPrEx>
          <w:tblCellMar>
            <w:top w:w="0" w:type="dxa"/>
            <w:left w:w="108" w:type="dxa"/>
            <w:bottom w:w="0" w:type="dxa"/>
            <w:right w:w="108" w:type="dxa"/>
          </w:tblCellMar>
        </w:tblPrEx>
        <w:trPr>
          <w:trHeight w:val="325"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36"/>
            </w:pPr>
            <w:r>
              <w:t>种类</w:t>
            </w:r>
          </w:p>
        </w:tc>
      </w:tr>
      <w:tr>
        <w:tblPrEx>
          <w:tblCellMar>
            <w:top w:w="0" w:type="dxa"/>
            <w:left w:w="108" w:type="dxa"/>
            <w:bottom w:w="0" w:type="dxa"/>
            <w:right w:w="108" w:type="dxa"/>
          </w:tblCellMar>
        </w:tblPrEx>
        <w:trPr>
          <w:trHeight w:val="325"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36"/>
            </w:pPr>
            <w:r>
              <w:t>原生动物Protozoa</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tcPr>
          <w:p>
            <w:pPr>
              <w:pStyle w:val="136"/>
            </w:pPr>
            <w:r>
              <w:t>异胞虫</w:t>
            </w:r>
            <w:r>
              <w:rPr>
                <w:i/>
                <w:iCs/>
              </w:rPr>
              <w:t xml:space="preserve"> Heterophrya</w:t>
            </w:r>
            <w:r>
              <w:t xml:space="preserve"> sp.</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tcPr>
          <w:p>
            <w:pPr>
              <w:pStyle w:val="136"/>
            </w:pPr>
            <w:r>
              <w:t xml:space="preserve">表壳虫 </w:t>
            </w:r>
            <w:r>
              <w:rPr>
                <w:i/>
                <w:iCs/>
              </w:rPr>
              <w:t>Arcellav</w:t>
            </w:r>
            <w:r>
              <w:t xml:space="preserve"> sp.</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tcPr>
          <w:p>
            <w:pPr>
              <w:pStyle w:val="136"/>
            </w:pPr>
            <w:r>
              <w:t xml:space="preserve">普通表壳虫 </w:t>
            </w:r>
            <w:r>
              <w:rPr>
                <w:i/>
                <w:iCs/>
              </w:rPr>
              <w:t>Arcellav ulgaris</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tcPr>
          <w:p>
            <w:pPr>
              <w:pStyle w:val="136"/>
            </w:pPr>
            <w:r>
              <w:t xml:space="preserve">砂壳虫 </w:t>
            </w:r>
            <w:r>
              <w:rPr>
                <w:i/>
                <w:iCs/>
              </w:rPr>
              <w:t>Difflugia</w:t>
            </w:r>
            <w:r>
              <w:t xml:space="preserve"> sp.</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6"/>
            </w:pPr>
            <w:r>
              <w:t>叉口砂壳虫</w:t>
            </w:r>
            <w:r>
              <w:rPr>
                <w:i/>
                <w:iCs/>
              </w:rPr>
              <w:t>Difflugia</w:t>
            </w:r>
            <w:r>
              <w:t xml:space="preserve"> sp.</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6"/>
            </w:pP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tcPr>
          <w:p>
            <w:pPr>
              <w:pStyle w:val="136"/>
            </w:pPr>
            <w:r>
              <w:t>轮虫Rotifera</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36"/>
            </w:pPr>
            <w:r>
              <w:t>旋轮科Hablodinidae</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36"/>
            </w:pPr>
            <w:r>
              <w:t>单趾轮虫</w:t>
            </w:r>
            <w:r>
              <w:rPr>
                <w:i/>
                <w:iCs/>
              </w:rPr>
              <w:t>Monostyla</w:t>
            </w:r>
            <w:r>
              <w:t xml:space="preserve"> sp.</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36"/>
            </w:pPr>
            <w:r>
              <w:t>尖趾单趾轮虫</w:t>
            </w:r>
            <w:r>
              <w:rPr>
                <w:i/>
                <w:iCs/>
              </w:rPr>
              <w:t>Monodtyla unguitata</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36"/>
            </w:pP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36"/>
            </w:pPr>
            <w:r>
              <w:t>桡足类Copepoda</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36"/>
            </w:pPr>
            <w:r>
              <w:t>无节幼体Nauplii</w:t>
            </w:r>
          </w:p>
        </w:tc>
      </w:tr>
      <w:tr>
        <w:tblPrEx>
          <w:tblCellMar>
            <w:top w:w="0" w:type="dxa"/>
            <w:left w:w="108" w:type="dxa"/>
            <w:bottom w:w="0" w:type="dxa"/>
            <w:right w:w="108" w:type="dxa"/>
          </w:tblCellMar>
        </w:tblPrEx>
        <w:trPr>
          <w:trHeight w:val="280" w:hRule="atLeast"/>
          <w:jc w:val="center"/>
        </w:trPr>
        <w:tc>
          <w:tcPr>
            <w:tcW w:w="9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36"/>
            </w:pPr>
            <w:r>
              <w:t>合计9种（属）</w:t>
            </w:r>
          </w:p>
        </w:tc>
      </w:tr>
    </w:tbl>
    <w:p>
      <w:pPr>
        <w:ind w:firstLine="480"/>
        <w:rPr>
          <w:rFonts w:cs="Times New Roman"/>
        </w:rPr>
      </w:pPr>
    </w:p>
    <w:p>
      <w:pPr>
        <w:ind w:firstLine="480"/>
        <w:rPr>
          <w:rFonts w:cs="Times New Roman"/>
        </w:rPr>
      </w:pPr>
      <w:bookmarkStart w:id="94" w:name="_Toc138098327"/>
      <w:r>
        <w:rPr>
          <w:rFonts w:cs="Times New Roman"/>
        </w:rPr>
        <w:t>B.数量和生物量</w:t>
      </w:r>
      <w:bookmarkEnd w:id="94"/>
    </w:p>
    <w:p>
      <w:pPr>
        <w:ind w:firstLine="480"/>
        <w:rPr>
          <w:rFonts w:cs="Times New Roman"/>
        </w:rPr>
      </w:pPr>
      <w:r>
        <w:rPr>
          <w:rFonts w:cs="Times New Roman"/>
        </w:rPr>
        <w:t>调查断面浮游动物密度为28.40ind/L，其中原生动物25ind/L，轮虫2.50ind/L，桡足类0.8ind/L。浮游动物生物量为0.010mg/L，其中原生动物0.001mg/L，轮虫0.004mg/L，桡足类0.005mg/L。</w:t>
      </w:r>
    </w:p>
    <w:p>
      <w:pPr>
        <w:ind w:firstLine="480"/>
        <w:rPr>
          <w:rFonts w:cs="Times New Roman"/>
        </w:rPr>
      </w:pPr>
      <w:r>
        <w:rPr>
          <w:rFonts w:cs="Times New Roman"/>
        </w:rPr>
        <w:t>C.生物多样性</w:t>
      </w:r>
    </w:p>
    <w:p>
      <w:pPr>
        <w:ind w:firstLine="480"/>
        <w:rPr>
          <w:rFonts w:cs="Times New Roman"/>
        </w:rPr>
      </w:pPr>
      <w:r>
        <w:rPr>
          <w:rFonts w:cs="Times New Roman"/>
        </w:rPr>
        <w:t>调查断面浮游动物Shannon–Weaver指数为0.792，Simpson指数（D）为0.530，Pielou指数（J）指数为0.616。</w:t>
      </w:r>
    </w:p>
    <w:p>
      <w:pPr>
        <w:ind w:firstLine="480"/>
        <w:rPr>
          <w:rFonts w:cs="Times New Roman"/>
        </w:rPr>
      </w:pPr>
      <w:r>
        <w:rPr>
          <w:rFonts w:cs="Times New Roman"/>
        </w:rPr>
        <w:t>D.浮游动物现状</w:t>
      </w:r>
    </w:p>
    <w:p>
      <w:pPr>
        <w:ind w:firstLine="480"/>
        <w:rPr>
          <w:rFonts w:cs="Times New Roman"/>
        </w:rPr>
      </w:pPr>
      <w:r>
        <w:rPr>
          <w:rFonts w:cs="Times New Roman"/>
        </w:rPr>
        <w:t>浮游动物种类组成、现存量和多样性均较低，可能受低浮游植物现存量的影响，并且海拔高，营养物质缺乏，也不利于营浮游生活的浮游动物生长繁殖。</w:t>
      </w:r>
      <w:bookmarkStart w:id="95" w:name="_Toc27899637"/>
      <w:bookmarkStart w:id="96" w:name="_Toc32607"/>
      <w:bookmarkStart w:id="97" w:name="_Toc179362704"/>
    </w:p>
    <w:p>
      <w:pPr>
        <w:ind w:firstLine="480"/>
        <w:rPr>
          <w:rFonts w:cs="Times New Roman"/>
        </w:rPr>
      </w:pPr>
      <w:r>
        <w:rPr>
          <w:rFonts w:cs="Times New Roman"/>
          <w:bCs/>
        </w:rPr>
        <w:t>底栖动物</w:t>
      </w:r>
      <w:bookmarkEnd w:id="95"/>
      <w:bookmarkEnd w:id="96"/>
      <w:bookmarkEnd w:id="97"/>
    </w:p>
    <w:p>
      <w:pPr>
        <w:ind w:firstLine="480"/>
        <w:rPr>
          <w:rFonts w:cs="Times New Roman"/>
          <w:bCs/>
        </w:rPr>
      </w:pPr>
      <w:r>
        <w:rPr>
          <w:rFonts w:cs="Times New Roman"/>
        </w:rPr>
        <w:t>调查共采集到</w:t>
      </w:r>
      <w:bookmarkStart w:id="98" w:name="_Hlk100323899"/>
      <w:r>
        <w:rPr>
          <w:rFonts w:cs="Times New Roman"/>
        </w:rPr>
        <w:t>底栖动物2种，隶属于1门1纲2目，其中蜉蝣目1种，双翅目1属。调查断面底栖动物信息详见表4.2-25。</w:t>
      </w:r>
    </w:p>
    <w:bookmarkEnd w:id="98"/>
    <w:p>
      <w:pPr>
        <w:pStyle w:val="137"/>
        <w:spacing w:before="62"/>
      </w:pPr>
      <w:r>
        <w:t>表4.2-25                     底栖动物名录</w:t>
      </w:r>
    </w:p>
    <w:tbl>
      <w:tblPr>
        <w:tblStyle w:val="161"/>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5" w:type="dxa"/>
          </w:tcPr>
          <w:p>
            <w:pPr>
              <w:pStyle w:val="136"/>
            </w:pPr>
            <w:r>
              <w:t>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5" w:type="dxa"/>
          </w:tcPr>
          <w:p>
            <w:pPr>
              <w:pStyle w:val="136"/>
            </w:pPr>
            <w:r>
              <w:t>节肢动物门Arthrpod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5" w:type="dxa"/>
          </w:tcPr>
          <w:p>
            <w:pPr>
              <w:pStyle w:val="136"/>
            </w:pPr>
            <w:r>
              <w:t>昆虫纲Insecta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5" w:type="dxa"/>
          </w:tcPr>
          <w:p>
            <w:pPr>
              <w:pStyle w:val="136"/>
            </w:pPr>
            <w:r>
              <w:t>蜉蝣目Ephemeroptera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5" w:type="dxa"/>
          </w:tcPr>
          <w:p>
            <w:pPr>
              <w:pStyle w:val="136"/>
            </w:pPr>
            <w:r>
              <w:t>四节蜉属</w:t>
            </w:r>
            <w:r>
              <w:rPr>
                <w:i/>
                <w:iCs/>
              </w:rPr>
              <w:t xml:space="preserve">Baetis </w:t>
            </w:r>
            <w:r>
              <w: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5" w:type="dxa"/>
          </w:tcPr>
          <w:p>
            <w:pPr>
              <w:pStyle w:val="136"/>
            </w:pPr>
            <w:r>
              <w:t>双翅目Diptera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5" w:type="dxa"/>
          </w:tcPr>
          <w:p>
            <w:pPr>
              <w:pStyle w:val="136"/>
            </w:pPr>
            <w:r>
              <w:t xml:space="preserve">蚋科一种Simuliidae </w:t>
            </w:r>
          </w:p>
        </w:tc>
      </w:tr>
    </w:tbl>
    <w:p>
      <w:pPr>
        <w:ind w:firstLine="480"/>
        <w:rPr>
          <w:rFonts w:cs="Times New Roman"/>
        </w:rPr>
      </w:pPr>
    </w:p>
    <w:p>
      <w:pPr>
        <w:ind w:firstLine="480"/>
        <w:rPr>
          <w:rFonts w:cs="Times New Roman"/>
        </w:rPr>
      </w:pPr>
      <w:r>
        <w:rPr>
          <w:rFonts w:cs="Times New Roman"/>
        </w:rPr>
        <w:t>蚋科经常出现在人畜周围，调查范围内有放牧的牛、马等牲畜，可能与其有关。四节蜉多喜分布在水质清瘦、石底、可形成一定流速的激流生态环境，对水质环境要求较高，是低有机物水体的指示生物，可见调查区受人为、外源营养注入的影响较小。因浮游生物含量受限，这些底栖动物是调查区生态系统中重要的饵料资源，但群落在现存量和多样性上均较低，呈现较为脆弱的河流生态环境。</w:t>
      </w:r>
    </w:p>
    <w:p>
      <w:pPr>
        <w:ind w:firstLine="480"/>
        <w:rPr>
          <w:rFonts w:cs="Times New Roman"/>
          <w:bCs/>
        </w:rPr>
      </w:pPr>
      <w:bookmarkStart w:id="99" w:name="_Toc179362705"/>
      <w:bookmarkStart w:id="100" w:name="_Toc27899640"/>
      <w:bookmarkStart w:id="101" w:name="_Toc11638"/>
      <w:r>
        <w:rPr>
          <w:rFonts w:cs="Times New Roman"/>
          <w:bCs/>
        </w:rPr>
        <w:t>水生维管束植物</w:t>
      </w:r>
      <w:bookmarkEnd w:id="99"/>
      <w:bookmarkEnd w:id="100"/>
      <w:bookmarkEnd w:id="101"/>
    </w:p>
    <w:p>
      <w:pPr>
        <w:ind w:firstLine="480"/>
        <w:rPr>
          <w:rFonts w:cs="Times New Roman"/>
        </w:rPr>
      </w:pPr>
      <w:r>
        <w:rPr>
          <w:rFonts w:cs="Times New Roman"/>
        </w:rPr>
        <w:t>水生维管束植物俗称为水草，根据其生活方式，一般</w:t>
      </w:r>
      <w:r>
        <w:rPr>
          <w:rFonts w:hint="eastAsia" w:cs="Times New Roman"/>
          <w:lang w:eastAsia="zh-CN"/>
        </w:rPr>
        <w:t>将</w:t>
      </w:r>
      <w:r>
        <w:rPr>
          <w:rFonts w:cs="Times New Roman"/>
        </w:rPr>
        <w:t>其分为以下几大类：挺水植物、浮叶植物，沉水植物和漂浮植物以及湿生植物，其生长受水环境中的流速、水温、底质、水体营养状况等的影响。</w:t>
      </w:r>
    </w:p>
    <w:p>
      <w:pPr>
        <w:ind w:firstLine="480"/>
        <w:rPr>
          <w:rFonts w:cs="Times New Roman"/>
        </w:rPr>
      </w:pPr>
      <w:r>
        <w:rPr>
          <w:rFonts w:cs="Times New Roman"/>
        </w:rPr>
        <w:t>调查范围内河道狭窄，水量较小，底质及沿岸带为卵石及砂砾，并且经常断流，不适宜水生植物生长，调查未采集到水生维管束植物。</w:t>
      </w:r>
    </w:p>
    <w:p>
      <w:pPr>
        <w:ind w:firstLine="480"/>
        <w:rPr>
          <w:rFonts w:cs="Times New Roman"/>
          <w:bCs/>
        </w:rPr>
      </w:pPr>
      <w:bookmarkStart w:id="102" w:name="_Toc27899641"/>
      <w:bookmarkStart w:id="103" w:name="_Toc179362706"/>
      <w:bookmarkStart w:id="104" w:name="_Toc19424"/>
      <w:r>
        <w:rPr>
          <w:rFonts w:cs="Times New Roman"/>
          <w:bCs/>
        </w:rPr>
        <w:t>（7）鱼类</w:t>
      </w:r>
      <w:bookmarkEnd w:id="102"/>
      <w:bookmarkEnd w:id="103"/>
      <w:bookmarkEnd w:id="104"/>
    </w:p>
    <w:p>
      <w:pPr>
        <w:ind w:firstLine="480"/>
        <w:rPr>
          <w:rFonts w:cs="Times New Roman"/>
        </w:rPr>
      </w:pPr>
      <w:bookmarkStart w:id="105" w:name="_Toc22603234"/>
      <w:r>
        <w:rPr>
          <w:rFonts w:cs="Times New Roman"/>
        </w:rPr>
        <w:t>本次调查未采集到鱼类样本。流域规划环评阶段也未采集到鱼类样本。</w:t>
      </w:r>
    </w:p>
    <w:p>
      <w:pPr>
        <w:ind w:firstLine="480"/>
        <w:rPr>
          <w:rFonts w:cs="Times New Roman"/>
        </w:rPr>
      </w:pPr>
      <w:r>
        <w:rPr>
          <w:rFonts w:cs="Times New Roman"/>
        </w:rPr>
        <w:t>代尔昆代郭勒河出山口以上河段为上游，河道自北向南流经中高山和丘陵地带，河道狭长且下切严重，河漫滩不发育，河水归槽现象明显，两岸植被不发育，以荒漠类灌木为主；河长约18km，流域面积约86.9km</w:t>
      </w:r>
      <w:r>
        <w:rPr>
          <w:rFonts w:cs="Times New Roman"/>
          <w:vertAlign w:val="superscript"/>
        </w:rPr>
        <w:t>2</w:t>
      </w:r>
      <w:r>
        <w:rPr>
          <w:rFonts w:cs="Times New Roman"/>
        </w:rPr>
        <w:t>。代尔昆代水库即位于该河段，水库坝址距下游出山口断面约6km，坝址断面年均径流量834万m</w:t>
      </w:r>
      <w:r>
        <w:rPr>
          <w:rFonts w:cs="Times New Roman"/>
          <w:vertAlign w:val="superscript"/>
        </w:rPr>
        <w:t>3</w:t>
      </w:r>
      <w:r>
        <w:rPr>
          <w:rFonts w:cs="Times New Roman"/>
        </w:rPr>
        <w:t>、年均流量0.26m</w:t>
      </w:r>
      <w:r>
        <w:rPr>
          <w:rFonts w:cs="Times New Roman"/>
          <w:vertAlign w:val="superscript"/>
        </w:rPr>
        <w:t>3</w:t>
      </w:r>
      <w:r>
        <w:rPr>
          <w:rFonts w:cs="Times New Roman"/>
        </w:rPr>
        <w:t>/s。</w:t>
      </w:r>
    </w:p>
    <w:p>
      <w:pPr>
        <w:ind w:firstLine="480"/>
        <w:rPr>
          <w:rFonts w:cs="Times New Roman"/>
        </w:rPr>
      </w:pPr>
      <w:r>
        <w:rPr>
          <w:rFonts w:cs="Times New Roman"/>
        </w:rPr>
        <w:t>代尔昆代郭勒河主要由季节性融雪水、夏季降雨补给为主，同时基岩裂隙水也具有一定补给作用。由于补给源不稳定且补给量小，加之河床覆盖层以第四系卵砾石为主，下渗严重，山区河段（上游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w:t>
      </w:r>
    </w:p>
    <w:p>
      <w:pPr>
        <w:ind w:firstLine="480"/>
        <w:rPr>
          <w:rFonts w:cs="Times New Roman"/>
        </w:rPr>
      </w:pPr>
      <w:r>
        <w:rPr>
          <w:rFonts w:cs="Times New Roman"/>
        </w:rPr>
        <w:t>本次调查期间代尔昆代水库坝址断面河床干涸，坝址断面上游约2～3km才有径流，且水量极小，河面宽度仅1m左右，水深不超过10cm。据调查，冬季河道水量会进一步降低且完全封冻，整体来说，代尔昆代河现有生境不太适宜鱼类生存，经判断代尔昆代郭勒河无鱼类分布。</w:t>
      </w:r>
    </w:p>
    <w:bookmarkEnd w:id="105"/>
    <w:p>
      <w:pPr>
        <w:pStyle w:val="62"/>
        <w:rPr>
          <w:rFonts w:cs="Times New Roman"/>
        </w:rPr>
      </w:pPr>
      <w:r>
        <w:rPr>
          <w:rFonts w:cs="Times New Roman"/>
        </w:rPr>
        <w:t>4.2.1.11 敏感区</w:t>
      </w:r>
    </w:p>
    <w:p>
      <w:pPr>
        <w:pStyle w:val="89"/>
        <w:ind w:firstLine="482" w:firstLineChars="0"/>
        <w:rPr>
          <w:rFonts w:cs="Times New Roman" w:eastAsiaTheme="minorEastAsia"/>
          <w:szCs w:val="24"/>
        </w:rPr>
      </w:pPr>
      <w:r>
        <w:rPr>
          <w:rFonts w:cs="Times New Roman" w:eastAsiaTheme="minorEastAsia"/>
        </w:rPr>
        <w:t>本项目占地及影响范围内不涉及国家公园、自然保护区、世界自然遗产、重要生境等自然保护地。经叠图分析，代尔昆代水库工程枢纽及淹没区位于东天山水源涵养与生物多样性维护生态保护红线区，淹没、占用红线区约9.35hm</w:t>
      </w:r>
      <w:r>
        <w:rPr>
          <w:rFonts w:cs="Times New Roman" w:eastAsiaTheme="minorEastAsia"/>
          <w:vertAlign w:val="superscript"/>
        </w:rPr>
        <w:t>2</w:t>
      </w:r>
      <w:r>
        <w:rPr>
          <w:rFonts w:cs="Times New Roman" w:eastAsiaTheme="minorEastAsia"/>
        </w:rPr>
        <w:t>。</w:t>
      </w:r>
      <w:r>
        <w:rPr>
          <w:rFonts w:cs="Times New Roman" w:eastAsiaTheme="minorEastAsia"/>
          <w:szCs w:val="24"/>
        </w:rPr>
        <w:t>工程涉及的生态敏感区见表4.2-26及图4.2-5。</w:t>
      </w:r>
    </w:p>
    <w:p>
      <w:pPr>
        <w:ind w:firstLine="0" w:firstLineChars="0"/>
        <w:jc w:val="center"/>
        <w:rPr>
          <w:rFonts w:cs="Times New Roman"/>
          <w:szCs w:val="24"/>
        </w:rPr>
      </w:pPr>
      <w:r>
        <w:rPr>
          <w:rFonts w:cs="Times New Roman"/>
        </w:rPr>
        <w:drawing>
          <wp:inline distT="0" distB="0" distL="0" distR="0">
            <wp:extent cx="4072255" cy="287972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72591" cy="2880000"/>
                    </a:xfrm>
                    <a:prstGeom prst="rect">
                      <a:avLst/>
                    </a:prstGeom>
                  </pic:spPr>
                </pic:pic>
              </a:graphicData>
            </a:graphic>
          </wp:inline>
        </w:drawing>
      </w:r>
    </w:p>
    <w:p>
      <w:pPr>
        <w:pStyle w:val="147"/>
      </w:pPr>
      <w:r>
        <w:t>图4.2-5 工程区生态保护红线位置关系图</w:t>
      </w:r>
    </w:p>
    <w:p>
      <w:pPr>
        <w:spacing w:line="240" w:lineRule="auto"/>
        <w:ind w:firstLine="2310" w:firstLineChars="1100"/>
        <w:rPr>
          <w:rFonts w:cs="Times New Roman"/>
          <w:color w:val="FF0000"/>
          <w:sz w:val="21"/>
          <w:szCs w:val="21"/>
          <w:highlight w:val="yellow"/>
        </w:rPr>
      </w:pPr>
    </w:p>
    <w:p>
      <w:pPr>
        <w:ind w:firstLine="480"/>
        <w:rPr>
          <w:rFonts w:cs="Times New Roman" w:eastAsiaTheme="minorEastAsia"/>
          <w:szCs w:val="21"/>
        </w:rPr>
      </w:pPr>
      <w:r>
        <w:rPr>
          <w:rFonts w:cs="Times New Roman" w:eastAsiaTheme="minorEastAsia"/>
          <w:szCs w:val="21"/>
        </w:rPr>
        <w:t>评价区范围内分布有生态保护红线面积10.75km</w:t>
      </w:r>
      <w:r>
        <w:rPr>
          <w:rFonts w:cs="Times New Roman" w:eastAsiaTheme="minorEastAsia"/>
          <w:szCs w:val="21"/>
          <w:vertAlign w:val="superscript"/>
        </w:rPr>
        <w:t>2</w:t>
      </w:r>
      <w:r>
        <w:rPr>
          <w:rFonts w:cs="Times New Roman" w:eastAsiaTheme="minorEastAsia"/>
          <w:szCs w:val="21"/>
        </w:rPr>
        <w:t>，主要涵盖了喀尔里克山山区，其主导生态功能为水源涵养，保护要求：维护区域主导生态功能，并适当提高保护要求。现状评价范围内生态保护红线区人为活动干扰小，保持天然状态。</w:t>
      </w:r>
    </w:p>
    <w:p>
      <w:pPr>
        <w:pStyle w:val="137"/>
        <w:spacing w:before="62"/>
      </w:pPr>
      <w:r>
        <w:t>表4.2-26                 工程涉及生态保护红线情况表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2613"/>
        <w:gridCol w:w="1745"/>
        <w:gridCol w:w="1597"/>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pPr>
              <w:pStyle w:val="136"/>
            </w:pPr>
            <w:r>
              <w:t>名称</w:t>
            </w:r>
          </w:p>
        </w:tc>
        <w:tc>
          <w:tcPr>
            <w:tcW w:w="1407" w:type="pct"/>
            <w:vAlign w:val="center"/>
          </w:tcPr>
          <w:p>
            <w:pPr>
              <w:pStyle w:val="136"/>
            </w:pPr>
            <w:r>
              <w:t>分布范围</w:t>
            </w:r>
          </w:p>
        </w:tc>
        <w:tc>
          <w:tcPr>
            <w:tcW w:w="940" w:type="pct"/>
            <w:vAlign w:val="center"/>
          </w:tcPr>
          <w:p>
            <w:pPr>
              <w:pStyle w:val="136"/>
            </w:pPr>
            <w:r>
              <w:t>区位关系位置</w:t>
            </w:r>
          </w:p>
        </w:tc>
        <w:tc>
          <w:tcPr>
            <w:tcW w:w="860" w:type="pct"/>
          </w:tcPr>
          <w:p>
            <w:pPr>
              <w:pStyle w:val="136"/>
            </w:pPr>
            <w:r>
              <w:t>主导生态功能</w:t>
            </w:r>
          </w:p>
        </w:tc>
        <w:tc>
          <w:tcPr>
            <w:tcW w:w="857" w:type="pct"/>
          </w:tcPr>
          <w:p>
            <w:pPr>
              <w:pStyle w:val="136"/>
            </w:pPr>
            <w: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pct"/>
            <w:vAlign w:val="center"/>
          </w:tcPr>
          <w:p>
            <w:pPr>
              <w:pStyle w:val="136"/>
            </w:pPr>
            <w:r>
              <w:t>东天山水源涵养与生物多样性维护生态保护红线区</w:t>
            </w:r>
          </w:p>
        </w:tc>
        <w:tc>
          <w:tcPr>
            <w:tcW w:w="1407" w:type="pct"/>
            <w:vAlign w:val="center"/>
          </w:tcPr>
          <w:p>
            <w:pPr>
              <w:pStyle w:val="136"/>
            </w:pPr>
            <w:r>
              <w:t>主要分布于喀尔里克山山区，评价区共有生态保护红线面积10.75km</w:t>
            </w:r>
            <w:r>
              <w:rPr>
                <w:vertAlign w:val="superscript"/>
              </w:rPr>
              <w:t>2</w:t>
            </w:r>
          </w:p>
        </w:tc>
        <w:tc>
          <w:tcPr>
            <w:tcW w:w="940" w:type="pct"/>
            <w:vAlign w:val="center"/>
          </w:tcPr>
          <w:p>
            <w:pPr>
              <w:pStyle w:val="136"/>
            </w:pPr>
            <w:r>
              <w:t>水库淹没、占用红线面积约9.35hm</w:t>
            </w:r>
            <w:r>
              <w:rPr>
                <w:vertAlign w:val="superscript"/>
              </w:rPr>
              <w:t>2</w:t>
            </w:r>
          </w:p>
        </w:tc>
        <w:tc>
          <w:tcPr>
            <w:tcW w:w="860" w:type="pct"/>
            <w:vAlign w:val="center"/>
          </w:tcPr>
          <w:p>
            <w:pPr>
              <w:pStyle w:val="136"/>
            </w:pPr>
            <w:r>
              <w:t>水源涵养</w:t>
            </w:r>
          </w:p>
        </w:tc>
        <w:tc>
          <w:tcPr>
            <w:tcW w:w="857" w:type="pct"/>
            <w:vAlign w:val="center"/>
          </w:tcPr>
          <w:p>
            <w:pPr>
              <w:pStyle w:val="136"/>
            </w:pPr>
            <w:r>
              <w:t>维护区域主导生态功能，并适当提高保护要求</w:t>
            </w:r>
          </w:p>
        </w:tc>
      </w:tr>
    </w:tbl>
    <w:p>
      <w:pPr>
        <w:spacing w:line="240" w:lineRule="auto"/>
        <w:ind w:firstLine="420"/>
        <w:rPr>
          <w:rFonts w:cs="Times New Roman"/>
          <w:color w:val="FF0000"/>
          <w:sz w:val="21"/>
          <w:szCs w:val="21"/>
        </w:rPr>
      </w:pPr>
    </w:p>
    <w:p>
      <w:pPr>
        <w:ind w:firstLine="480"/>
        <w:rPr>
          <w:rFonts w:cs="Times New Roman" w:eastAsiaTheme="minorEastAsia"/>
          <w:szCs w:val="21"/>
        </w:rPr>
      </w:pPr>
      <w:r>
        <w:rPr>
          <w:rFonts w:cs="Times New Roman" w:eastAsiaTheme="minorEastAsia"/>
          <w:szCs w:val="21"/>
        </w:rPr>
        <w:t>根据叠图分析结果，代尔昆代水库淹没占用东天山水源涵养与生物多样性维护生态保护红线区</w:t>
      </w:r>
      <w:r>
        <w:rPr>
          <w:rFonts w:cs="Times New Roman" w:eastAsiaTheme="minorEastAsia"/>
        </w:rPr>
        <w:t>9.35hm</w:t>
      </w:r>
      <w:r>
        <w:rPr>
          <w:rFonts w:cs="Times New Roman" w:eastAsiaTheme="minorEastAsia"/>
          <w:vertAlign w:val="superscript"/>
        </w:rPr>
        <w:t>2</w:t>
      </w:r>
      <w:r>
        <w:rPr>
          <w:rFonts w:cs="Times New Roman" w:eastAsiaTheme="minorEastAsia"/>
          <w:szCs w:val="21"/>
        </w:rPr>
        <w:t>。工程可研阶段在详细地质勘察的基础上，从地形、地质条件、施工条件、运行管理安全及经济性等方面进行了充分比选，最终推荐了中坝址方案，由于工程所处代尔昆代郭勒河上游山区基本被划入了东天山水源涵养与生物多样性维护生态保护红线区，受地形、地质条件等因素的限制，推荐坝址无法完全避让生态红线。</w:t>
      </w:r>
    </w:p>
    <w:p>
      <w:pPr>
        <w:pStyle w:val="62"/>
        <w:rPr>
          <w:rFonts w:cs="Times New Roman"/>
        </w:rPr>
      </w:pPr>
      <w:r>
        <w:rPr>
          <w:rFonts w:cs="Times New Roman"/>
        </w:rPr>
        <w:t>4.2.1.12 环境空气</w:t>
      </w:r>
    </w:p>
    <w:p>
      <w:pPr>
        <w:ind w:firstLine="480"/>
        <w:rPr>
          <w:rFonts w:cs="Times New Roman"/>
        </w:rPr>
      </w:pPr>
      <w:r>
        <w:rPr>
          <w:rFonts w:cs="Times New Roman"/>
        </w:rPr>
        <w:t>代尔昆代水库工程位于代尔昆代郭勒河上游山区，地处农村地区。工程区周边无居民点、无工矿污染源分布，故工程区环境空气质量功能分区为二类区，空气质量执行《环境空气质量标准》（GB3095-2012）中的二级标准。</w:t>
      </w:r>
    </w:p>
    <w:p>
      <w:pPr>
        <w:ind w:firstLine="480"/>
        <w:rPr>
          <w:rFonts w:cs="Times New Roman"/>
        </w:rPr>
      </w:pPr>
      <w:r>
        <w:rPr>
          <w:rFonts w:cs="Times New Roman"/>
        </w:rPr>
        <w:t>2024年09月，我单位委托核工业二一六大队检测研究院对工程区环境空气质量进行了监测，监测点位设置在工程坝址建设区。区域环境空气质量现状评价见表4.2-27。</w:t>
      </w:r>
    </w:p>
    <w:p>
      <w:pPr>
        <w:pStyle w:val="137"/>
        <w:spacing w:before="62"/>
      </w:pPr>
      <w:r>
        <w:t>表4.2-27                  工程区环境空气现状监测成果表           单位：mg/m</w:t>
      </w:r>
      <w:r>
        <w:rPr>
          <w:vertAlign w:val="superscript"/>
        </w:rPr>
        <w:t>3</w:t>
      </w:r>
    </w:p>
    <w:tbl>
      <w:tblPr>
        <w:tblStyle w:val="40"/>
        <w:tblW w:w="5000" w:type="pct"/>
        <w:tblInd w:w="0" w:type="dxa"/>
        <w:tblLayout w:type="autofit"/>
        <w:tblCellMar>
          <w:top w:w="0" w:type="dxa"/>
          <w:left w:w="108" w:type="dxa"/>
          <w:bottom w:w="0" w:type="dxa"/>
          <w:right w:w="108" w:type="dxa"/>
        </w:tblCellMar>
      </w:tblPr>
      <w:tblGrid>
        <w:gridCol w:w="792"/>
        <w:gridCol w:w="1577"/>
        <w:gridCol w:w="1317"/>
        <w:gridCol w:w="1317"/>
        <w:gridCol w:w="990"/>
        <w:gridCol w:w="990"/>
        <w:gridCol w:w="990"/>
        <w:gridCol w:w="1313"/>
      </w:tblGrid>
      <w:tr>
        <w:tblPrEx>
          <w:tblCellMar>
            <w:top w:w="0" w:type="dxa"/>
            <w:left w:w="108" w:type="dxa"/>
            <w:bottom w:w="0" w:type="dxa"/>
            <w:right w:w="108" w:type="dxa"/>
          </w:tblCellMar>
        </w:tblPrEx>
        <w:trPr>
          <w:trHeight w:val="270" w:hRule="atLeast"/>
        </w:trPr>
        <w:tc>
          <w:tcPr>
            <w:tcW w:w="42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序号</w:t>
            </w:r>
          </w:p>
        </w:tc>
        <w:tc>
          <w:tcPr>
            <w:tcW w:w="849" w:type="pct"/>
            <w:tcBorders>
              <w:top w:val="single" w:color="auto" w:sz="4" w:space="0"/>
              <w:left w:val="nil"/>
              <w:bottom w:val="single" w:color="auto" w:sz="4" w:space="0"/>
              <w:right w:val="single" w:color="auto" w:sz="4" w:space="0"/>
            </w:tcBorders>
            <w:shd w:val="clear" w:color="auto" w:fill="auto"/>
            <w:noWrap/>
            <w:vAlign w:val="center"/>
          </w:tcPr>
          <w:p>
            <w:pPr>
              <w:pStyle w:val="136"/>
            </w:pPr>
            <w:r>
              <w:t>污染物项目</w:t>
            </w:r>
          </w:p>
        </w:tc>
        <w:tc>
          <w:tcPr>
            <w:tcW w:w="709" w:type="pct"/>
            <w:tcBorders>
              <w:top w:val="single" w:color="auto" w:sz="4" w:space="0"/>
              <w:left w:val="nil"/>
              <w:bottom w:val="single" w:color="auto" w:sz="4" w:space="0"/>
              <w:right w:val="single" w:color="auto" w:sz="4" w:space="0"/>
            </w:tcBorders>
            <w:shd w:val="clear" w:color="auto" w:fill="auto"/>
            <w:noWrap/>
            <w:vAlign w:val="center"/>
          </w:tcPr>
          <w:p>
            <w:pPr>
              <w:pStyle w:val="136"/>
            </w:pPr>
            <w:r>
              <w:t>平均时间</w:t>
            </w:r>
          </w:p>
        </w:tc>
        <w:tc>
          <w:tcPr>
            <w:tcW w:w="709" w:type="pct"/>
            <w:tcBorders>
              <w:top w:val="single" w:color="auto" w:sz="4" w:space="0"/>
              <w:left w:val="nil"/>
              <w:bottom w:val="single" w:color="auto" w:sz="4" w:space="0"/>
              <w:right w:val="single" w:color="auto" w:sz="4" w:space="0"/>
            </w:tcBorders>
            <w:shd w:val="clear" w:color="auto" w:fill="auto"/>
            <w:noWrap/>
            <w:vAlign w:val="center"/>
          </w:tcPr>
          <w:p>
            <w:pPr>
              <w:pStyle w:val="136"/>
            </w:pPr>
            <w:r>
              <w:t>浓度限制</w:t>
            </w:r>
          </w:p>
        </w:tc>
        <w:tc>
          <w:tcPr>
            <w:tcW w:w="533" w:type="pct"/>
            <w:tcBorders>
              <w:top w:val="single" w:color="auto" w:sz="4" w:space="0"/>
              <w:left w:val="nil"/>
              <w:bottom w:val="single" w:color="auto" w:sz="4" w:space="0"/>
              <w:right w:val="single" w:color="auto" w:sz="4" w:space="0"/>
            </w:tcBorders>
            <w:shd w:val="clear" w:color="auto" w:fill="auto"/>
            <w:noWrap/>
            <w:vAlign w:val="center"/>
          </w:tcPr>
          <w:p>
            <w:pPr>
              <w:pStyle w:val="136"/>
            </w:pPr>
            <w:r>
              <w:t>结果1</w:t>
            </w:r>
          </w:p>
        </w:tc>
        <w:tc>
          <w:tcPr>
            <w:tcW w:w="533" w:type="pct"/>
            <w:tcBorders>
              <w:top w:val="single" w:color="auto" w:sz="4" w:space="0"/>
              <w:left w:val="nil"/>
              <w:bottom w:val="single" w:color="auto" w:sz="4" w:space="0"/>
              <w:right w:val="single" w:color="auto" w:sz="4" w:space="0"/>
            </w:tcBorders>
            <w:shd w:val="clear" w:color="auto" w:fill="auto"/>
            <w:noWrap/>
            <w:vAlign w:val="center"/>
          </w:tcPr>
          <w:p>
            <w:pPr>
              <w:pStyle w:val="136"/>
            </w:pPr>
            <w:r>
              <w:t>结果2</w:t>
            </w:r>
          </w:p>
        </w:tc>
        <w:tc>
          <w:tcPr>
            <w:tcW w:w="533" w:type="pct"/>
            <w:tcBorders>
              <w:top w:val="single" w:color="auto" w:sz="4" w:space="0"/>
              <w:left w:val="nil"/>
              <w:bottom w:val="single" w:color="auto" w:sz="4" w:space="0"/>
              <w:right w:val="single" w:color="auto" w:sz="4" w:space="0"/>
            </w:tcBorders>
            <w:shd w:val="clear" w:color="auto" w:fill="auto"/>
            <w:noWrap/>
            <w:vAlign w:val="center"/>
          </w:tcPr>
          <w:p>
            <w:pPr>
              <w:pStyle w:val="136"/>
            </w:pPr>
            <w:r>
              <w:t>结果3</w:t>
            </w:r>
          </w:p>
        </w:tc>
        <w:tc>
          <w:tcPr>
            <w:tcW w:w="709" w:type="pct"/>
            <w:tcBorders>
              <w:top w:val="single" w:color="auto" w:sz="4" w:space="0"/>
              <w:left w:val="nil"/>
              <w:bottom w:val="single" w:color="auto" w:sz="4" w:space="0"/>
              <w:right w:val="single" w:color="auto" w:sz="4" w:space="0"/>
            </w:tcBorders>
            <w:shd w:val="clear" w:color="auto" w:fill="auto"/>
            <w:noWrap/>
            <w:vAlign w:val="center"/>
          </w:tcPr>
          <w:p>
            <w:pPr>
              <w:pStyle w:val="136"/>
            </w:pPr>
            <w:r>
              <w:t>评价结果</w:t>
            </w:r>
          </w:p>
        </w:tc>
      </w:tr>
      <w:tr>
        <w:tblPrEx>
          <w:tblCellMar>
            <w:top w:w="0" w:type="dxa"/>
            <w:left w:w="108" w:type="dxa"/>
            <w:bottom w:w="0" w:type="dxa"/>
            <w:right w:w="108" w:type="dxa"/>
          </w:tblCellMar>
        </w:tblPrEx>
        <w:trPr>
          <w:trHeight w:val="270" w:hRule="atLeast"/>
        </w:trPr>
        <w:tc>
          <w:tcPr>
            <w:tcW w:w="427" w:type="pct"/>
            <w:tcBorders>
              <w:top w:val="nil"/>
              <w:left w:val="single" w:color="auto" w:sz="4" w:space="0"/>
              <w:bottom w:val="single" w:color="auto" w:sz="4" w:space="0"/>
              <w:right w:val="single" w:color="auto" w:sz="4" w:space="0"/>
            </w:tcBorders>
            <w:shd w:val="clear" w:color="auto" w:fill="auto"/>
            <w:vAlign w:val="center"/>
          </w:tcPr>
          <w:p>
            <w:pPr>
              <w:pStyle w:val="136"/>
            </w:pPr>
            <w:r>
              <w:t>1</w:t>
            </w:r>
          </w:p>
        </w:tc>
        <w:tc>
          <w:tcPr>
            <w:tcW w:w="849" w:type="pct"/>
            <w:tcBorders>
              <w:top w:val="nil"/>
              <w:left w:val="nil"/>
              <w:bottom w:val="single" w:color="auto" w:sz="4" w:space="0"/>
              <w:right w:val="single" w:color="auto" w:sz="4" w:space="0"/>
            </w:tcBorders>
            <w:shd w:val="clear" w:color="auto" w:fill="auto"/>
            <w:vAlign w:val="center"/>
          </w:tcPr>
          <w:p>
            <w:pPr>
              <w:pStyle w:val="136"/>
            </w:pPr>
            <w:r>
              <w:t>SO</w:t>
            </w:r>
            <w:r>
              <w:rPr>
                <w:vertAlign w:val="subscript"/>
              </w:rPr>
              <w:t>2</w:t>
            </w:r>
          </w:p>
        </w:tc>
        <w:tc>
          <w:tcPr>
            <w:tcW w:w="709" w:type="pct"/>
            <w:tcBorders>
              <w:top w:val="nil"/>
              <w:left w:val="nil"/>
              <w:bottom w:val="single" w:color="auto" w:sz="4" w:space="0"/>
              <w:right w:val="single" w:color="auto" w:sz="4" w:space="0"/>
            </w:tcBorders>
            <w:shd w:val="clear" w:color="auto" w:fill="auto"/>
            <w:vAlign w:val="center"/>
          </w:tcPr>
          <w:p>
            <w:pPr>
              <w:pStyle w:val="136"/>
            </w:pPr>
            <w:r>
              <w:t>24h平均</w:t>
            </w:r>
          </w:p>
        </w:tc>
        <w:tc>
          <w:tcPr>
            <w:tcW w:w="709" w:type="pct"/>
            <w:tcBorders>
              <w:top w:val="nil"/>
              <w:left w:val="nil"/>
              <w:bottom w:val="single" w:color="auto" w:sz="4" w:space="0"/>
              <w:right w:val="single" w:color="auto" w:sz="4" w:space="0"/>
            </w:tcBorders>
            <w:shd w:val="clear" w:color="auto" w:fill="auto"/>
            <w:vAlign w:val="center"/>
          </w:tcPr>
          <w:p>
            <w:pPr>
              <w:pStyle w:val="136"/>
            </w:pPr>
            <w:r>
              <w:t>150</w:t>
            </w:r>
          </w:p>
        </w:tc>
        <w:tc>
          <w:tcPr>
            <w:tcW w:w="533" w:type="pct"/>
            <w:tcBorders>
              <w:top w:val="nil"/>
              <w:left w:val="nil"/>
              <w:bottom w:val="single" w:color="auto" w:sz="4" w:space="0"/>
              <w:right w:val="single" w:color="auto" w:sz="4" w:space="0"/>
            </w:tcBorders>
            <w:shd w:val="clear" w:color="auto" w:fill="auto"/>
            <w:vAlign w:val="center"/>
          </w:tcPr>
          <w:p>
            <w:pPr>
              <w:pStyle w:val="136"/>
            </w:pPr>
            <w:r>
              <w:t>0.014</w:t>
            </w:r>
          </w:p>
        </w:tc>
        <w:tc>
          <w:tcPr>
            <w:tcW w:w="533" w:type="pct"/>
            <w:tcBorders>
              <w:top w:val="nil"/>
              <w:left w:val="nil"/>
              <w:bottom w:val="single" w:color="auto" w:sz="4" w:space="0"/>
              <w:right w:val="single" w:color="auto" w:sz="4" w:space="0"/>
            </w:tcBorders>
            <w:shd w:val="clear" w:color="auto" w:fill="auto"/>
            <w:vAlign w:val="center"/>
          </w:tcPr>
          <w:p>
            <w:pPr>
              <w:pStyle w:val="136"/>
            </w:pPr>
            <w:r>
              <w:t>0.019</w:t>
            </w:r>
          </w:p>
        </w:tc>
        <w:tc>
          <w:tcPr>
            <w:tcW w:w="533" w:type="pct"/>
            <w:tcBorders>
              <w:top w:val="nil"/>
              <w:left w:val="nil"/>
              <w:bottom w:val="single" w:color="auto" w:sz="4" w:space="0"/>
              <w:right w:val="single" w:color="auto" w:sz="4" w:space="0"/>
            </w:tcBorders>
            <w:shd w:val="clear" w:color="auto" w:fill="auto"/>
            <w:vAlign w:val="center"/>
          </w:tcPr>
          <w:p>
            <w:pPr>
              <w:pStyle w:val="136"/>
            </w:pPr>
            <w:r>
              <w:t>0.012</w:t>
            </w:r>
          </w:p>
        </w:tc>
        <w:tc>
          <w:tcPr>
            <w:tcW w:w="709" w:type="pct"/>
            <w:tcBorders>
              <w:top w:val="nil"/>
              <w:left w:val="nil"/>
              <w:bottom w:val="single" w:color="auto" w:sz="4" w:space="0"/>
              <w:right w:val="single" w:color="auto" w:sz="4" w:space="0"/>
            </w:tcBorders>
            <w:shd w:val="clear" w:color="auto" w:fill="auto"/>
            <w:vAlign w:val="center"/>
          </w:tcPr>
          <w:p>
            <w:pPr>
              <w:pStyle w:val="136"/>
            </w:pPr>
            <w:r>
              <w:t>达标</w:t>
            </w:r>
          </w:p>
        </w:tc>
      </w:tr>
      <w:tr>
        <w:tblPrEx>
          <w:tblCellMar>
            <w:top w:w="0" w:type="dxa"/>
            <w:left w:w="108" w:type="dxa"/>
            <w:bottom w:w="0" w:type="dxa"/>
            <w:right w:w="108" w:type="dxa"/>
          </w:tblCellMar>
        </w:tblPrEx>
        <w:trPr>
          <w:trHeight w:val="270" w:hRule="atLeast"/>
        </w:trPr>
        <w:tc>
          <w:tcPr>
            <w:tcW w:w="427" w:type="pct"/>
            <w:tcBorders>
              <w:top w:val="nil"/>
              <w:left w:val="single" w:color="auto" w:sz="4" w:space="0"/>
              <w:bottom w:val="single" w:color="auto" w:sz="4" w:space="0"/>
              <w:right w:val="single" w:color="auto" w:sz="4" w:space="0"/>
            </w:tcBorders>
            <w:shd w:val="clear" w:color="auto" w:fill="auto"/>
            <w:vAlign w:val="center"/>
          </w:tcPr>
          <w:p>
            <w:pPr>
              <w:pStyle w:val="136"/>
            </w:pPr>
            <w:r>
              <w:t>2</w:t>
            </w:r>
          </w:p>
        </w:tc>
        <w:tc>
          <w:tcPr>
            <w:tcW w:w="849" w:type="pct"/>
            <w:tcBorders>
              <w:top w:val="nil"/>
              <w:left w:val="nil"/>
              <w:bottom w:val="single" w:color="auto" w:sz="4" w:space="0"/>
              <w:right w:val="single" w:color="auto" w:sz="4" w:space="0"/>
            </w:tcBorders>
            <w:shd w:val="clear" w:color="auto" w:fill="auto"/>
            <w:vAlign w:val="center"/>
          </w:tcPr>
          <w:p>
            <w:pPr>
              <w:pStyle w:val="136"/>
            </w:pPr>
            <w:r>
              <w:t>NO</w:t>
            </w:r>
            <w:r>
              <w:rPr>
                <w:vertAlign w:val="subscript"/>
              </w:rPr>
              <w:t>2</w:t>
            </w:r>
          </w:p>
        </w:tc>
        <w:tc>
          <w:tcPr>
            <w:tcW w:w="709" w:type="pct"/>
            <w:tcBorders>
              <w:top w:val="nil"/>
              <w:left w:val="nil"/>
              <w:bottom w:val="single" w:color="auto" w:sz="4" w:space="0"/>
              <w:right w:val="single" w:color="auto" w:sz="4" w:space="0"/>
            </w:tcBorders>
            <w:shd w:val="clear" w:color="auto" w:fill="auto"/>
            <w:vAlign w:val="center"/>
          </w:tcPr>
          <w:p>
            <w:pPr>
              <w:pStyle w:val="136"/>
            </w:pPr>
            <w:r>
              <w:t>24h平均</w:t>
            </w:r>
          </w:p>
        </w:tc>
        <w:tc>
          <w:tcPr>
            <w:tcW w:w="709" w:type="pct"/>
            <w:tcBorders>
              <w:top w:val="nil"/>
              <w:left w:val="nil"/>
              <w:bottom w:val="single" w:color="auto" w:sz="4" w:space="0"/>
              <w:right w:val="single" w:color="auto" w:sz="4" w:space="0"/>
            </w:tcBorders>
            <w:shd w:val="clear" w:color="auto" w:fill="auto"/>
            <w:vAlign w:val="center"/>
          </w:tcPr>
          <w:p>
            <w:pPr>
              <w:pStyle w:val="136"/>
            </w:pPr>
            <w:r>
              <w:t>80</w:t>
            </w:r>
          </w:p>
        </w:tc>
        <w:tc>
          <w:tcPr>
            <w:tcW w:w="533" w:type="pct"/>
            <w:tcBorders>
              <w:top w:val="nil"/>
              <w:left w:val="nil"/>
              <w:bottom w:val="single" w:color="auto" w:sz="4" w:space="0"/>
              <w:right w:val="single" w:color="auto" w:sz="4" w:space="0"/>
            </w:tcBorders>
            <w:shd w:val="clear" w:color="auto" w:fill="auto"/>
            <w:vAlign w:val="center"/>
          </w:tcPr>
          <w:p>
            <w:pPr>
              <w:pStyle w:val="136"/>
            </w:pPr>
            <w:r>
              <w:t>0.017</w:t>
            </w:r>
          </w:p>
        </w:tc>
        <w:tc>
          <w:tcPr>
            <w:tcW w:w="533" w:type="pct"/>
            <w:tcBorders>
              <w:top w:val="nil"/>
              <w:left w:val="nil"/>
              <w:bottom w:val="single" w:color="auto" w:sz="4" w:space="0"/>
              <w:right w:val="single" w:color="auto" w:sz="4" w:space="0"/>
            </w:tcBorders>
            <w:shd w:val="clear" w:color="auto" w:fill="auto"/>
            <w:vAlign w:val="center"/>
          </w:tcPr>
          <w:p>
            <w:pPr>
              <w:pStyle w:val="136"/>
            </w:pPr>
            <w:r>
              <w:t>0.022</w:t>
            </w:r>
          </w:p>
        </w:tc>
        <w:tc>
          <w:tcPr>
            <w:tcW w:w="533" w:type="pct"/>
            <w:tcBorders>
              <w:top w:val="nil"/>
              <w:left w:val="nil"/>
              <w:bottom w:val="single" w:color="auto" w:sz="4" w:space="0"/>
              <w:right w:val="single" w:color="auto" w:sz="4" w:space="0"/>
            </w:tcBorders>
            <w:shd w:val="clear" w:color="auto" w:fill="auto"/>
            <w:vAlign w:val="center"/>
          </w:tcPr>
          <w:p>
            <w:pPr>
              <w:pStyle w:val="136"/>
            </w:pPr>
            <w:r>
              <w:t>0.013</w:t>
            </w:r>
          </w:p>
        </w:tc>
        <w:tc>
          <w:tcPr>
            <w:tcW w:w="709" w:type="pct"/>
            <w:tcBorders>
              <w:top w:val="nil"/>
              <w:left w:val="nil"/>
              <w:bottom w:val="single" w:color="auto" w:sz="4" w:space="0"/>
              <w:right w:val="single" w:color="auto" w:sz="4" w:space="0"/>
            </w:tcBorders>
            <w:shd w:val="clear" w:color="auto" w:fill="auto"/>
            <w:vAlign w:val="center"/>
          </w:tcPr>
          <w:p>
            <w:pPr>
              <w:pStyle w:val="136"/>
            </w:pPr>
            <w:r>
              <w:t>达标</w:t>
            </w:r>
          </w:p>
        </w:tc>
      </w:tr>
      <w:tr>
        <w:tblPrEx>
          <w:tblCellMar>
            <w:top w:w="0" w:type="dxa"/>
            <w:left w:w="108" w:type="dxa"/>
            <w:bottom w:w="0" w:type="dxa"/>
            <w:right w:w="108" w:type="dxa"/>
          </w:tblCellMar>
        </w:tblPrEx>
        <w:trPr>
          <w:trHeight w:val="270" w:hRule="atLeast"/>
        </w:trPr>
        <w:tc>
          <w:tcPr>
            <w:tcW w:w="427" w:type="pct"/>
            <w:tcBorders>
              <w:top w:val="nil"/>
              <w:left w:val="single" w:color="auto" w:sz="4" w:space="0"/>
              <w:bottom w:val="single" w:color="auto" w:sz="4" w:space="0"/>
              <w:right w:val="single" w:color="auto" w:sz="4" w:space="0"/>
            </w:tcBorders>
            <w:shd w:val="clear" w:color="auto" w:fill="auto"/>
            <w:vAlign w:val="center"/>
          </w:tcPr>
          <w:p>
            <w:pPr>
              <w:pStyle w:val="136"/>
            </w:pPr>
            <w:r>
              <w:t>3</w:t>
            </w:r>
          </w:p>
        </w:tc>
        <w:tc>
          <w:tcPr>
            <w:tcW w:w="849" w:type="pct"/>
            <w:tcBorders>
              <w:top w:val="nil"/>
              <w:left w:val="nil"/>
              <w:bottom w:val="single" w:color="auto" w:sz="4" w:space="0"/>
              <w:right w:val="single" w:color="auto" w:sz="4" w:space="0"/>
            </w:tcBorders>
            <w:shd w:val="clear" w:color="auto" w:fill="auto"/>
            <w:vAlign w:val="center"/>
          </w:tcPr>
          <w:p>
            <w:pPr>
              <w:pStyle w:val="136"/>
            </w:pPr>
            <w:r>
              <w:t>TSP</w:t>
            </w:r>
          </w:p>
        </w:tc>
        <w:tc>
          <w:tcPr>
            <w:tcW w:w="709" w:type="pct"/>
            <w:tcBorders>
              <w:top w:val="nil"/>
              <w:left w:val="nil"/>
              <w:bottom w:val="single" w:color="auto" w:sz="4" w:space="0"/>
              <w:right w:val="single" w:color="auto" w:sz="4" w:space="0"/>
            </w:tcBorders>
            <w:shd w:val="clear" w:color="auto" w:fill="auto"/>
            <w:vAlign w:val="center"/>
          </w:tcPr>
          <w:p>
            <w:pPr>
              <w:pStyle w:val="136"/>
            </w:pPr>
            <w:r>
              <w:t>24h平均</w:t>
            </w:r>
          </w:p>
        </w:tc>
        <w:tc>
          <w:tcPr>
            <w:tcW w:w="709" w:type="pct"/>
            <w:tcBorders>
              <w:top w:val="nil"/>
              <w:left w:val="nil"/>
              <w:bottom w:val="single" w:color="auto" w:sz="4" w:space="0"/>
              <w:right w:val="single" w:color="auto" w:sz="4" w:space="0"/>
            </w:tcBorders>
            <w:shd w:val="clear" w:color="auto" w:fill="auto"/>
            <w:vAlign w:val="center"/>
          </w:tcPr>
          <w:p>
            <w:pPr>
              <w:pStyle w:val="136"/>
            </w:pPr>
            <w:r>
              <w:t>300</w:t>
            </w:r>
          </w:p>
        </w:tc>
        <w:tc>
          <w:tcPr>
            <w:tcW w:w="533" w:type="pct"/>
            <w:tcBorders>
              <w:top w:val="nil"/>
              <w:left w:val="nil"/>
              <w:bottom w:val="single" w:color="auto" w:sz="4" w:space="0"/>
              <w:right w:val="single" w:color="auto" w:sz="4" w:space="0"/>
            </w:tcBorders>
            <w:shd w:val="clear" w:color="auto" w:fill="auto"/>
            <w:vAlign w:val="center"/>
          </w:tcPr>
          <w:p>
            <w:pPr>
              <w:pStyle w:val="136"/>
            </w:pPr>
            <w:r>
              <w:t>52</w:t>
            </w:r>
          </w:p>
        </w:tc>
        <w:tc>
          <w:tcPr>
            <w:tcW w:w="533" w:type="pct"/>
            <w:tcBorders>
              <w:top w:val="nil"/>
              <w:left w:val="nil"/>
              <w:bottom w:val="single" w:color="auto" w:sz="4" w:space="0"/>
              <w:right w:val="single" w:color="auto" w:sz="4" w:space="0"/>
            </w:tcBorders>
            <w:shd w:val="clear" w:color="auto" w:fill="auto"/>
            <w:vAlign w:val="center"/>
          </w:tcPr>
          <w:p>
            <w:pPr>
              <w:pStyle w:val="136"/>
            </w:pPr>
            <w:r>
              <w:t>79</w:t>
            </w:r>
          </w:p>
        </w:tc>
        <w:tc>
          <w:tcPr>
            <w:tcW w:w="533" w:type="pct"/>
            <w:tcBorders>
              <w:top w:val="nil"/>
              <w:left w:val="nil"/>
              <w:bottom w:val="single" w:color="auto" w:sz="4" w:space="0"/>
              <w:right w:val="single" w:color="auto" w:sz="4" w:space="0"/>
            </w:tcBorders>
            <w:shd w:val="clear" w:color="auto" w:fill="auto"/>
            <w:vAlign w:val="center"/>
          </w:tcPr>
          <w:p>
            <w:pPr>
              <w:pStyle w:val="136"/>
            </w:pPr>
            <w:r>
              <w:t>66</w:t>
            </w:r>
          </w:p>
        </w:tc>
        <w:tc>
          <w:tcPr>
            <w:tcW w:w="709" w:type="pct"/>
            <w:tcBorders>
              <w:top w:val="nil"/>
              <w:left w:val="nil"/>
              <w:bottom w:val="single" w:color="auto" w:sz="4" w:space="0"/>
              <w:right w:val="single" w:color="auto" w:sz="4" w:space="0"/>
            </w:tcBorders>
            <w:shd w:val="clear" w:color="auto" w:fill="auto"/>
            <w:vAlign w:val="center"/>
          </w:tcPr>
          <w:p>
            <w:pPr>
              <w:pStyle w:val="136"/>
            </w:pPr>
            <w:r>
              <w:t>达标</w:t>
            </w:r>
          </w:p>
        </w:tc>
      </w:tr>
    </w:tbl>
    <w:p>
      <w:pPr>
        <w:ind w:firstLine="480"/>
        <w:rPr>
          <w:rFonts w:cs="Times New Roman"/>
        </w:rPr>
      </w:pPr>
    </w:p>
    <w:p>
      <w:pPr>
        <w:ind w:firstLine="480"/>
        <w:rPr>
          <w:rFonts w:cs="Times New Roman"/>
        </w:rPr>
      </w:pPr>
      <w:r>
        <w:rPr>
          <w:rFonts w:cs="Times New Roman"/>
        </w:rPr>
        <w:t>由表4.2-44可以看出，区域SO</w:t>
      </w:r>
      <w:r>
        <w:rPr>
          <w:rFonts w:cs="Times New Roman"/>
          <w:vertAlign w:val="subscript"/>
        </w:rPr>
        <w:t>2</w:t>
      </w:r>
      <w:r>
        <w:rPr>
          <w:rFonts w:cs="Times New Roman"/>
        </w:rPr>
        <w:t>、NO</w:t>
      </w:r>
      <w:r>
        <w:rPr>
          <w:rFonts w:cs="Times New Roman"/>
          <w:vertAlign w:val="subscript"/>
        </w:rPr>
        <w:t>2</w:t>
      </w:r>
      <w:r>
        <w:rPr>
          <w:rFonts w:cs="Times New Roman"/>
        </w:rPr>
        <w:t>、TSP等24h平均可满足《环境空气质量标准》（GB3095-2012）的二级标准要求。</w:t>
      </w:r>
    </w:p>
    <w:p>
      <w:pPr>
        <w:pStyle w:val="62"/>
        <w:rPr>
          <w:rFonts w:cs="Times New Roman"/>
        </w:rPr>
      </w:pPr>
      <w:r>
        <w:rPr>
          <w:rFonts w:cs="Times New Roman"/>
        </w:rPr>
        <w:t>4.2.1.13 声环境</w:t>
      </w:r>
    </w:p>
    <w:p>
      <w:pPr>
        <w:ind w:firstLine="480"/>
        <w:rPr>
          <w:rFonts w:cs="Times New Roman"/>
        </w:rPr>
      </w:pPr>
      <w:r>
        <w:rPr>
          <w:rFonts w:cs="Times New Roman"/>
        </w:rPr>
        <w:t>工程区人烟稀少，执行《声环境质量标准》（GB3096-2008）中的1类标准。</w:t>
      </w:r>
    </w:p>
    <w:p>
      <w:pPr>
        <w:ind w:firstLine="480"/>
        <w:rPr>
          <w:rFonts w:cs="Times New Roman"/>
        </w:rPr>
      </w:pPr>
      <w:r>
        <w:rPr>
          <w:rFonts w:cs="Times New Roman"/>
        </w:rPr>
        <w:t>本次评价委托核工业二一六大队检测研究院于2024年09月对工程区声环境质量进行了监测，监测结果见表4.2-28。可以看出，工程区声环境质量良好，满足《声环境质量标准》（GB3096-2008）1类标准要求。</w:t>
      </w:r>
    </w:p>
    <w:p>
      <w:pPr>
        <w:pStyle w:val="137"/>
        <w:spacing w:before="62"/>
      </w:pPr>
      <w:r>
        <w:t>表4.2-28                工程区声环境现状评价结果统计表          单位：dB（A）</w:t>
      </w:r>
    </w:p>
    <w:tbl>
      <w:tblPr>
        <w:tblStyle w:val="41"/>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1614"/>
        <w:gridCol w:w="2019"/>
        <w:gridCol w:w="1615"/>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pct"/>
            <w:vMerge w:val="restart"/>
            <w:vAlign w:val="center"/>
          </w:tcPr>
          <w:p>
            <w:pPr>
              <w:pStyle w:val="136"/>
            </w:pPr>
            <w:r>
              <w:t>测点位置</w:t>
            </w:r>
          </w:p>
        </w:tc>
        <w:tc>
          <w:tcPr>
            <w:tcW w:w="3849" w:type="pct"/>
            <w:gridSpan w:val="4"/>
            <w:vAlign w:val="center"/>
          </w:tcPr>
          <w:p>
            <w:pPr>
              <w:pStyle w:val="136"/>
            </w:pPr>
            <w:r>
              <w:t>等效A声级平均值Leq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pct"/>
            <w:vMerge w:val="continue"/>
            <w:vAlign w:val="center"/>
          </w:tcPr>
          <w:p>
            <w:pPr>
              <w:pStyle w:val="136"/>
            </w:pPr>
          </w:p>
        </w:tc>
        <w:tc>
          <w:tcPr>
            <w:tcW w:w="1924" w:type="pct"/>
            <w:gridSpan w:val="2"/>
            <w:vAlign w:val="center"/>
          </w:tcPr>
          <w:p>
            <w:pPr>
              <w:pStyle w:val="136"/>
            </w:pPr>
            <w:r>
              <w:t>昼间（55dB）</w:t>
            </w:r>
          </w:p>
        </w:tc>
        <w:tc>
          <w:tcPr>
            <w:tcW w:w="1924" w:type="pct"/>
            <w:gridSpan w:val="2"/>
            <w:vAlign w:val="center"/>
          </w:tcPr>
          <w:p>
            <w:pPr>
              <w:pStyle w:val="136"/>
            </w:pPr>
            <w:r>
              <w:t>夜间（45dB）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pct"/>
            <w:vMerge w:val="continue"/>
            <w:vAlign w:val="center"/>
          </w:tcPr>
          <w:p>
            <w:pPr>
              <w:pStyle w:val="136"/>
            </w:pPr>
          </w:p>
        </w:tc>
        <w:tc>
          <w:tcPr>
            <w:tcW w:w="855" w:type="pct"/>
            <w:vAlign w:val="center"/>
          </w:tcPr>
          <w:p>
            <w:pPr>
              <w:pStyle w:val="136"/>
            </w:pPr>
            <w:r>
              <w:t>监测值</w:t>
            </w:r>
          </w:p>
        </w:tc>
        <w:tc>
          <w:tcPr>
            <w:tcW w:w="1069" w:type="pct"/>
            <w:vAlign w:val="center"/>
          </w:tcPr>
          <w:p>
            <w:pPr>
              <w:pStyle w:val="136"/>
            </w:pPr>
            <w:r>
              <w:t>评价结果</w:t>
            </w:r>
          </w:p>
        </w:tc>
        <w:tc>
          <w:tcPr>
            <w:tcW w:w="855" w:type="pct"/>
            <w:vAlign w:val="center"/>
          </w:tcPr>
          <w:p>
            <w:pPr>
              <w:pStyle w:val="136"/>
            </w:pPr>
            <w:r>
              <w:t>监测值</w:t>
            </w:r>
          </w:p>
        </w:tc>
        <w:tc>
          <w:tcPr>
            <w:tcW w:w="1069" w:type="pct"/>
            <w:vAlign w:val="center"/>
          </w:tcPr>
          <w:p>
            <w:pPr>
              <w:pStyle w:val="136"/>
            </w:pPr>
            <w: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pct"/>
            <w:vAlign w:val="center"/>
          </w:tcPr>
          <w:p>
            <w:pPr>
              <w:pStyle w:val="136"/>
            </w:pPr>
            <w:r>
              <w:t>工程坝址</w:t>
            </w:r>
          </w:p>
        </w:tc>
        <w:tc>
          <w:tcPr>
            <w:tcW w:w="855" w:type="pct"/>
            <w:vAlign w:val="center"/>
          </w:tcPr>
          <w:p>
            <w:pPr>
              <w:pStyle w:val="136"/>
            </w:pPr>
            <w:r>
              <w:t>36</w:t>
            </w:r>
          </w:p>
        </w:tc>
        <w:tc>
          <w:tcPr>
            <w:tcW w:w="1069" w:type="pct"/>
            <w:vAlign w:val="center"/>
          </w:tcPr>
          <w:p>
            <w:pPr>
              <w:pStyle w:val="136"/>
            </w:pPr>
            <w:r>
              <w:t>符合</w:t>
            </w:r>
          </w:p>
        </w:tc>
        <w:tc>
          <w:tcPr>
            <w:tcW w:w="855" w:type="pct"/>
            <w:vAlign w:val="center"/>
          </w:tcPr>
          <w:p>
            <w:pPr>
              <w:pStyle w:val="136"/>
            </w:pPr>
            <w:r>
              <w:t>34</w:t>
            </w:r>
          </w:p>
        </w:tc>
        <w:tc>
          <w:tcPr>
            <w:tcW w:w="1069" w:type="pct"/>
            <w:vAlign w:val="center"/>
          </w:tcPr>
          <w:p>
            <w:pPr>
              <w:pStyle w:val="136"/>
            </w:pPr>
            <w:r>
              <w:t>符合</w:t>
            </w:r>
          </w:p>
        </w:tc>
      </w:tr>
    </w:tbl>
    <w:p>
      <w:pPr>
        <w:pStyle w:val="4"/>
        <w:rPr>
          <w:rFonts w:cs="Times New Roman"/>
        </w:rPr>
      </w:pPr>
      <w:r>
        <w:rPr>
          <w:rFonts w:cs="Times New Roman"/>
        </w:rPr>
        <w:t>4.2.2 社会环境概况</w:t>
      </w:r>
    </w:p>
    <w:p>
      <w:pPr>
        <w:ind w:firstLine="480"/>
        <w:rPr>
          <w:rFonts w:cs="Times New Roman"/>
        </w:rPr>
      </w:pPr>
      <w:r>
        <w:rPr>
          <w:rFonts w:cs="Times New Roman"/>
        </w:rPr>
        <w:t>代尔昆代郭勒河位于哈密市伊吾县境内，代尔昆代水库位于伊吾县水葫芦乡。</w:t>
      </w:r>
    </w:p>
    <w:p>
      <w:pPr>
        <w:pStyle w:val="62"/>
        <w:rPr>
          <w:rFonts w:cs="Times New Roman"/>
        </w:rPr>
      </w:pPr>
      <w:bookmarkStart w:id="106" w:name="_Toc416877809"/>
      <w:bookmarkStart w:id="107" w:name="_Toc436321189"/>
      <w:bookmarkStart w:id="108" w:name="_Toc410491333"/>
      <w:bookmarkStart w:id="109" w:name="_Toc247540768"/>
      <w:r>
        <w:rPr>
          <w:rFonts w:cs="Times New Roman"/>
        </w:rPr>
        <w:t>4.2.2.1 人口与社会经济</w:t>
      </w:r>
    </w:p>
    <w:p>
      <w:pPr>
        <w:ind w:firstLine="480"/>
        <w:rPr>
          <w:rFonts w:cs="Times New Roman"/>
        </w:rPr>
      </w:pPr>
      <w:r>
        <w:rPr>
          <w:rFonts w:cs="Times New Roman"/>
        </w:rPr>
        <w:t>（1）行政区划</w:t>
      </w:r>
    </w:p>
    <w:p>
      <w:pPr>
        <w:ind w:firstLine="480"/>
        <w:rPr>
          <w:rFonts w:cs="Times New Roman"/>
        </w:rPr>
      </w:pPr>
      <w:r>
        <w:rPr>
          <w:rFonts w:cs="Times New Roman"/>
        </w:rPr>
        <w:t>伊吾县隶属哈密市，下辖3个镇、4个乡，包括：伊吾镇、淖毛湖镇、盐池镇、苇子峡乡、下马崖乡、吐葫芦乡、前山哈萨克族乡；另辖3个乡级单位：伊吾县工业加工区、伊吾县山南开发区管委会、兵团淖毛湖农场。县政府驻伊吾镇。</w:t>
      </w:r>
    </w:p>
    <w:p>
      <w:pPr>
        <w:ind w:firstLine="480"/>
        <w:rPr>
          <w:rFonts w:cs="Times New Roman"/>
        </w:rPr>
      </w:pPr>
      <w:r>
        <w:rPr>
          <w:rFonts w:cs="Times New Roman"/>
        </w:rPr>
        <w:t>（2）人口</w:t>
      </w:r>
    </w:p>
    <w:p>
      <w:pPr>
        <w:ind w:firstLine="480"/>
        <w:rPr>
          <w:rFonts w:cs="Times New Roman"/>
        </w:rPr>
      </w:pPr>
      <w:r>
        <w:rPr>
          <w:rFonts w:cs="Times New Roman"/>
        </w:rPr>
        <w:t>2023年全县年末总户数7647户，总人口21159人，有维吾尔族、汉族、哈萨克族、回族、满族、蒙古族、壮族、东乡族、苗族、藏族等14个民族。其中城镇人口5677人，农业人口15482人。其中汉族5525人，占总人口的26.1%；维吾尔族10080人，占总人口的47.7%；哈萨克族4640人，占总人口的21.9%；回族867人，占总人口的4.1%，其它少数民族47人，占总人口的0.2%。</w:t>
      </w:r>
    </w:p>
    <w:p>
      <w:pPr>
        <w:ind w:firstLine="480"/>
        <w:rPr>
          <w:rFonts w:cs="Times New Roman"/>
        </w:rPr>
      </w:pPr>
      <w:r>
        <w:rPr>
          <w:rFonts w:cs="Times New Roman"/>
        </w:rPr>
        <w:t>（3）经济概况</w:t>
      </w:r>
    </w:p>
    <w:p>
      <w:pPr>
        <w:ind w:firstLine="480"/>
        <w:rPr>
          <w:rFonts w:cs="Times New Roman"/>
        </w:rPr>
      </w:pPr>
      <w:r>
        <w:rPr>
          <w:rFonts w:cs="Times New Roman"/>
        </w:rPr>
        <w:t>2023年，伊吾县实现生产总值(GDP)764566万元，同比增长6.6%。其中：第一产业48369万元，同比增长0.7%；第二产业583761万元，同比增长9.3%，其中工业增加值473713万元，同比增长10.1%；第三产业132436万元，同比下降2.3%。三次产业结构比为6.3:76.4:17.3。人均地区生产总值362105元，同比增长6.6%。</w:t>
      </w:r>
    </w:p>
    <w:p>
      <w:pPr>
        <w:pStyle w:val="62"/>
        <w:rPr>
          <w:rFonts w:cs="Times New Roman"/>
        </w:rPr>
      </w:pPr>
      <w:r>
        <w:rPr>
          <w:rFonts w:cs="Times New Roman"/>
        </w:rPr>
        <w:t>4.2.2.2 水资源利用</w:t>
      </w:r>
    </w:p>
    <w:p>
      <w:pPr>
        <w:ind w:firstLine="480"/>
        <w:rPr>
          <w:rFonts w:cs="Times New Roman"/>
        </w:rPr>
      </w:pPr>
      <w:r>
        <w:rPr>
          <w:rFonts w:cs="Times New Roman"/>
        </w:rPr>
        <w:t>代尔昆代郭勒河现状无地表水资源利用，也无水利水电工程建设。</w:t>
      </w:r>
    </w:p>
    <w:p>
      <w:pPr>
        <w:ind w:firstLine="480"/>
        <w:rPr>
          <w:rFonts w:cs="Times New Roman"/>
        </w:rPr>
      </w:pPr>
      <w:r>
        <w:rPr>
          <w:rFonts w:cs="Times New Roman"/>
        </w:rPr>
        <w:t>代尔昆代郭勒河下游约47km处，分布有下马崖乡，该乡主要利用下马崖水库截蓄泉水进行农业灌溉。</w:t>
      </w:r>
    </w:p>
    <w:p>
      <w:pPr>
        <w:ind w:firstLine="480"/>
        <w:rPr>
          <w:rFonts w:cs="Times New Roman"/>
        </w:rPr>
      </w:pPr>
      <w:r>
        <w:rPr>
          <w:rFonts w:cs="Times New Roman"/>
        </w:rPr>
        <w:t>下马崖水库位于伊吾县下马崖乡，地理位置为东经95°14′4″，北纬43°12′25.9″。下马崖水库以西距伊吾县城55km，西南与规划代尔昆代水库直线距离约40km。下马崖水库是一座以灌溉为主、结合防洪的平原水库，水库主要任务是保证下游的农田、草场灌溉，设计灌溉面积4270亩（实际灌溉面积2500亩左右），防洪保护地人口1000人。</w:t>
      </w:r>
    </w:p>
    <w:p>
      <w:pPr>
        <w:ind w:firstLine="480"/>
        <w:rPr>
          <w:rFonts w:cs="Times New Roman"/>
        </w:rPr>
      </w:pPr>
      <w:r>
        <w:rPr>
          <w:rFonts w:cs="Times New Roman"/>
        </w:rPr>
        <w:t>下马崖水库由枢纽大坝、溢洪道、放水涵管等建筑物组成。水库总库容246.05万m</w:t>
      </w:r>
      <w:r>
        <w:rPr>
          <w:rFonts w:cs="Times New Roman"/>
          <w:vertAlign w:val="superscript"/>
        </w:rPr>
        <w:t>3</w:t>
      </w:r>
      <w:r>
        <w:rPr>
          <w:rFonts w:cs="Times New Roman"/>
        </w:rPr>
        <w:t>，死水位105.39m，死库容24.85万m</w:t>
      </w:r>
      <w:r>
        <w:rPr>
          <w:rFonts w:cs="Times New Roman"/>
          <w:vertAlign w:val="superscript"/>
        </w:rPr>
        <w:t>3</w:t>
      </w:r>
      <w:r>
        <w:rPr>
          <w:rFonts w:cs="Times New Roman"/>
        </w:rPr>
        <w:t>，正常蓄水位111.59m，对应库容219.26万m</w:t>
      </w:r>
      <w:r>
        <w:rPr>
          <w:rFonts w:cs="Times New Roman"/>
          <w:vertAlign w:val="superscript"/>
        </w:rPr>
        <w:t>3</w:t>
      </w:r>
      <w:r>
        <w:rPr>
          <w:rFonts w:cs="Times New Roman"/>
        </w:rPr>
        <w:t>，水库设计洪水位112.20m（20年一遇），对应库容234.88万m</w:t>
      </w:r>
      <w:r>
        <w:rPr>
          <w:rFonts w:cs="Times New Roman"/>
          <w:vertAlign w:val="superscript"/>
        </w:rPr>
        <w:t>3</w:t>
      </w:r>
      <w:r>
        <w:rPr>
          <w:rFonts w:cs="Times New Roman"/>
        </w:rPr>
        <w:t>，校核洪水位为112.48m（100年一遇），对应库容246.05万m</w:t>
      </w:r>
      <w:r>
        <w:rPr>
          <w:rFonts w:cs="Times New Roman"/>
          <w:vertAlign w:val="superscript"/>
        </w:rPr>
        <w:t>3</w:t>
      </w:r>
      <w:r>
        <w:rPr>
          <w:rFonts w:cs="Times New Roman"/>
        </w:rPr>
        <w:t>。</w:t>
      </w:r>
    </w:p>
    <w:p>
      <w:pPr>
        <w:ind w:firstLine="480"/>
        <w:rPr>
          <w:rFonts w:cs="Times New Roman"/>
        </w:rPr>
      </w:pPr>
      <w:r>
        <w:rPr>
          <w:rFonts w:cs="Times New Roman"/>
        </w:rPr>
        <w:t>下马崖水库入库径流主要为：库秋拉克泉群泉水、水库上游坎儿井水、夏季暴雨洪水。</w:t>
      </w:r>
    </w:p>
    <w:p>
      <w:pPr>
        <w:ind w:firstLine="480"/>
        <w:rPr>
          <w:rFonts w:cs="Times New Roman"/>
        </w:rPr>
      </w:pPr>
      <w:r>
        <w:rPr>
          <w:rFonts w:cs="Times New Roman"/>
        </w:rPr>
        <w:t>库秋拉克泉群泉水、水库上游坎儿井水水源主要来自于区域南侧为哈尔里克山山区地下水侧向径流。哈尔里克山海拔较高，其大气降水及冰川、积雪消融水成为山区地下水系统的主要补给来源，山区地下水侧向径流、暴雨及融雪洪水补给等，又成了哈尔里克山山前冲积平原地下水主要补给源，整个自伊吾县城以东至上马崖区域，哈尔里克山均是本区域地下水系统的主要补给区。来自于哈尔里克山山区地下水经过下马崖戈壁区侧向径流后，受制于地形隆起，造成部分地下水溢出形成了库秋拉克泉群泉水。同时下马崖乡通过开凿坎儿井获取地下水，用以农业灌溉。</w:t>
      </w:r>
    </w:p>
    <w:p>
      <w:pPr>
        <w:pStyle w:val="62"/>
        <w:rPr>
          <w:rFonts w:cs="Times New Roman"/>
        </w:rPr>
      </w:pPr>
      <w:r>
        <w:rPr>
          <w:rFonts w:cs="Times New Roman"/>
        </w:rPr>
        <w:t>4.2.2.3 文物古迹及矿产压覆</w:t>
      </w:r>
      <w:r>
        <w:rPr>
          <w:rFonts w:hint="eastAsia" w:cs="Times New Roman"/>
        </w:rPr>
        <w:t>及移民安置</w:t>
      </w:r>
    </w:p>
    <w:bookmarkEnd w:id="106"/>
    <w:bookmarkEnd w:id="107"/>
    <w:bookmarkEnd w:id="108"/>
    <w:bookmarkEnd w:id="109"/>
    <w:p>
      <w:pPr>
        <w:ind w:firstLine="480"/>
        <w:rPr>
          <w:rFonts w:cs="Times New Roman"/>
        </w:rPr>
      </w:pPr>
      <w:r>
        <w:rPr>
          <w:rFonts w:cs="Times New Roman"/>
        </w:rPr>
        <w:t>（1）文物古迹</w:t>
      </w:r>
    </w:p>
    <w:p>
      <w:pPr>
        <w:ind w:firstLine="480"/>
        <w:rPr>
          <w:rFonts w:cs="Times New Roman"/>
        </w:rPr>
      </w:pPr>
      <w:r>
        <w:rPr>
          <w:rFonts w:cs="Times New Roman"/>
        </w:rPr>
        <w:t>根据目前收集掌握的资料，并向有关文物主管部门调查了解项目区文物分布情况，工程建设征地范围内无具有保护价值的文物古迹。</w:t>
      </w:r>
    </w:p>
    <w:p>
      <w:pPr>
        <w:ind w:firstLine="480"/>
        <w:rPr>
          <w:rFonts w:cs="Times New Roman"/>
        </w:rPr>
      </w:pPr>
      <w:r>
        <w:rPr>
          <w:rFonts w:cs="Times New Roman"/>
        </w:rPr>
        <w:t>（2）矿产压覆资源</w:t>
      </w:r>
    </w:p>
    <w:p>
      <w:pPr>
        <w:ind w:firstLine="480"/>
        <w:rPr>
          <w:rFonts w:cs="Times New Roman"/>
        </w:rPr>
      </w:pPr>
      <w:r>
        <w:rPr>
          <w:rFonts w:cs="Times New Roman"/>
        </w:rPr>
        <w:t>根据对工程建设征地范围内进行实地调查，并向有关矿产主管部门了解工程区矿产资源分布情况，工程建设征地范围内无开采价值的矿产资源。</w:t>
      </w:r>
    </w:p>
    <w:p>
      <w:pPr>
        <w:ind w:firstLine="480"/>
        <w:rPr>
          <w:rFonts w:cs="Times New Roman"/>
        </w:rPr>
      </w:pPr>
      <w:r>
        <w:rPr>
          <w:rFonts w:hint="eastAsia" w:cs="Times New Roman"/>
        </w:rPr>
        <w:t>（3）移民安置</w:t>
      </w:r>
    </w:p>
    <w:p>
      <w:pPr>
        <w:ind w:firstLine="480"/>
        <w:rPr>
          <w:rFonts w:cs="Times New Roman"/>
        </w:rPr>
      </w:pPr>
      <w:r>
        <w:rPr>
          <w:rFonts w:hint="eastAsia" w:cs="Times New Roman"/>
        </w:rPr>
        <w:t>根据对工程建设征地范围内进行实地调查，发现本工程建设征地区不涉及人口、耕（园）地，因此，不存在搬迁安置；工程区坝址下游存在废弃羊圈1处，占地面积300m</w:t>
      </w:r>
      <w:r>
        <w:rPr>
          <w:rFonts w:hint="eastAsia" w:cs="Times New Roman"/>
          <w:vertAlign w:val="superscript"/>
        </w:rPr>
        <w:t>2</w:t>
      </w:r>
      <w:r>
        <w:rPr>
          <w:rFonts w:hint="eastAsia" w:cs="Times New Roman"/>
        </w:rPr>
        <w:t>，水库淹没区高台有两处古代石围墓（年代不详），所占土地类型均为天然草场，采用一次性货币补偿的方式进行安置。</w:t>
      </w:r>
    </w:p>
    <w:p>
      <w:pPr>
        <w:ind w:firstLine="480"/>
        <w:rPr>
          <w:rFonts w:cs="Times New Roman"/>
        </w:rPr>
      </w:pPr>
    </w:p>
    <w:p>
      <w:pPr>
        <w:pStyle w:val="3"/>
        <w:rPr>
          <w:rFonts w:cs="Times New Roman"/>
        </w:rPr>
      </w:pPr>
      <w:bookmarkStart w:id="110" w:name="_Toc181381611"/>
      <w:r>
        <w:rPr>
          <w:rFonts w:cs="Times New Roman"/>
        </w:rPr>
        <w:t>4.3 工程影响区存在的主要环境问题</w:t>
      </w:r>
      <w:bookmarkEnd w:id="110"/>
    </w:p>
    <w:p>
      <w:pPr>
        <w:ind w:firstLine="480"/>
        <w:rPr>
          <w:rFonts w:cs="Times New Roman"/>
        </w:rPr>
      </w:pPr>
      <w:r>
        <w:rPr>
          <w:rFonts w:cs="Times New Roman"/>
        </w:rPr>
        <w:t>代尔昆代水库工程评价区位于代尔昆代郭勒上中游山区河段，水土流失和荒漠化的脆弱自然环境是评价区的主要生态问题之一，评价区所在的代尔昆代郭勒流域属于新疆水土流失重点治理区。植被类型主要为荒漠植被，无乔木类树种，植被群落和生态系统抗干扰能力较弱，加之</w:t>
      </w:r>
      <w:r>
        <w:rPr>
          <w:rFonts w:hint="eastAsia" w:cs="Times New Roman"/>
          <w:lang w:eastAsia="zh-CN"/>
        </w:rPr>
        <w:t>区</w:t>
      </w:r>
      <w:r>
        <w:rPr>
          <w:rFonts w:cs="Times New Roman"/>
        </w:rPr>
        <w:t>域恶劣的自然环境条件，生态恢复能力较弱。</w:t>
      </w:r>
    </w:p>
    <w:p>
      <w:pPr>
        <w:pStyle w:val="4"/>
      </w:pPr>
      <w:r>
        <w:rPr>
          <w:rFonts w:hint="eastAsia"/>
        </w:rPr>
        <w:t>4</w:t>
      </w:r>
      <w:r>
        <w:t>.3.1</w:t>
      </w:r>
      <w:r>
        <w:rPr>
          <w:rFonts w:hint="eastAsia"/>
        </w:rPr>
        <w:t>水生生态</w:t>
      </w:r>
    </w:p>
    <w:p>
      <w:pPr>
        <w:ind w:firstLine="480"/>
        <w:rPr>
          <w:rFonts w:cs="Times New Roman"/>
        </w:rPr>
      </w:pPr>
      <w:r>
        <w:rPr>
          <w:rFonts w:cs="Times New Roman"/>
        </w:rPr>
        <w:t>代尔昆代水库工程所在的上中游河段，未进行水资源开发利用，为季节性河流，流域无长流水。有水河段存在少量浮游植物和浮游动物，无鱼类生存，群落结构简单，水生态系统调节能力较弱。</w:t>
      </w:r>
      <w:bookmarkStart w:id="111" w:name="_Toc136263302"/>
    </w:p>
    <w:p>
      <w:pPr>
        <w:pStyle w:val="4"/>
      </w:pPr>
      <w:r>
        <w:rPr>
          <w:rFonts w:hint="eastAsia"/>
        </w:rPr>
        <w:t>4.3.2陆生生态</w:t>
      </w:r>
    </w:p>
    <w:p>
      <w:pPr>
        <w:ind w:firstLine="480"/>
        <w:rPr>
          <w:rFonts w:cs="Times New Roman"/>
        </w:rPr>
      </w:pPr>
      <w:r>
        <w:rPr>
          <w:rFonts w:hint="eastAsia" w:cs="Times New Roman"/>
        </w:rPr>
        <w:t>工程位于喀尔里克山北坡低中山区，现状除牧业活动外，基本处于未开发状态，但区域内仍存在超载放牧等活动对区域对生态环境产生一定的破坏作用，天然草场退化是区域存在的主要陆生生态问题。</w:t>
      </w:r>
    </w:p>
    <w:p>
      <w:pPr>
        <w:pStyle w:val="4"/>
      </w:pPr>
      <w:r>
        <w:rPr>
          <w:rFonts w:hint="eastAsia"/>
        </w:rPr>
        <w:t>4</w:t>
      </w:r>
      <w:r>
        <w:t>.3.3水土流失</w:t>
      </w:r>
      <w:r>
        <w:rPr>
          <w:rFonts w:hint="eastAsia"/>
        </w:rPr>
        <w:t>和</w:t>
      </w:r>
      <w:r>
        <w:t>荒漠化</w:t>
      </w:r>
    </w:p>
    <w:p>
      <w:pPr>
        <w:ind w:firstLine="480"/>
        <w:rPr>
          <w:rFonts w:cs="Times New Roman"/>
        </w:rPr>
      </w:pPr>
      <w:r>
        <w:rPr>
          <w:rFonts w:cs="Times New Roman"/>
        </w:rPr>
        <w:t>代尔昆代水库工程评价区</w:t>
      </w:r>
      <w:r>
        <w:rPr>
          <w:rFonts w:hint="eastAsia" w:cs="Times New Roman"/>
        </w:rPr>
        <w:t>地处</w:t>
      </w:r>
      <w:r>
        <w:rPr>
          <w:rFonts w:cs="Times New Roman"/>
        </w:rPr>
        <w:t>新疆水土流失重点治理区。</w:t>
      </w:r>
      <w:r>
        <w:rPr>
          <w:rFonts w:hint="eastAsia" w:cs="Times New Roman"/>
        </w:rPr>
        <w:t>现状</w:t>
      </w:r>
      <w:r>
        <w:rPr>
          <w:rFonts w:cs="Times New Roman"/>
        </w:rPr>
        <w:t>植被类型主要为荒漠植被，无乔木类树种，</w:t>
      </w:r>
      <w:r>
        <w:rPr>
          <w:rFonts w:hint="eastAsia" w:cs="Times New Roman"/>
        </w:rPr>
        <w:t>工程施工会致使原地表土壤、植被遭到破坏，增加裸露面积，加剧区域内的水土流失，加之，</w:t>
      </w:r>
      <w:r>
        <w:rPr>
          <w:rFonts w:cs="Times New Roman"/>
        </w:rPr>
        <w:t>植被群落和生态系统抗干扰能力较弱，加之</w:t>
      </w:r>
      <w:r>
        <w:rPr>
          <w:rFonts w:hint="eastAsia" w:cs="Times New Roman"/>
          <w:lang w:val="en-US" w:eastAsia="zh-CN"/>
        </w:rPr>
        <w:t>区</w:t>
      </w:r>
      <w:r>
        <w:rPr>
          <w:rFonts w:cs="Times New Roman"/>
        </w:rPr>
        <w:t>域恶劣的自然环境条件，生态恢复能力</w:t>
      </w:r>
      <w:r>
        <w:rPr>
          <w:rFonts w:hint="eastAsia" w:cs="Times New Roman"/>
        </w:rPr>
        <w:t>脆弱、水土流失易荒漠化是一大问题</w:t>
      </w:r>
      <w:r>
        <w:rPr>
          <w:rFonts w:cs="Times New Roman"/>
        </w:rPr>
        <w:t>。</w:t>
      </w:r>
    </w:p>
    <w:p>
      <w:pPr>
        <w:widowControl/>
        <w:spacing w:line="240" w:lineRule="auto"/>
        <w:ind w:firstLine="0" w:firstLineChars="0"/>
        <w:jc w:val="left"/>
        <w:rPr>
          <w:rFonts w:cs="Times New Roman"/>
        </w:rPr>
      </w:pPr>
      <w:r>
        <w:rPr>
          <w:rFonts w:cs="Times New Roman"/>
        </w:rPr>
        <w:br w:type="page"/>
      </w:r>
    </w:p>
    <w:p>
      <w:pPr>
        <w:pStyle w:val="2"/>
        <w:rPr>
          <w:rFonts w:cs="Times New Roman"/>
        </w:rPr>
      </w:pPr>
      <w:bookmarkStart w:id="112" w:name="_Toc181381612"/>
      <w:r>
        <w:t>5. 环境影响预测评价</w:t>
      </w:r>
      <w:bookmarkEnd w:id="111"/>
      <w:bookmarkEnd w:id="112"/>
    </w:p>
    <w:p>
      <w:pPr>
        <w:pStyle w:val="3"/>
        <w:rPr>
          <w:rFonts w:cs="Times New Roman"/>
        </w:rPr>
      </w:pPr>
      <w:bookmarkStart w:id="113" w:name="_Toc181381613"/>
      <w:bookmarkStart w:id="114" w:name="_Toc136263303"/>
      <w:r>
        <w:rPr>
          <w:rFonts w:cs="Times New Roman"/>
        </w:rPr>
        <w:t>5.1 对区域水资源配置的影响</w:t>
      </w:r>
      <w:bookmarkEnd w:id="113"/>
    </w:p>
    <w:p>
      <w:pPr>
        <w:ind w:firstLine="480"/>
        <w:rPr>
          <w:rFonts w:cs="Times New Roman"/>
        </w:rPr>
      </w:pPr>
      <w:r>
        <w:rPr>
          <w:rFonts w:cs="Times New Roman"/>
        </w:rPr>
        <w:t>代尔昆代水库工程建设任务是与伊吾县伊吾河已建峡沟水库联调，在灌溉季节（4～10月）用水高峰期向淖毛湖区域人、畜饮水及公益林灌溉补水，调节淖毛湖区域灌溉季节的用水矛盾，保障人、畜饮水安全。</w:t>
      </w:r>
    </w:p>
    <w:p>
      <w:pPr>
        <w:ind w:firstLine="480"/>
        <w:rPr>
          <w:rFonts w:cs="Times New Roman"/>
        </w:rPr>
      </w:pPr>
      <w:r>
        <w:rPr>
          <w:rFonts w:cs="Times New Roman"/>
        </w:rPr>
        <w:t>代尔昆代水库作为代尔昆代郭勒河向淖毛湖地区供水的水资源调蓄工程，水库建成后通过水库调蓄并新建供水工程，可实现向淖毛湖地区供水的任务。因此，本次评价重点分析代尔昆代水库建成后代尔昆代郭勒河水资源开发利用相比现状的变化情况，同时也从水资源供需平衡的角度，分析代尔昆代郭勒河向淖毛湖地区供水后，该地区水资源供需变化。</w:t>
      </w:r>
    </w:p>
    <w:p>
      <w:pPr>
        <w:pStyle w:val="4"/>
        <w:rPr>
          <w:rFonts w:cs="Times New Roman"/>
        </w:rPr>
      </w:pPr>
      <w:r>
        <w:rPr>
          <w:rFonts w:cs="Times New Roman"/>
        </w:rPr>
        <w:t>5.1.1 淖毛湖地区水资源配置变化</w:t>
      </w:r>
    </w:p>
    <w:p>
      <w:pPr>
        <w:ind w:firstLine="480"/>
        <w:rPr>
          <w:rFonts w:cs="Times New Roman"/>
        </w:rPr>
      </w:pPr>
      <w:r>
        <w:rPr>
          <w:rFonts w:cs="Times New Roman"/>
        </w:rPr>
        <w:t>伊吾县淖毛湖区域主要用水对象包括淖毛湖区域人畜饮水、峡沟水库灌区（淖毛湖灌区和苇子峡灌区）农业灌溉用水、伊吾工业园区工业用水、生态需水（伊吾河生态水量）。</w:t>
      </w:r>
    </w:p>
    <w:p>
      <w:pPr>
        <w:pStyle w:val="62"/>
        <w:rPr>
          <w:rFonts w:cs="Times New Roman"/>
        </w:rPr>
      </w:pPr>
      <w:r>
        <w:rPr>
          <w:rFonts w:cs="Times New Roman"/>
        </w:rPr>
        <w:t>5.1.1.1 不同水平年经济社会各业需水量</w:t>
      </w:r>
    </w:p>
    <w:p>
      <w:pPr>
        <w:ind w:firstLine="480"/>
        <w:rPr>
          <w:rFonts w:cs="Times New Roman"/>
        </w:rPr>
      </w:pPr>
      <w:r>
        <w:rPr>
          <w:rFonts w:cs="Times New Roman"/>
        </w:rPr>
        <w:t>（1）人畜饮水</w:t>
      </w:r>
    </w:p>
    <w:p>
      <w:pPr>
        <w:ind w:firstLine="480"/>
        <w:rPr>
          <w:rFonts w:cs="Times New Roman"/>
        </w:rPr>
      </w:pPr>
      <w:r>
        <w:rPr>
          <w:rFonts w:cs="Times New Roman"/>
        </w:rPr>
        <w:t>据统计，现状年2020年淖毛湖区域人口19286人，4～9月流动人口30000人；根据伊吾县人口发展目标，预测至2030年淖毛湖区域常住人口</w:t>
      </w:r>
      <w:r>
        <w:rPr>
          <w:rFonts w:hint="eastAsia" w:cs="Times New Roman"/>
          <w:lang w:eastAsia="zh-CN"/>
        </w:rPr>
        <w:t>将</w:t>
      </w:r>
      <w:r>
        <w:rPr>
          <w:rFonts w:cs="Times New Roman"/>
        </w:rPr>
        <w:t>达10万人，流动人口3万人。现状2020年末淖毛湖镇年末牲畜存栏数为4.6866万头。根据畜牧业发展规划，牲畜增长率取3%，设计水平年2030年牲畜数量</w:t>
      </w:r>
      <w:r>
        <w:rPr>
          <w:rFonts w:hint="eastAsia" w:cs="Times New Roman"/>
          <w:lang w:eastAsia="zh-CN"/>
        </w:rPr>
        <w:t>将</w:t>
      </w:r>
      <w:r>
        <w:rPr>
          <w:rFonts w:cs="Times New Roman"/>
        </w:rPr>
        <w:t>达到6.2984万头。</w:t>
      </w:r>
    </w:p>
    <w:p>
      <w:pPr>
        <w:ind w:firstLine="480"/>
        <w:rPr>
          <w:rFonts w:cs="Times New Roman"/>
        </w:rPr>
      </w:pPr>
      <w:r>
        <w:rPr>
          <w:rFonts w:cs="Times New Roman"/>
        </w:rPr>
        <w:t>采用定额法并考虑水厂等管网损失等，最终得出现状年2020年和设计水平年2030年人畜年需水量分别为151.55万m</w:t>
      </w:r>
      <w:r>
        <w:rPr>
          <w:rFonts w:cs="Times New Roman"/>
          <w:vertAlign w:val="superscript"/>
        </w:rPr>
        <w:t>3</w:t>
      </w:r>
      <w:r>
        <w:rPr>
          <w:rFonts w:cs="Times New Roman"/>
        </w:rPr>
        <w:t>、466.82万m</w:t>
      </w:r>
      <w:r>
        <w:rPr>
          <w:rFonts w:cs="Times New Roman"/>
          <w:vertAlign w:val="superscript"/>
        </w:rPr>
        <w:t>3</w:t>
      </w:r>
      <w:r>
        <w:rPr>
          <w:rFonts w:cs="Times New Roman"/>
        </w:rPr>
        <w:t>。</w:t>
      </w:r>
    </w:p>
    <w:p>
      <w:pPr>
        <w:ind w:firstLine="480"/>
        <w:rPr>
          <w:rFonts w:cs="Times New Roman"/>
        </w:rPr>
      </w:pPr>
      <w:r>
        <w:rPr>
          <w:rFonts w:cs="Times New Roman"/>
        </w:rPr>
        <w:t>（2）峡沟水库灌区农业灌溉用水</w:t>
      </w:r>
    </w:p>
    <w:p>
      <w:pPr>
        <w:ind w:firstLine="480"/>
        <w:rPr>
          <w:rFonts w:cs="Times New Roman"/>
        </w:rPr>
      </w:pPr>
      <w:r>
        <w:rPr>
          <w:rFonts w:cs="Times New Roman"/>
        </w:rPr>
        <w:t>伊吾河峡沟水库灌区包括淖毛湖灌区和苇子峡灌区，两灌区地表水源为峡沟水库。</w:t>
      </w:r>
    </w:p>
    <w:p>
      <w:pPr>
        <w:ind w:firstLine="480"/>
        <w:rPr>
          <w:rFonts w:cs="Times New Roman"/>
        </w:rPr>
      </w:pPr>
      <w:r>
        <w:rPr>
          <w:rFonts w:cs="Times New Roman"/>
        </w:rPr>
        <w:t>现状年2020年苇子峡灌区灌溉面积10522亩，其中公益林8553亩，哈密瓜1969亩，均为地表水滴灌；淖毛湖灌区灌溉面积65779亩，包括哈密瓜39461亩，公益林24524亩，防风林1794亩，其中哈密瓜39461亩均和6371亩林地为地下水灌溉，其余19947亩林地均为地表水滴灌。现状年峡沟水库灌溉面积总计76301亩，其中地表水控制灌溉面积共计30469亩，地下水控制灌溉面积45832亩。</w:t>
      </w:r>
    </w:p>
    <w:p>
      <w:pPr>
        <w:ind w:firstLine="480"/>
        <w:rPr>
          <w:rFonts w:cs="Times New Roman"/>
        </w:rPr>
      </w:pPr>
      <w:r>
        <w:rPr>
          <w:rFonts w:cs="Times New Roman"/>
        </w:rPr>
        <w:t>设计水平年2030年苇子峡灌区维持现状种植结构、灌溉方式及面积不变，灌溉面积仍为10522亩，其中公益林8553亩，哈密瓜1969亩，均为地表水滴灌；相较现状年淖毛湖灌区公益林面积增加753亩、防风林增加55亩（改善生态环境绿色通道建设）至25277亩、1849亩，哈密瓜面积维持不变，总灌溉面积增加至66587亩，其中哈密瓜16500亩采用地下水滴灌，其余哈密瓜22961亩、公益林及防风林面积27126亩均为地表水滴灌。设计水平年峡沟水库灌溉面积总计77109亩，其中地表水控制灌溉面积共计60609亩，地下水控制灌溉面积16500亩。</w:t>
      </w:r>
    </w:p>
    <w:p>
      <w:pPr>
        <w:ind w:firstLine="480"/>
        <w:rPr>
          <w:rFonts w:cs="Times New Roman"/>
        </w:rPr>
      </w:pPr>
      <w:r>
        <w:rPr>
          <w:rFonts w:cs="Times New Roman"/>
        </w:rPr>
        <w:t>现状及设计水平年哈密瓜、林地的灌溉定额均分别取300m</w:t>
      </w:r>
      <w:r>
        <w:rPr>
          <w:rFonts w:cs="Times New Roman"/>
          <w:vertAlign w:val="superscript"/>
        </w:rPr>
        <w:t>3</w:t>
      </w:r>
      <w:r>
        <w:rPr>
          <w:rFonts w:cs="Times New Roman"/>
        </w:rPr>
        <w:t>/亩、250m</w:t>
      </w:r>
      <w:r>
        <w:rPr>
          <w:rFonts w:cs="Times New Roman"/>
          <w:vertAlign w:val="superscript"/>
        </w:rPr>
        <w:t>3</w:t>
      </w:r>
      <w:r>
        <w:rPr>
          <w:rFonts w:cs="Times New Roman"/>
        </w:rPr>
        <w:t>/亩；地表水灌溉水利用系数：现状年0.69、设计水平年0.74；地下水灌溉水利用系数：现状年0.864，设计水平年0.864。灌溉季节为4～10月。</w:t>
      </w:r>
    </w:p>
    <w:p>
      <w:pPr>
        <w:ind w:firstLine="480"/>
        <w:rPr>
          <w:rFonts w:cs="Times New Roman"/>
        </w:rPr>
      </w:pPr>
      <w:r>
        <w:rPr>
          <w:rFonts w:cs="Times New Roman"/>
        </w:rPr>
        <w:t>经计算，现状年2020年农业总需水量为2672.74万m</w:t>
      </w:r>
      <w:r>
        <w:rPr>
          <w:rFonts w:cs="Times New Roman"/>
          <w:vertAlign w:val="superscript"/>
        </w:rPr>
        <w:t>3</w:t>
      </w:r>
      <w:r>
        <w:rPr>
          <w:rFonts w:cs="Times New Roman"/>
        </w:rPr>
        <w:t>，其中地表水需水量1118.22万m</w:t>
      </w:r>
      <w:r>
        <w:rPr>
          <w:rFonts w:cs="Times New Roman"/>
          <w:vertAlign w:val="superscript"/>
        </w:rPr>
        <w:t>3</w:t>
      </w:r>
      <w:r>
        <w:rPr>
          <w:rFonts w:cs="Times New Roman"/>
        </w:rPr>
        <w:t>，地下水需水量1554.52万m</w:t>
      </w:r>
      <w:r>
        <w:rPr>
          <w:rFonts w:cs="Times New Roman"/>
          <w:vertAlign w:val="superscript"/>
        </w:rPr>
        <w:t>3</w:t>
      </w:r>
      <w:r>
        <w:rPr>
          <w:rFonts w:cs="Times New Roman"/>
        </w:rPr>
        <w:t>。设计水平年2030年农业总需水量为2788.96万m</w:t>
      </w:r>
      <w:r>
        <w:rPr>
          <w:rFonts w:cs="Times New Roman"/>
          <w:vertAlign w:val="superscript"/>
        </w:rPr>
        <w:t>3</w:t>
      </w:r>
      <w:r>
        <w:rPr>
          <w:rFonts w:cs="Times New Roman"/>
        </w:rPr>
        <w:t>，其中地表水需水量2216.05万m</w:t>
      </w:r>
      <w:r>
        <w:rPr>
          <w:rFonts w:cs="Times New Roman"/>
          <w:vertAlign w:val="superscript"/>
        </w:rPr>
        <w:t>3</w:t>
      </w:r>
      <w:r>
        <w:rPr>
          <w:rFonts w:cs="Times New Roman"/>
        </w:rPr>
        <w:t>，地下水需水量572.92万m</w:t>
      </w:r>
      <w:r>
        <w:rPr>
          <w:rFonts w:cs="Times New Roman"/>
          <w:vertAlign w:val="superscript"/>
        </w:rPr>
        <w:t>3</w:t>
      </w:r>
      <w:r>
        <w:rPr>
          <w:rFonts w:cs="Times New Roman"/>
        </w:rPr>
        <w:t>。</w:t>
      </w:r>
    </w:p>
    <w:p>
      <w:pPr>
        <w:ind w:firstLine="480"/>
        <w:rPr>
          <w:rFonts w:cs="Times New Roman"/>
        </w:rPr>
      </w:pPr>
      <w:r>
        <w:rPr>
          <w:rFonts w:cs="Times New Roman"/>
        </w:rPr>
        <w:t>设计水平年峡沟水库农业灌溉总需水量较现状年增加了116.22万m</w:t>
      </w:r>
      <w:r>
        <w:rPr>
          <w:rFonts w:cs="Times New Roman"/>
          <w:vertAlign w:val="superscript"/>
        </w:rPr>
        <w:t>3</w:t>
      </w:r>
      <w:r>
        <w:rPr>
          <w:rFonts w:cs="Times New Roman"/>
        </w:rPr>
        <w:t>，其中地表水需水量增加了1097.83万m</w:t>
      </w:r>
      <w:r>
        <w:rPr>
          <w:rFonts w:cs="Times New Roman"/>
          <w:vertAlign w:val="superscript"/>
        </w:rPr>
        <w:t>3</w:t>
      </w:r>
      <w:r>
        <w:rPr>
          <w:rFonts w:cs="Times New Roman"/>
        </w:rPr>
        <w:t>，地下水需水量减少981.6万m</w:t>
      </w:r>
      <w:r>
        <w:rPr>
          <w:rFonts w:cs="Times New Roman"/>
          <w:vertAlign w:val="superscript"/>
        </w:rPr>
        <w:t>3</w:t>
      </w:r>
      <w:r>
        <w:rPr>
          <w:rFonts w:cs="Times New Roman"/>
        </w:rPr>
        <w:t>。</w:t>
      </w:r>
    </w:p>
    <w:p>
      <w:pPr>
        <w:ind w:firstLine="480"/>
        <w:rPr>
          <w:rFonts w:cs="Times New Roman"/>
        </w:rPr>
      </w:pPr>
      <w:r>
        <w:rPr>
          <w:rFonts w:cs="Times New Roman"/>
        </w:rPr>
        <w:t>（3）工业需水量预测</w:t>
      </w:r>
    </w:p>
    <w:p>
      <w:pPr>
        <w:ind w:firstLine="480"/>
        <w:rPr>
          <w:rFonts w:cs="Times New Roman"/>
        </w:rPr>
      </w:pPr>
      <w:r>
        <w:rPr>
          <w:rFonts w:cs="Times New Roman"/>
        </w:rPr>
        <w:t>据统计，现状年2020年峡沟水库工业供水量为2100万m</w:t>
      </w:r>
      <w:r>
        <w:rPr>
          <w:rFonts w:cs="Times New Roman"/>
          <w:vertAlign w:val="superscript"/>
        </w:rPr>
        <w:t>3</w:t>
      </w:r>
      <w:r>
        <w:rPr>
          <w:rFonts w:cs="Times New Roman"/>
        </w:rPr>
        <w:t>。设计水平年2030年，工业供水</w:t>
      </w:r>
      <w:r>
        <w:rPr>
          <w:rFonts w:hint="eastAsia" w:cs="Times New Roman"/>
          <w:lang w:eastAsia="zh-CN"/>
        </w:rPr>
        <w:t>将</w:t>
      </w:r>
      <w:r>
        <w:rPr>
          <w:rFonts w:cs="Times New Roman"/>
        </w:rPr>
        <w:t>由外流域调水解决，峡沟水库不再为工业供水，此部分水量用于置换地下水和生态环境等重要领域用水。</w:t>
      </w:r>
    </w:p>
    <w:p>
      <w:pPr>
        <w:ind w:firstLine="480"/>
        <w:rPr>
          <w:rFonts w:cs="Times New Roman"/>
        </w:rPr>
      </w:pPr>
      <w:r>
        <w:rPr>
          <w:rFonts w:cs="Times New Roman"/>
        </w:rPr>
        <w:t>（4）总需水量</w:t>
      </w:r>
    </w:p>
    <w:p>
      <w:pPr>
        <w:ind w:firstLine="480"/>
        <w:rPr>
          <w:rFonts w:cs="Times New Roman"/>
        </w:rPr>
      </w:pPr>
      <w:r>
        <w:rPr>
          <w:rFonts w:cs="Times New Roman"/>
        </w:rPr>
        <w:t>现状年2020年伊吾河峡沟水库供水范围经济社会各业总需水量为4924.24万m</w:t>
      </w:r>
      <w:r>
        <w:rPr>
          <w:rFonts w:cs="Times New Roman"/>
          <w:vertAlign w:val="superscript"/>
        </w:rPr>
        <w:t>3</w:t>
      </w:r>
      <w:r>
        <w:rPr>
          <w:rFonts w:cs="Times New Roman"/>
        </w:rPr>
        <w:t>，其中地表水需水量3369.72万m</w:t>
      </w:r>
      <w:r>
        <w:rPr>
          <w:rFonts w:cs="Times New Roman"/>
          <w:vertAlign w:val="superscript"/>
        </w:rPr>
        <w:t>3</w:t>
      </w:r>
      <w:r>
        <w:rPr>
          <w:rFonts w:cs="Times New Roman"/>
        </w:rPr>
        <w:t>，地下水需水量1554.52万m</w:t>
      </w:r>
      <w:r>
        <w:rPr>
          <w:rFonts w:cs="Times New Roman"/>
          <w:vertAlign w:val="superscript"/>
        </w:rPr>
        <w:t>3</w:t>
      </w:r>
      <w:r>
        <w:rPr>
          <w:rFonts w:cs="Times New Roman"/>
        </w:rPr>
        <w:t>。不同行业需水量为：生活需水量151.5万、农业需水量1118.22万m</w:t>
      </w:r>
      <w:r>
        <w:rPr>
          <w:rFonts w:cs="Times New Roman"/>
          <w:vertAlign w:val="superscript"/>
        </w:rPr>
        <w:t>3</w:t>
      </w:r>
      <w:r>
        <w:rPr>
          <w:rFonts w:cs="Times New Roman"/>
        </w:rPr>
        <w:t>、工业需水量2100万m</w:t>
      </w:r>
      <w:r>
        <w:rPr>
          <w:rFonts w:cs="Times New Roman"/>
          <w:vertAlign w:val="superscript"/>
        </w:rPr>
        <w:t>3</w:t>
      </w:r>
      <w:r>
        <w:rPr>
          <w:rFonts w:cs="Times New Roman"/>
        </w:rPr>
        <w:t>。</w:t>
      </w:r>
    </w:p>
    <w:p>
      <w:pPr>
        <w:ind w:firstLine="480"/>
        <w:rPr>
          <w:rFonts w:cs="Times New Roman"/>
        </w:rPr>
      </w:pPr>
      <w:r>
        <w:rPr>
          <w:rFonts w:cs="Times New Roman"/>
        </w:rPr>
        <w:t>设计水平年2030年伊吾河峡沟水库供水范围经济社会各业总需水量为：3255.77万m</w:t>
      </w:r>
      <w:r>
        <w:rPr>
          <w:rFonts w:cs="Times New Roman"/>
          <w:vertAlign w:val="superscript"/>
        </w:rPr>
        <w:t>3</w:t>
      </w:r>
      <w:r>
        <w:rPr>
          <w:rFonts w:cs="Times New Roman"/>
        </w:rPr>
        <w:t>，其中地表水需水量2682.85万m</w:t>
      </w:r>
      <w:r>
        <w:rPr>
          <w:rFonts w:cs="Times New Roman"/>
          <w:vertAlign w:val="superscript"/>
        </w:rPr>
        <w:t>3</w:t>
      </w:r>
      <w:r>
        <w:rPr>
          <w:rFonts w:cs="Times New Roman"/>
        </w:rPr>
        <w:t>，地下水需水量572.92万m</w:t>
      </w:r>
      <w:r>
        <w:rPr>
          <w:rFonts w:cs="Times New Roman"/>
          <w:vertAlign w:val="superscript"/>
        </w:rPr>
        <w:t>3</w:t>
      </w:r>
      <w:r>
        <w:rPr>
          <w:rFonts w:cs="Times New Roman"/>
        </w:rPr>
        <w:t>。不同行业需水量为：生活需水量466.8万m</w:t>
      </w:r>
      <w:r>
        <w:rPr>
          <w:rFonts w:cs="Times New Roman"/>
          <w:vertAlign w:val="superscript"/>
        </w:rPr>
        <w:t>3</w:t>
      </w:r>
      <w:r>
        <w:rPr>
          <w:rFonts w:cs="Times New Roman"/>
        </w:rPr>
        <w:t>、农业需水量2216.05万m</w:t>
      </w:r>
      <w:r>
        <w:rPr>
          <w:rFonts w:cs="Times New Roman"/>
          <w:vertAlign w:val="superscript"/>
        </w:rPr>
        <w:t>3</w:t>
      </w:r>
      <w:r>
        <w:rPr>
          <w:rFonts w:cs="Times New Roman"/>
        </w:rPr>
        <w:t>。工业供水由其他外流域调水解决，伊吾河不</w:t>
      </w:r>
      <w:r>
        <w:rPr>
          <w:rFonts w:hint="eastAsia" w:cs="Times New Roman"/>
          <w:lang w:eastAsia="zh-CN"/>
        </w:rPr>
        <w:t>再</w:t>
      </w:r>
      <w:r>
        <w:rPr>
          <w:rFonts w:cs="Times New Roman"/>
        </w:rPr>
        <w:t>承担供水任务。</w:t>
      </w:r>
    </w:p>
    <w:p>
      <w:pPr>
        <w:ind w:firstLine="480"/>
        <w:rPr>
          <w:rFonts w:cs="Times New Roman"/>
        </w:rPr>
      </w:pPr>
      <w:r>
        <w:rPr>
          <w:rFonts w:cs="Times New Roman"/>
        </w:rPr>
        <w:t>对比分析可知，设计水平年虽然伊吾河峡沟水库不再向工业供水，但生活及农业需水量较现状年增加了1413.13万m</w:t>
      </w:r>
      <w:r>
        <w:rPr>
          <w:rFonts w:cs="Times New Roman"/>
          <w:vertAlign w:val="superscript"/>
        </w:rPr>
        <w:t>3</w:t>
      </w:r>
      <w:r>
        <w:rPr>
          <w:rFonts w:cs="Times New Roman"/>
        </w:rPr>
        <w:t>。</w:t>
      </w:r>
    </w:p>
    <w:p>
      <w:pPr>
        <w:pStyle w:val="62"/>
        <w:rPr>
          <w:rFonts w:cs="Times New Roman"/>
        </w:rPr>
      </w:pPr>
      <w:r>
        <w:rPr>
          <w:rFonts w:cs="Times New Roman"/>
        </w:rPr>
        <w:t>5.1.1.2 不同水平年淖毛湖地区水资源供需平衡分析</w:t>
      </w:r>
    </w:p>
    <w:p>
      <w:pPr>
        <w:ind w:firstLine="480"/>
        <w:rPr>
          <w:rFonts w:cs="Times New Roman"/>
        </w:rPr>
      </w:pPr>
      <w:r>
        <w:rPr>
          <w:rFonts w:cs="Times New Roman"/>
        </w:rPr>
        <w:t>现状淖毛湖地区主要供水水源为伊吾河地表水及区域地下水。</w:t>
      </w:r>
    </w:p>
    <w:p>
      <w:pPr>
        <w:ind w:firstLine="480"/>
        <w:rPr>
          <w:rFonts w:cs="Times New Roman"/>
        </w:rPr>
      </w:pPr>
      <w:r>
        <w:rPr>
          <w:rFonts w:cs="Times New Roman"/>
        </w:rPr>
        <w:t>伊吾河多年平均径流量6588万m</w:t>
      </w:r>
      <w:r>
        <w:rPr>
          <w:rFonts w:cs="Times New Roman"/>
          <w:vertAlign w:val="superscript"/>
        </w:rPr>
        <w:t>3</w:t>
      </w:r>
      <w:r>
        <w:rPr>
          <w:rFonts w:cs="Times New Roman"/>
        </w:rPr>
        <w:t>，85%、95%来水频率下伊吾河来水量分别为5029.9万m</w:t>
      </w:r>
      <w:r>
        <w:rPr>
          <w:rFonts w:cs="Times New Roman"/>
          <w:vertAlign w:val="superscript"/>
        </w:rPr>
        <w:t>3</w:t>
      </w:r>
      <w:r>
        <w:rPr>
          <w:rFonts w:cs="Times New Roman"/>
        </w:rPr>
        <w:t>、4704万m</w:t>
      </w:r>
      <w:r>
        <w:rPr>
          <w:rFonts w:cs="Times New Roman"/>
          <w:vertAlign w:val="superscript"/>
        </w:rPr>
        <w:t>3</w:t>
      </w:r>
      <w:r>
        <w:rPr>
          <w:rFonts w:cs="Times New Roman"/>
        </w:rPr>
        <w:t>。</w:t>
      </w:r>
    </w:p>
    <w:p>
      <w:pPr>
        <w:ind w:firstLine="480"/>
        <w:rPr>
          <w:rFonts w:cs="Times New Roman"/>
        </w:rPr>
      </w:pPr>
      <w:r>
        <w:rPr>
          <w:rFonts w:cs="Times New Roman"/>
        </w:rPr>
        <w:t>（1）现状2020年淖毛湖地区水资源供需平衡分析</w:t>
      </w:r>
    </w:p>
    <w:p>
      <w:pPr>
        <w:ind w:firstLine="480"/>
        <w:rPr>
          <w:rFonts w:cs="Times New Roman"/>
        </w:rPr>
      </w:pPr>
      <w:r>
        <w:rPr>
          <w:rFonts w:hint="eastAsia" w:ascii="宋体" w:hAnsi="宋体" w:cs="宋体"/>
        </w:rPr>
        <w:t>①</w:t>
      </w:r>
      <w:r>
        <w:rPr>
          <w:rFonts w:cs="Times New Roman"/>
        </w:rPr>
        <w:t>地表水供需分析</w:t>
      </w:r>
    </w:p>
    <w:p>
      <w:pPr>
        <w:ind w:firstLine="480"/>
        <w:rPr>
          <w:rFonts w:cs="Times New Roman"/>
        </w:rPr>
      </w:pPr>
      <w:r>
        <w:rPr>
          <w:rFonts w:cs="Times New Roman"/>
        </w:rPr>
        <w:t>现状2020年淖毛湖区域地表水需水量为3369.72万m</w:t>
      </w:r>
      <w:r>
        <w:rPr>
          <w:rFonts w:cs="Times New Roman"/>
          <w:vertAlign w:val="superscript"/>
        </w:rPr>
        <w:t>3</w:t>
      </w:r>
      <w:r>
        <w:rPr>
          <w:rFonts w:cs="Times New Roman"/>
        </w:rPr>
        <w:t>，其中人畜需水量151.5万m</w:t>
      </w:r>
      <w:r>
        <w:rPr>
          <w:rFonts w:cs="Times New Roman"/>
          <w:vertAlign w:val="superscript"/>
        </w:rPr>
        <w:t>3</w:t>
      </w:r>
      <w:r>
        <w:rPr>
          <w:rFonts w:cs="Times New Roman"/>
        </w:rPr>
        <w:t>，农业及林地灌溉需水量1118.22万m</w:t>
      </w:r>
      <w:r>
        <w:rPr>
          <w:rFonts w:cs="Times New Roman"/>
          <w:vertAlign w:val="superscript"/>
        </w:rPr>
        <w:t>3</w:t>
      </w:r>
      <w:r>
        <w:rPr>
          <w:rFonts w:cs="Times New Roman"/>
        </w:rPr>
        <w:t>，工业需水量2100万m</w:t>
      </w:r>
      <w:r>
        <w:rPr>
          <w:rFonts w:cs="Times New Roman"/>
          <w:vertAlign w:val="superscript"/>
        </w:rPr>
        <w:t>3</w:t>
      </w:r>
      <w:r>
        <w:rPr>
          <w:rFonts w:cs="Times New Roman"/>
        </w:rPr>
        <w:t>。</w:t>
      </w:r>
    </w:p>
    <w:p>
      <w:pPr>
        <w:ind w:firstLine="480"/>
        <w:rPr>
          <w:rFonts w:cs="Times New Roman"/>
        </w:rPr>
      </w:pPr>
      <w:r>
        <w:rPr>
          <w:rFonts w:cs="Times New Roman"/>
        </w:rPr>
        <w:t>经平衡分析：85%保证率下伊吾河峡沟水库可供水量3721.45万m</w:t>
      </w:r>
      <w:r>
        <w:rPr>
          <w:rFonts w:cs="Times New Roman"/>
          <w:vertAlign w:val="superscript"/>
        </w:rPr>
        <w:t>3</w:t>
      </w:r>
      <w:r>
        <w:rPr>
          <w:rFonts w:cs="Times New Roman"/>
        </w:rPr>
        <w:t>，满足各业用水需求，尚有余水242.6万m</w:t>
      </w:r>
      <w:r>
        <w:rPr>
          <w:rFonts w:cs="Times New Roman"/>
          <w:vertAlign w:val="superscript"/>
        </w:rPr>
        <w:t>3</w:t>
      </w:r>
      <w:r>
        <w:rPr>
          <w:rFonts w:cs="Times New Roman"/>
        </w:rPr>
        <w:t>。95%保证率下伊吾河峡沟水库可供水量3395.55万m</w:t>
      </w:r>
      <w:r>
        <w:rPr>
          <w:rFonts w:cs="Times New Roman"/>
          <w:vertAlign w:val="superscript"/>
        </w:rPr>
        <w:t>3</w:t>
      </w:r>
      <w:r>
        <w:rPr>
          <w:rFonts w:cs="Times New Roman"/>
        </w:rPr>
        <w:t>，受峡沟水库调蓄能力限制，灌溉季节缺水91.54万m</w:t>
      </w:r>
      <w:r>
        <w:rPr>
          <w:rFonts w:cs="Times New Roman"/>
          <w:vertAlign w:val="superscript"/>
        </w:rPr>
        <w:t>3</w:t>
      </w:r>
      <w:r>
        <w:rPr>
          <w:rFonts w:cs="Times New Roman"/>
        </w:rPr>
        <w:t>，余水17.34万m</w:t>
      </w:r>
      <w:r>
        <w:rPr>
          <w:rFonts w:cs="Times New Roman"/>
          <w:vertAlign w:val="superscript"/>
        </w:rPr>
        <w:t>3</w:t>
      </w:r>
      <w:r>
        <w:rPr>
          <w:rFonts w:cs="Times New Roman"/>
        </w:rPr>
        <w:t>。</w:t>
      </w:r>
    </w:p>
    <w:p>
      <w:pPr>
        <w:ind w:firstLine="480"/>
        <w:rPr>
          <w:rFonts w:cs="Times New Roman"/>
        </w:rPr>
      </w:pPr>
      <w:r>
        <w:rPr>
          <w:rFonts w:hint="eastAsia" w:ascii="宋体" w:hAnsi="宋体" w:cs="宋体"/>
        </w:rPr>
        <w:t>②</w:t>
      </w:r>
      <w:r>
        <w:rPr>
          <w:rFonts w:cs="Times New Roman"/>
        </w:rPr>
        <w:t>地下水供需分析</w:t>
      </w:r>
    </w:p>
    <w:p>
      <w:pPr>
        <w:ind w:firstLine="480"/>
        <w:rPr>
          <w:rFonts w:cs="Times New Roman"/>
        </w:rPr>
      </w:pPr>
      <w:r>
        <w:rPr>
          <w:rFonts w:cs="Times New Roman"/>
        </w:rPr>
        <w:t>现状年2020年淖毛湖区域农业灌溉地下水需水量1554.52万m</w:t>
      </w:r>
      <w:r>
        <w:rPr>
          <w:rFonts w:cs="Times New Roman"/>
          <w:vertAlign w:val="superscript"/>
        </w:rPr>
        <w:t>3</w:t>
      </w:r>
      <w:r>
        <w:rPr>
          <w:rFonts w:cs="Times New Roman"/>
        </w:rPr>
        <w:t>。根据《关于报送哈密市用水总量控制分解实施方案的函》(哈政函〔2019〕224号)，2020年淖毛湖区域地下水“三条红线”用水指标为707.8万m</w:t>
      </w:r>
      <w:r>
        <w:rPr>
          <w:rFonts w:cs="Times New Roman"/>
          <w:vertAlign w:val="superscript"/>
        </w:rPr>
        <w:t>3</w:t>
      </w:r>
      <w:r>
        <w:rPr>
          <w:rFonts w:cs="Times New Roman"/>
        </w:rPr>
        <w:t>，实际用水量远超“三条红线”控制指标,地下水超指标846.72万m</w:t>
      </w:r>
      <w:r>
        <w:rPr>
          <w:rFonts w:cs="Times New Roman"/>
          <w:vertAlign w:val="superscript"/>
        </w:rPr>
        <w:t>3</w:t>
      </w:r>
      <w:r>
        <w:rPr>
          <w:rFonts w:cs="Times New Roman"/>
        </w:rPr>
        <w:t>。</w:t>
      </w:r>
    </w:p>
    <w:p>
      <w:pPr>
        <w:ind w:firstLine="480"/>
        <w:rPr>
          <w:rFonts w:cs="Times New Roman"/>
        </w:rPr>
      </w:pPr>
      <w:r>
        <w:rPr>
          <w:rFonts w:cs="Times New Roman"/>
        </w:rPr>
        <w:t>（2）设计水平年2030年淖毛湖地区水资源供需平衡分析</w:t>
      </w:r>
    </w:p>
    <w:p>
      <w:pPr>
        <w:ind w:firstLine="480"/>
        <w:rPr>
          <w:rFonts w:cs="Times New Roman"/>
        </w:rPr>
      </w:pPr>
      <w:r>
        <w:rPr>
          <w:rFonts w:hint="eastAsia" w:ascii="宋体" w:hAnsi="宋体" w:cs="宋体"/>
        </w:rPr>
        <w:t>①</w:t>
      </w:r>
      <w:r>
        <w:rPr>
          <w:rFonts w:cs="Times New Roman"/>
        </w:rPr>
        <w:t>地表水供需分析</w:t>
      </w:r>
    </w:p>
    <w:p>
      <w:pPr>
        <w:ind w:firstLine="480"/>
        <w:rPr>
          <w:rFonts w:cs="Times New Roman"/>
        </w:rPr>
      </w:pPr>
      <w:r>
        <w:rPr>
          <w:rFonts w:cs="Times New Roman"/>
        </w:rPr>
        <w:t>设计水平年2030年，淖毛湖区域地表水需水量为2682.85万m</w:t>
      </w:r>
      <w:r>
        <w:rPr>
          <w:rFonts w:cs="Times New Roman"/>
          <w:vertAlign w:val="superscript"/>
        </w:rPr>
        <w:t>3</w:t>
      </w:r>
      <w:r>
        <w:rPr>
          <w:rFonts w:cs="Times New Roman"/>
        </w:rPr>
        <w:t>，其中人畜需水量466.8万m</w:t>
      </w:r>
      <w:r>
        <w:rPr>
          <w:rFonts w:cs="Times New Roman"/>
          <w:vertAlign w:val="superscript"/>
        </w:rPr>
        <w:t>3</w:t>
      </w:r>
      <w:r>
        <w:rPr>
          <w:rFonts w:cs="Times New Roman"/>
        </w:rPr>
        <w:t>（较现状年增加315.3万m</w:t>
      </w:r>
      <w:r>
        <w:rPr>
          <w:rFonts w:cs="Times New Roman"/>
          <w:vertAlign w:val="superscript"/>
        </w:rPr>
        <w:t>3</w:t>
      </w:r>
      <w:r>
        <w:rPr>
          <w:rFonts w:cs="Times New Roman"/>
        </w:rPr>
        <w:t>），农业及林地灌溉需水量2216.05万m</w:t>
      </w:r>
      <w:r>
        <w:rPr>
          <w:rFonts w:cs="Times New Roman"/>
          <w:vertAlign w:val="superscript"/>
        </w:rPr>
        <w:t>3</w:t>
      </w:r>
      <w:r>
        <w:rPr>
          <w:rFonts w:cs="Times New Roman"/>
        </w:rPr>
        <w:t>（较现状年增加1097.83万m</w:t>
      </w:r>
      <w:r>
        <w:rPr>
          <w:rFonts w:cs="Times New Roman"/>
          <w:vertAlign w:val="superscript"/>
        </w:rPr>
        <w:t>3</w:t>
      </w:r>
      <w:r>
        <w:rPr>
          <w:rFonts w:cs="Times New Roman"/>
        </w:rPr>
        <w:t>）。</w:t>
      </w:r>
    </w:p>
    <w:p>
      <w:pPr>
        <w:ind w:firstLine="480"/>
        <w:rPr>
          <w:rFonts w:cs="Times New Roman"/>
        </w:rPr>
      </w:pPr>
      <w:r>
        <w:rPr>
          <w:rFonts w:cs="Times New Roman"/>
        </w:rPr>
        <w:t>经平衡分析：85%保证率下伊吾河峡沟水库可供水量3721.45万m</w:t>
      </w:r>
      <w:r>
        <w:rPr>
          <w:rFonts w:cs="Times New Roman"/>
          <w:vertAlign w:val="superscript"/>
        </w:rPr>
        <w:t>3</w:t>
      </w:r>
      <w:r>
        <w:rPr>
          <w:rFonts w:cs="Times New Roman"/>
        </w:rPr>
        <w:t>，受峡沟水库调蓄能力限制，灌溉季节（5～9月）缺水184.91万m</w:t>
      </w:r>
      <w:r>
        <w:rPr>
          <w:rFonts w:cs="Times New Roman"/>
          <w:vertAlign w:val="superscript"/>
        </w:rPr>
        <w:t>3</w:t>
      </w:r>
      <w:r>
        <w:rPr>
          <w:rFonts w:cs="Times New Roman"/>
        </w:rPr>
        <w:t>，余水1108.72万m</w:t>
      </w:r>
      <w:r>
        <w:rPr>
          <w:rFonts w:cs="Times New Roman"/>
          <w:vertAlign w:val="superscript"/>
        </w:rPr>
        <w:t>3</w:t>
      </w:r>
      <w:r>
        <w:rPr>
          <w:rFonts w:cs="Times New Roman"/>
        </w:rPr>
        <w:t>。95%保证率下伊吾河峡沟水库可供水量3395.55万m</w:t>
      </w:r>
      <w:r>
        <w:rPr>
          <w:rFonts w:cs="Times New Roman"/>
          <w:vertAlign w:val="superscript"/>
        </w:rPr>
        <w:t>3</w:t>
      </w:r>
      <w:r>
        <w:rPr>
          <w:rFonts w:cs="Times New Roman"/>
        </w:rPr>
        <w:t>，受峡沟水库调蓄能力限制，灌溉季节缺水424.22万m</w:t>
      </w:r>
      <w:r>
        <w:rPr>
          <w:rFonts w:cs="Times New Roman"/>
          <w:vertAlign w:val="superscript"/>
        </w:rPr>
        <w:t>3</w:t>
      </w:r>
      <w:r>
        <w:rPr>
          <w:rFonts w:cs="Times New Roman"/>
        </w:rPr>
        <w:t>，冬季有余水1025.12万m</w:t>
      </w:r>
      <w:r>
        <w:rPr>
          <w:rFonts w:cs="Times New Roman"/>
          <w:vertAlign w:val="superscript"/>
        </w:rPr>
        <w:t>3</w:t>
      </w:r>
      <w:r>
        <w:rPr>
          <w:rFonts w:cs="Times New Roman"/>
        </w:rPr>
        <w:t>。</w:t>
      </w:r>
    </w:p>
    <w:p>
      <w:pPr>
        <w:ind w:firstLine="480"/>
        <w:rPr>
          <w:rFonts w:cs="Times New Roman"/>
        </w:rPr>
      </w:pPr>
      <w:r>
        <w:rPr>
          <w:rFonts w:hint="eastAsia" w:ascii="宋体" w:hAnsi="宋体" w:cs="宋体"/>
        </w:rPr>
        <w:t>②</w:t>
      </w:r>
      <w:r>
        <w:rPr>
          <w:rFonts w:cs="Times New Roman"/>
        </w:rPr>
        <w:t>地下水供需分析</w:t>
      </w:r>
    </w:p>
    <w:p>
      <w:pPr>
        <w:ind w:firstLine="480"/>
        <w:rPr>
          <w:rFonts w:cs="Times New Roman"/>
        </w:rPr>
      </w:pPr>
      <w:r>
        <w:rPr>
          <w:rFonts w:cs="Times New Roman"/>
        </w:rPr>
        <w:t>设计水平年2030年，淖毛湖区域农业灌溉地下水需（供）水量572.82万m</w:t>
      </w:r>
      <w:r>
        <w:rPr>
          <w:rFonts w:cs="Times New Roman"/>
          <w:vertAlign w:val="superscript"/>
        </w:rPr>
        <w:t>3</w:t>
      </w:r>
      <w:r>
        <w:rPr>
          <w:rFonts w:cs="Times New Roman"/>
        </w:rPr>
        <w:t>。根据《关于报送哈密市用水总量控制分解实施方案的函》(哈政函〔2019〕224号)，2030年淖毛湖区域地下水“三条红线”用水指标为582.3万m</w:t>
      </w:r>
      <w:r>
        <w:rPr>
          <w:rFonts w:cs="Times New Roman"/>
          <w:vertAlign w:val="superscript"/>
        </w:rPr>
        <w:t>3</w:t>
      </w:r>
      <w:r>
        <w:rPr>
          <w:rFonts w:cs="Times New Roman"/>
        </w:rPr>
        <w:t>，符合“三条红线”控制指标要求。</w:t>
      </w:r>
    </w:p>
    <w:p>
      <w:pPr>
        <w:ind w:firstLine="480"/>
        <w:rPr>
          <w:rFonts w:cs="Times New Roman"/>
        </w:rPr>
      </w:pPr>
      <w:r>
        <w:rPr>
          <w:rFonts w:cs="Times New Roman"/>
        </w:rPr>
        <w:t>（3）代尔昆代水库对淖毛湖地区水资源配置的影响</w:t>
      </w:r>
    </w:p>
    <w:p>
      <w:pPr>
        <w:ind w:firstLine="480"/>
        <w:rPr>
          <w:rFonts w:cs="Times New Roman"/>
        </w:rPr>
      </w:pPr>
      <w:r>
        <w:rPr>
          <w:rFonts w:cs="Times New Roman"/>
        </w:rPr>
        <w:t>设计水平年2030年，代尔昆代水库建成后，可与峡沟水库联调，由代尔昆代水库向淖毛湖区域补水，主要解决人、畜饮水问题（5～9月淖毛湖区域人畜饮水由代尔昆代水库供给）；代尔昆代水库向淖毛湖区域补充供水总量359.57万m</w:t>
      </w:r>
      <w:r>
        <w:rPr>
          <w:rFonts w:cs="Times New Roman"/>
          <w:vertAlign w:val="superscript"/>
        </w:rPr>
        <w:t>3</w:t>
      </w:r>
      <w:r>
        <w:rPr>
          <w:rFonts w:cs="Times New Roman"/>
        </w:rPr>
        <w:t>，其中生活供水218万m</w:t>
      </w:r>
      <w:r>
        <w:rPr>
          <w:rFonts w:cs="Times New Roman"/>
          <w:vertAlign w:val="superscript"/>
        </w:rPr>
        <w:t>3</w:t>
      </w:r>
      <w:r>
        <w:rPr>
          <w:rFonts w:cs="Times New Roman"/>
        </w:rPr>
        <w:t>（5～9月供水、其他月份由峡沟水库供给），0.47万亩公益林灌溉供水141.57万m</w:t>
      </w:r>
      <w:r>
        <w:rPr>
          <w:rFonts w:cs="Times New Roman"/>
          <w:vertAlign w:val="superscript"/>
        </w:rPr>
        <w:t>3</w:t>
      </w:r>
      <w:r>
        <w:rPr>
          <w:rFonts w:cs="Times New Roman"/>
        </w:rPr>
        <w:t>。</w:t>
      </w:r>
    </w:p>
    <w:p>
      <w:pPr>
        <w:ind w:firstLine="480"/>
        <w:rPr>
          <w:rFonts w:cs="Times New Roman"/>
        </w:rPr>
      </w:pPr>
      <w:r>
        <w:rPr>
          <w:rFonts w:cs="Times New Roman"/>
        </w:rPr>
        <w:t>经平衡计算后，代尔昆代水库与峡沟水库联调后，85%保证率下，淖毛湖区域不缺水，满足各业用水需求。95%保证率下，受峡沟水库调节能力限制，灌溉季节仍缺水89.73万m</w:t>
      </w:r>
      <w:r>
        <w:rPr>
          <w:rFonts w:cs="Times New Roman"/>
          <w:vertAlign w:val="superscript"/>
        </w:rPr>
        <w:t>3</w:t>
      </w:r>
      <w:r>
        <w:rPr>
          <w:rFonts w:cs="Times New Roman"/>
        </w:rPr>
        <w:t>，较设计水平年代尔昆代水库建成前缺水量减少334.49万m</w:t>
      </w:r>
      <w:r>
        <w:rPr>
          <w:rFonts w:cs="Times New Roman"/>
          <w:vertAlign w:val="superscript"/>
        </w:rPr>
        <w:t>3</w:t>
      </w:r>
      <w:r>
        <w:rPr>
          <w:rFonts w:cs="Times New Roman"/>
        </w:rPr>
        <w:t>；余水1042.58万m</w:t>
      </w:r>
      <w:r>
        <w:rPr>
          <w:rFonts w:cs="Times New Roman"/>
          <w:vertAlign w:val="superscript"/>
        </w:rPr>
        <w:t>3</w:t>
      </w:r>
      <w:r>
        <w:rPr>
          <w:rFonts w:cs="Times New Roman"/>
        </w:rPr>
        <w:t>。</w:t>
      </w:r>
    </w:p>
    <w:p>
      <w:pPr>
        <w:pStyle w:val="4"/>
        <w:rPr>
          <w:rFonts w:cs="Times New Roman"/>
        </w:rPr>
      </w:pPr>
      <w:r>
        <w:rPr>
          <w:rFonts w:cs="Times New Roman"/>
        </w:rPr>
        <w:t>5.1.2 代尔昆代郭勒河水资源配置变化</w:t>
      </w:r>
    </w:p>
    <w:p>
      <w:pPr>
        <w:ind w:firstLine="480"/>
        <w:rPr>
          <w:rFonts w:cs="Times New Roman"/>
        </w:rPr>
      </w:pPr>
      <w:r>
        <w:rPr>
          <w:rFonts w:cs="Times New Roman"/>
        </w:rPr>
        <w:t>现状2020代尔昆代郭勒河无地表水资源利用，设计水平年代尔昆代郭勒河自身仍无地表水资源利用需求，仅通过建设代尔昆代水库，向淖毛湖地区补水总量359.57万m</w:t>
      </w:r>
      <w:r>
        <w:rPr>
          <w:rFonts w:cs="Times New Roman"/>
          <w:vertAlign w:val="superscript"/>
        </w:rPr>
        <w:t>3</w:t>
      </w:r>
      <w:r>
        <w:rPr>
          <w:rFonts w:cs="Times New Roman"/>
        </w:rPr>
        <w:t>，其中生活供水218万m</w:t>
      </w:r>
      <w:r>
        <w:rPr>
          <w:rFonts w:cs="Times New Roman"/>
          <w:vertAlign w:val="superscript"/>
        </w:rPr>
        <w:t>3</w:t>
      </w:r>
      <w:r>
        <w:rPr>
          <w:rFonts w:cs="Times New Roman"/>
        </w:rPr>
        <w:t>（5～9月供水、其他月份由峡沟水库供给），0.47万亩公益林灌溉供水141.57万m</w:t>
      </w:r>
      <w:r>
        <w:rPr>
          <w:rFonts w:cs="Times New Roman"/>
          <w:vertAlign w:val="superscript"/>
        </w:rPr>
        <w:t>3</w:t>
      </w:r>
      <w:r>
        <w:rPr>
          <w:rFonts w:cs="Times New Roman"/>
        </w:rPr>
        <w:t>。</w:t>
      </w:r>
    </w:p>
    <w:p>
      <w:pPr>
        <w:pStyle w:val="137"/>
        <w:spacing w:before="62"/>
      </w:pPr>
      <w:r>
        <w:t>表5.1-1              设计水平年代尔昆代水库供水过程线             单位：万m</w:t>
      </w:r>
      <w:r>
        <w:rPr>
          <w:vertAlign w:val="superscript"/>
        </w:rPr>
        <w:t>3</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800"/>
        <w:gridCol w:w="800"/>
        <w:gridCol w:w="943"/>
        <w:gridCol w:w="943"/>
        <w:gridCol w:w="944"/>
        <w:gridCol w:w="801"/>
        <w:gridCol w:w="944"/>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9" w:type="pct"/>
            <w:shd w:val="clear" w:color="auto" w:fill="auto"/>
            <w:noWrap/>
            <w:vAlign w:val="center"/>
          </w:tcPr>
          <w:p>
            <w:pPr>
              <w:pStyle w:val="136"/>
            </w:pPr>
            <w:r>
              <w:t>名称</w:t>
            </w:r>
          </w:p>
        </w:tc>
        <w:tc>
          <w:tcPr>
            <w:tcW w:w="431" w:type="pct"/>
            <w:shd w:val="clear" w:color="auto" w:fill="auto"/>
            <w:noWrap/>
            <w:vAlign w:val="center"/>
          </w:tcPr>
          <w:p>
            <w:pPr>
              <w:pStyle w:val="136"/>
            </w:pPr>
            <w:r>
              <w:t>4月</w:t>
            </w:r>
          </w:p>
        </w:tc>
        <w:tc>
          <w:tcPr>
            <w:tcW w:w="431" w:type="pct"/>
            <w:shd w:val="clear" w:color="auto" w:fill="auto"/>
            <w:noWrap/>
            <w:vAlign w:val="center"/>
          </w:tcPr>
          <w:p>
            <w:pPr>
              <w:pStyle w:val="136"/>
            </w:pPr>
            <w:r>
              <w:t>5月</w:t>
            </w:r>
          </w:p>
        </w:tc>
        <w:tc>
          <w:tcPr>
            <w:tcW w:w="508" w:type="pct"/>
            <w:shd w:val="clear" w:color="auto" w:fill="auto"/>
            <w:noWrap/>
            <w:vAlign w:val="center"/>
          </w:tcPr>
          <w:p>
            <w:pPr>
              <w:pStyle w:val="136"/>
            </w:pPr>
            <w:r>
              <w:t>6月</w:t>
            </w:r>
          </w:p>
        </w:tc>
        <w:tc>
          <w:tcPr>
            <w:tcW w:w="508" w:type="pct"/>
            <w:shd w:val="clear" w:color="auto" w:fill="auto"/>
            <w:noWrap/>
            <w:vAlign w:val="center"/>
          </w:tcPr>
          <w:p>
            <w:pPr>
              <w:pStyle w:val="136"/>
            </w:pPr>
            <w:r>
              <w:t>7月</w:t>
            </w:r>
          </w:p>
        </w:tc>
        <w:tc>
          <w:tcPr>
            <w:tcW w:w="508" w:type="pct"/>
            <w:shd w:val="clear" w:color="auto" w:fill="auto"/>
            <w:noWrap/>
            <w:vAlign w:val="center"/>
          </w:tcPr>
          <w:p>
            <w:pPr>
              <w:pStyle w:val="136"/>
            </w:pPr>
            <w:r>
              <w:t>8月</w:t>
            </w:r>
          </w:p>
        </w:tc>
        <w:tc>
          <w:tcPr>
            <w:tcW w:w="431" w:type="pct"/>
            <w:shd w:val="clear" w:color="auto" w:fill="auto"/>
            <w:noWrap/>
            <w:vAlign w:val="center"/>
          </w:tcPr>
          <w:p>
            <w:pPr>
              <w:pStyle w:val="136"/>
            </w:pPr>
            <w:r>
              <w:t>9月</w:t>
            </w:r>
          </w:p>
        </w:tc>
        <w:tc>
          <w:tcPr>
            <w:tcW w:w="508" w:type="pct"/>
            <w:shd w:val="clear" w:color="auto" w:fill="auto"/>
            <w:noWrap/>
            <w:vAlign w:val="center"/>
          </w:tcPr>
          <w:p>
            <w:pPr>
              <w:pStyle w:val="136"/>
            </w:pPr>
            <w:r>
              <w:t>10月</w:t>
            </w:r>
          </w:p>
        </w:tc>
        <w:tc>
          <w:tcPr>
            <w:tcW w:w="586" w:type="pct"/>
            <w:shd w:val="clear" w:color="auto" w:fill="auto"/>
            <w:noWrap/>
            <w:vAlign w:val="center"/>
          </w:tcPr>
          <w:p>
            <w:pPr>
              <w:pStyle w:val="136"/>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9" w:type="pct"/>
            <w:shd w:val="clear" w:color="auto" w:fill="auto"/>
            <w:noWrap/>
            <w:vAlign w:val="center"/>
          </w:tcPr>
          <w:p>
            <w:pPr>
              <w:pStyle w:val="136"/>
            </w:pPr>
            <w:r>
              <w:t>人畜需水量</w:t>
            </w:r>
          </w:p>
        </w:tc>
        <w:tc>
          <w:tcPr>
            <w:tcW w:w="431" w:type="pct"/>
            <w:shd w:val="clear" w:color="auto" w:fill="auto"/>
            <w:noWrap/>
            <w:vAlign w:val="center"/>
          </w:tcPr>
          <w:p>
            <w:pPr>
              <w:pStyle w:val="136"/>
            </w:pPr>
            <w:r>
              <w:t>0</w:t>
            </w:r>
          </w:p>
        </w:tc>
        <w:tc>
          <w:tcPr>
            <w:tcW w:w="431" w:type="pct"/>
            <w:shd w:val="clear" w:color="auto" w:fill="auto"/>
            <w:noWrap/>
            <w:vAlign w:val="center"/>
          </w:tcPr>
          <w:p>
            <w:pPr>
              <w:pStyle w:val="136"/>
            </w:pPr>
            <w:r>
              <w:t>43.6</w:t>
            </w:r>
          </w:p>
        </w:tc>
        <w:tc>
          <w:tcPr>
            <w:tcW w:w="508" w:type="pct"/>
            <w:shd w:val="clear" w:color="auto" w:fill="auto"/>
            <w:noWrap/>
            <w:vAlign w:val="center"/>
          </w:tcPr>
          <w:p>
            <w:pPr>
              <w:pStyle w:val="136"/>
            </w:pPr>
            <w:r>
              <w:t>43.6</w:t>
            </w:r>
          </w:p>
        </w:tc>
        <w:tc>
          <w:tcPr>
            <w:tcW w:w="508" w:type="pct"/>
            <w:shd w:val="clear" w:color="auto" w:fill="auto"/>
            <w:noWrap/>
            <w:vAlign w:val="center"/>
          </w:tcPr>
          <w:p>
            <w:pPr>
              <w:pStyle w:val="136"/>
            </w:pPr>
            <w:r>
              <w:t>43.6</w:t>
            </w:r>
          </w:p>
        </w:tc>
        <w:tc>
          <w:tcPr>
            <w:tcW w:w="508" w:type="pct"/>
            <w:shd w:val="clear" w:color="auto" w:fill="auto"/>
            <w:noWrap/>
            <w:vAlign w:val="center"/>
          </w:tcPr>
          <w:p>
            <w:pPr>
              <w:pStyle w:val="136"/>
            </w:pPr>
            <w:r>
              <w:t>43.6</w:t>
            </w:r>
          </w:p>
        </w:tc>
        <w:tc>
          <w:tcPr>
            <w:tcW w:w="431" w:type="pct"/>
            <w:shd w:val="clear" w:color="auto" w:fill="auto"/>
            <w:noWrap/>
            <w:vAlign w:val="center"/>
          </w:tcPr>
          <w:p>
            <w:pPr>
              <w:pStyle w:val="136"/>
            </w:pPr>
            <w:r>
              <w:t>43.6</w:t>
            </w:r>
          </w:p>
        </w:tc>
        <w:tc>
          <w:tcPr>
            <w:tcW w:w="508" w:type="pct"/>
            <w:shd w:val="clear" w:color="auto" w:fill="auto"/>
            <w:noWrap/>
            <w:vAlign w:val="center"/>
          </w:tcPr>
          <w:p>
            <w:pPr>
              <w:pStyle w:val="136"/>
            </w:pPr>
            <w:r>
              <w:t>0</w:t>
            </w:r>
          </w:p>
        </w:tc>
        <w:tc>
          <w:tcPr>
            <w:tcW w:w="586" w:type="pct"/>
            <w:shd w:val="clear" w:color="auto" w:fill="auto"/>
            <w:noWrap/>
            <w:vAlign w:val="center"/>
          </w:tcPr>
          <w:p>
            <w:pPr>
              <w:pStyle w:val="136"/>
            </w:pPr>
            <w: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9" w:type="pct"/>
            <w:shd w:val="clear" w:color="auto" w:fill="auto"/>
            <w:noWrap/>
            <w:vAlign w:val="center"/>
          </w:tcPr>
          <w:p>
            <w:pPr>
              <w:pStyle w:val="136"/>
            </w:pPr>
            <w:r>
              <w:t>公益林需水量</w:t>
            </w:r>
          </w:p>
        </w:tc>
        <w:tc>
          <w:tcPr>
            <w:tcW w:w="431" w:type="pct"/>
            <w:shd w:val="clear" w:color="auto" w:fill="auto"/>
            <w:noWrap/>
            <w:vAlign w:val="center"/>
          </w:tcPr>
          <w:p>
            <w:pPr>
              <w:pStyle w:val="136"/>
            </w:pPr>
            <w:r>
              <w:t>8.85</w:t>
            </w:r>
          </w:p>
        </w:tc>
        <w:tc>
          <w:tcPr>
            <w:tcW w:w="431" w:type="pct"/>
            <w:shd w:val="clear" w:color="auto" w:fill="auto"/>
            <w:noWrap/>
            <w:vAlign w:val="center"/>
          </w:tcPr>
          <w:p>
            <w:pPr>
              <w:pStyle w:val="136"/>
            </w:pPr>
            <w:r>
              <w:t>17.7</w:t>
            </w:r>
          </w:p>
        </w:tc>
        <w:tc>
          <w:tcPr>
            <w:tcW w:w="508" w:type="pct"/>
            <w:shd w:val="clear" w:color="auto" w:fill="auto"/>
            <w:noWrap/>
            <w:vAlign w:val="center"/>
          </w:tcPr>
          <w:p>
            <w:pPr>
              <w:pStyle w:val="136"/>
            </w:pPr>
            <w:r>
              <w:t>26.54</w:t>
            </w:r>
          </w:p>
        </w:tc>
        <w:tc>
          <w:tcPr>
            <w:tcW w:w="508" w:type="pct"/>
            <w:shd w:val="clear" w:color="auto" w:fill="auto"/>
            <w:noWrap/>
            <w:vAlign w:val="center"/>
          </w:tcPr>
          <w:p>
            <w:pPr>
              <w:pStyle w:val="136"/>
            </w:pPr>
            <w:r>
              <w:t>35.39</w:t>
            </w:r>
          </w:p>
        </w:tc>
        <w:tc>
          <w:tcPr>
            <w:tcW w:w="508" w:type="pct"/>
            <w:shd w:val="clear" w:color="auto" w:fill="auto"/>
            <w:noWrap/>
            <w:vAlign w:val="center"/>
          </w:tcPr>
          <w:p>
            <w:pPr>
              <w:pStyle w:val="136"/>
            </w:pPr>
            <w:r>
              <w:t>26.54</w:t>
            </w:r>
          </w:p>
        </w:tc>
        <w:tc>
          <w:tcPr>
            <w:tcW w:w="431" w:type="pct"/>
            <w:shd w:val="clear" w:color="auto" w:fill="auto"/>
            <w:noWrap/>
            <w:vAlign w:val="center"/>
          </w:tcPr>
          <w:p>
            <w:pPr>
              <w:pStyle w:val="136"/>
            </w:pPr>
            <w:r>
              <w:t>17.7</w:t>
            </w:r>
          </w:p>
        </w:tc>
        <w:tc>
          <w:tcPr>
            <w:tcW w:w="508" w:type="pct"/>
            <w:shd w:val="clear" w:color="auto" w:fill="auto"/>
            <w:noWrap/>
            <w:vAlign w:val="center"/>
          </w:tcPr>
          <w:p>
            <w:pPr>
              <w:pStyle w:val="136"/>
            </w:pPr>
            <w:r>
              <w:t>8.85</w:t>
            </w:r>
          </w:p>
        </w:tc>
        <w:tc>
          <w:tcPr>
            <w:tcW w:w="586" w:type="pct"/>
            <w:shd w:val="clear" w:color="auto" w:fill="auto"/>
            <w:noWrap/>
            <w:vAlign w:val="center"/>
          </w:tcPr>
          <w:p>
            <w:pPr>
              <w:pStyle w:val="136"/>
            </w:pPr>
            <w:r>
              <w:t>141.57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9" w:type="pct"/>
            <w:shd w:val="clear" w:color="auto" w:fill="auto"/>
            <w:noWrap/>
            <w:vAlign w:val="center"/>
          </w:tcPr>
          <w:p>
            <w:pPr>
              <w:pStyle w:val="136"/>
            </w:pPr>
            <w:r>
              <w:t>合计</w:t>
            </w:r>
          </w:p>
        </w:tc>
        <w:tc>
          <w:tcPr>
            <w:tcW w:w="431" w:type="pct"/>
            <w:shd w:val="clear" w:color="auto" w:fill="auto"/>
            <w:noWrap/>
            <w:vAlign w:val="center"/>
          </w:tcPr>
          <w:p>
            <w:pPr>
              <w:pStyle w:val="136"/>
            </w:pPr>
            <w:r>
              <w:t>8.85</w:t>
            </w:r>
          </w:p>
        </w:tc>
        <w:tc>
          <w:tcPr>
            <w:tcW w:w="431" w:type="pct"/>
            <w:shd w:val="clear" w:color="auto" w:fill="auto"/>
            <w:noWrap/>
            <w:vAlign w:val="center"/>
          </w:tcPr>
          <w:p>
            <w:pPr>
              <w:pStyle w:val="136"/>
            </w:pPr>
            <w:r>
              <w:t>61.3</w:t>
            </w:r>
          </w:p>
        </w:tc>
        <w:tc>
          <w:tcPr>
            <w:tcW w:w="508" w:type="pct"/>
            <w:shd w:val="clear" w:color="auto" w:fill="auto"/>
            <w:noWrap/>
            <w:vAlign w:val="center"/>
          </w:tcPr>
          <w:p>
            <w:pPr>
              <w:pStyle w:val="136"/>
            </w:pPr>
            <w:r>
              <w:t>70.14</w:t>
            </w:r>
          </w:p>
        </w:tc>
        <w:tc>
          <w:tcPr>
            <w:tcW w:w="508" w:type="pct"/>
            <w:shd w:val="clear" w:color="auto" w:fill="auto"/>
            <w:noWrap/>
            <w:vAlign w:val="center"/>
          </w:tcPr>
          <w:p>
            <w:pPr>
              <w:pStyle w:val="136"/>
            </w:pPr>
            <w:r>
              <w:t>78.99</w:t>
            </w:r>
          </w:p>
        </w:tc>
        <w:tc>
          <w:tcPr>
            <w:tcW w:w="508" w:type="pct"/>
            <w:shd w:val="clear" w:color="auto" w:fill="auto"/>
            <w:noWrap/>
            <w:vAlign w:val="center"/>
          </w:tcPr>
          <w:p>
            <w:pPr>
              <w:pStyle w:val="136"/>
            </w:pPr>
            <w:r>
              <w:t>70.14</w:t>
            </w:r>
          </w:p>
        </w:tc>
        <w:tc>
          <w:tcPr>
            <w:tcW w:w="431" w:type="pct"/>
            <w:shd w:val="clear" w:color="auto" w:fill="auto"/>
            <w:noWrap/>
            <w:vAlign w:val="center"/>
          </w:tcPr>
          <w:p>
            <w:pPr>
              <w:pStyle w:val="136"/>
            </w:pPr>
            <w:r>
              <w:t>61.3</w:t>
            </w:r>
          </w:p>
        </w:tc>
        <w:tc>
          <w:tcPr>
            <w:tcW w:w="508" w:type="pct"/>
            <w:shd w:val="clear" w:color="auto" w:fill="auto"/>
            <w:noWrap/>
            <w:vAlign w:val="center"/>
          </w:tcPr>
          <w:p>
            <w:pPr>
              <w:pStyle w:val="136"/>
            </w:pPr>
            <w:r>
              <w:t>8.85</w:t>
            </w:r>
          </w:p>
        </w:tc>
        <w:tc>
          <w:tcPr>
            <w:tcW w:w="586" w:type="pct"/>
            <w:shd w:val="clear" w:color="auto" w:fill="auto"/>
            <w:noWrap/>
            <w:vAlign w:val="center"/>
          </w:tcPr>
          <w:p>
            <w:pPr>
              <w:pStyle w:val="136"/>
            </w:pPr>
            <w:r>
              <w:t>359.57</w:t>
            </w:r>
          </w:p>
        </w:tc>
      </w:tr>
    </w:tbl>
    <w:p>
      <w:pPr>
        <w:ind w:firstLine="480"/>
        <w:rPr>
          <w:rFonts w:cs="Times New Roman"/>
        </w:rPr>
      </w:pPr>
    </w:p>
    <w:p>
      <w:pPr>
        <w:ind w:firstLine="480"/>
        <w:rPr>
          <w:rFonts w:cs="Times New Roman"/>
        </w:rPr>
      </w:pPr>
      <w:r>
        <w:rPr>
          <w:rFonts w:cs="Times New Roman"/>
        </w:rPr>
        <w:t>设计水平年代尔昆代郭勒河水资源配置建表5.1-2。由表可知，代尔昆代水库建成后，代尔昆代郭勒河水资源利用上升，河道下泄水量有所减少。</w:t>
      </w:r>
    </w:p>
    <w:p>
      <w:pPr>
        <w:ind w:firstLine="480"/>
        <w:rPr>
          <w:rFonts w:cs="Times New Roman"/>
        </w:rPr>
      </w:pPr>
      <w:r>
        <w:rPr>
          <w:rFonts w:cs="Times New Roman"/>
        </w:rPr>
        <w:t>设计水平年代尔昆代水库建成后，代尔昆代郭勒河水资源利用</w:t>
      </w:r>
      <w:r>
        <w:rPr>
          <w:rFonts w:hint="eastAsia" w:cs="Times New Roman"/>
          <w:lang w:eastAsia="zh-CN"/>
        </w:rPr>
        <w:t>将</w:t>
      </w:r>
      <w:r>
        <w:rPr>
          <w:rFonts w:cs="Times New Roman"/>
        </w:rPr>
        <w:t>达43%（多年平均地表水资源量834万m</w:t>
      </w:r>
      <w:r>
        <w:rPr>
          <w:rFonts w:cs="Times New Roman"/>
          <w:vertAlign w:val="superscript"/>
        </w:rPr>
        <w:t>3</w:t>
      </w:r>
      <w:r>
        <w:rPr>
          <w:rFonts w:cs="Times New Roman"/>
        </w:rPr>
        <w:t>）。</w:t>
      </w:r>
    </w:p>
    <w:p>
      <w:pPr>
        <w:pStyle w:val="137"/>
        <w:spacing w:before="62"/>
      </w:pPr>
      <w:r>
        <w:t>表5.1-2         设计水平年代尔昆代郭勒河水资源配置表         单位：万m</w:t>
      </w:r>
      <w:r>
        <w:rPr>
          <w:vertAlign w:val="superscript"/>
        </w:rPr>
        <w:t>3</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2116"/>
        <w:gridCol w:w="1947"/>
        <w:gridCol w:w="1947"/>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3" w:type="pct"/>
            <w:shd w:val="clear" w:color="auto" w:fill="auto"/>
            <w:noWrap/>
            <w:vAlign w:val="center"/>
          </w:tcPr>
          <w:p>
            <w:pPr>
              <w:pStyle w:val="136"/>
            </w:pPr>
            <w:r>
              <w:t>来水频率</w:t>
            </w:r>
          </w:p>
        </w:tc>
        <w:tc>
          <w:tcPr>
            <w:tcW w:w="1113" w:type="pct"/>
            <w:shd w:val="clear" w:color="auto" w:fill="auto"/>
            <w:noWrap/>
            <w:vAlign w:val="center"/>
          </w:tcPr>
          <w:p>
            <w:pPr>
              <w:pStyle w:val="136"/>
            </w:pPr>
            <w:r>
              <w:t>代尔昆代郭勒河流水量</w:t>
            </w:r>
          </w:p>
        </w:tc>
        <w:tc>
          <w:tcPr>
            <w:tcW w:w="1055" w:type="pct"/>
            <w:shd w:val="clear" w:color="auto" w:fill="auto"/>
            <w:noWrap/>
            <w:vAlign w:val="center"/>
          </w:tcPr>
          <w:p>
            <w:pPr>
              <w:pStyle w:val="136"/>
            </w:pPr>
            <w:r>
              <w:t>向淖毛湖地区供水量</w:t>
            </w:r>
          </w:p>
        </w:tc>
        <w:tc>
          <w:tcPr>
            <w:tcW w:w="1055" w:type="pct"/>
            <w:shd w:val="clear" w:color="auto" w:fill="auto"/>
            <w:noWrap/>
            <w:vAlign w:val="center"/>
          </w:tcPr>
          <w:p>
            <w:pPr>
              <w:pStyle w:val="136"/>
            </w:pPr>
            <w:r>
              <w:t>余水量</w:t>
            </w:r>
          </w:p>
        </w:tc>
        <w:tc>
          <w:tcPr>
            <w:tcW w:w="1055" w:type="pct"/>
          </w:tcPr>
          <w:p>
            <w:pPr>
              <w:pStyle w:val="136"/>
            </w:pPr>
            <w:r>
              <w:t>水资源利用率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3" w:type="pct"/>
            <w:shd w:val="clear" w:color="auto" w:fill="auto"/>
            <w:noWrap/>
            <w:vAlign w:val="center"/>
          </w:tcPr>
          <w:p>
            <w:pPr>
              <w:pStyle w:val="136"/>
            </w:pPr>
            <w:r>
              <w:t>P=50%</w:t>
            </w:r>
          </w:p>
        </w:tc>
        <w:tc>
          <w:tcPr>
            <w:tcW w:w="1113" w:type="pct"/>
            <w:shd w:val="clear" w:color="auto" w:fill="auto"/>
            <w:noWrap/>
            <w:vAlign w:val="center"/>
          </w:tcPr>
          <w:p>
            <w:pPr>
              <w:pStyle w:val="136"/>
            </w:pPr>
            <w:r>
              <w:t>779.7</w:t>
            </w:r>
          </w:p>
        </w:tc>
        <w:tc>
          <w:tcPr>
            <w:tcW w:w="1055" w:type="pct"/>
            <w:shd w:val="clear" w:color="auto" w:fill="auto"/>
            <w:noWrap/>
          </w:tcPr>
          <w:p>
            <w:pPr>
              <w:pStyle w:val="136"/>
            </w:pPr>
            <w:r>
              <w:t>359.57</w:t>
            </w:r>
          </w:p>
        </w:tc>
        <w:tc>
          <w:tcPr>
            <w:tcW w:w="1055" w:type="pct"/>
            <w:shd w:val="clear" w:color="auto" w:fill="auto"/>
            <w:noWrap/>
            <w:vAlign w:val="center"/>
          </w:tcPr>
          <w:p>
            <w:pPr>
              <w:pStyle w:val="136"/>
            </w:pPr>
            <w:r>
              <w:t>395.26</w:t>
            </w:r>
          </w:p>
        </w:tc>
        <w:tc>
          <w:tcPr>
            <w:tcW w:w="1055" w:type="pct"/>
          </w:tcPr>
          <w:p>
            <w:pPr>
              <w:pStyle w:val="136"/>
            </w:pPr>
            <w: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3" w:type="pct"/>
            <w:shd w:val="clear" w:color="auto" w:fill="auto"/>
            <w:noWrap/>
            <w:vAlign w:val="center"/>
          </w:tcPr>
          <w:p>
            <w:pPr>
              <w:pStyle w:val="136"/>
            </w:pPr>
            <w:r>
              <w:t>P=85%</w:t>
            </w:r>
          </w:p>
        </w:tc>
        <w:tc>
          <w:tcPr>
            <w:tcW w:w="1113" w:type="pct"/>
            <w:shd w:val="clear" w:color="auto" w:fill="auto"/>
            <w:noWrap/>
            <w:vAlign w:val="center"/>
          </w:tcPr>
          <w:p>
            <w:pPr>
              <w:pStyle w:val="136"/>
            </w:pPr>
            <w:r>
              <w:t>507</w:t>
            </w:r>
          </w:p>
        </w:tc>
        <w:tc>
          <w:tcPr>
            <w:tcW w:w="1055" w:type="pct"/>
            <w:shd w:val="clear" w:color="auto" w:fill="auto"/>
            <w:noWrap/>
          </w:tcPr>
          <w:p>
            <w:pPr>
              <w:pStyle w:val="136"/>
            </w:pPr>
            <w:r>
              <w:t>359.57</w:t>
            </w:r>
          </w:p>
        </w:tc>
        <w:tc>
          <w:tcPr>
            <w:tcW w:w="1055" w:type="pct"/>
            <w:shd w:val="clear" w:color="auto" w:fill="auto"/>
            <w:noWrap/>
            <w:vAlign w:val="center"/>
          </w:tcPr>
          <w:p>
            <w:pPr>
              <w:pStyle w:val="136"/>
            </w:pPr>
            <w:r>
              <w:t>120.74</w:t>
            </w:r>
          </w:p>
        </w:tc>
        <w:tc>
          <w:tcPr>
            <w:tcW w:w="1055" w:type="pct"/>
          </w:tcPr>
          <w:p>
            <w:pPr>
              <w:pStyle w:val="136"/>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3" w:type="pct"/>
            <w:shd w:val="clear" w:color="auto" w:fill="auto"/>
            <w:noWrap/>
            <w:vAlign w:val="center"/>
          </w:tcPr>
          <w:p>
            <w:pPr>
              <w:pStyle w:val="136"/>
            </w:pPr>
            <w:r>
              <w:t>P=95%</w:t>
            </w:r>
          </w:p>
        </w:tc>
        <w:tc>
          <w:tcPr>
            <w:tcW w:w="1113" w:type="pct"/>
            <w:shd w:val="clear" w:color="auto" w:fill="auto"/>
            <w:noWrap/>
            <w:vAlign w:val="center"/>
          </w:tcPr>
          <w:p>
            <w:pPr>
              <w:pStyle w:val="136"/>
            </w:pPr>
            <w:r>
              <w:t>394</w:t>
            </w:r>
          </w:p>
        </w:tc>
        <w:tc>
          <w:tcPr>
            <w:tcW w:w="1055" w:type="pct"/>
            <w:shd w:val="clear" w:color="auto" w:fill="auto"/>
            <w:noWrap/>
            <w:vAlign w:val="center"/>
          </w:tcPr>
          <w:p>
            <w:pPr>
              <w:pStyle w:val="136"/>
            </w:pPr>
            <w:r>
              <w:t>359.57</w:t>
            </w:r>
          </w:p>
        </w:tc>
        <w:tc>
          <w:tcPr>
            <w:tcW w:w="1055" w:type="pct"/>
            <w:shd w:val="clear" w:color="auto" w:fill="auto"/>
            <w:noWrap/>
            <w:vAlign w:val="center"/>
          </w:tcPr>
          <w:p>
            <w:pPr>
              <w:pStyle w:val="136"/>
            </w:pPr>
            <w:r>
              <w:t>6.64</w:t>
            </w:r>
          </w:p>
        </w:tc>
        <w:tc>
          <w:tcPr>
            <w:tcW w:w="1055" w:type="pct"/>
          </w:tcPr>
          <w:p>
            <w:pPr>
              <w:pStyle w:val="136"/>
            </w:pPr>
            <w:r>
              <w:t>91%</w:t>
            </w:r>
          </w:p>
        </w:tc>
      </w:tr>
    </w:tbl>
    <w:p>
      <w:pPr>
        <w:pStyle w:val="113"/>
        <w:ind w:firstLine="180"/>
      </w:pPr>
      <w:r>
        <w:t>注：表中余水包含生态水量（83.44万m</w:t>
      </w:r>
      <w:r>
        <w:rPr>
          <w:vertAlign w:val="superscript"/>
        </w:rPr>
        <w:t>3</w:t>
      </w:r>
      <w:r>
        <w:t>），同时扣除代尔昆代水库蒸发渗漏损失。</w:t>
      </w:r>
    </w:p>
    <w:p>
      <w:pPr>
        <w:ind w:firstLine="480"/>
        <w:rPr>
          <w:rFonts w:cs="Times New Roman"/>
        </w:rPr>
      </w:pPr>
    </w:p>
    <w:p>
      <w:pPr>
        <w:pStyle w:val="3"/>
        <w:rPr>
          <w:rFonts w:cs="Times New Roman"/>
        </w:rPr>
      </w:pPr>
      <w:bookmarkStart w:id="115" w:name="_Toc181381614"/>
      <w:r>
        <w:rPr>
          <w:rFonts w:cs="Times New Roman"/>
        </w:rPr>
        <w:t>5.2 对水文情势的影响</w:t>
      </w:r>
      <w:bookmarkEnd w:id="114"/>
      <w:bookmarkEnd w:id="115"/>
    </w:p>
    <w:p>
      <w:pPr>
        <w:pStyle w:val="4"/>
        <w:rPr>
          <w:rFonts w:cs="Times New Roman"/>
        </w:rPr>
      </w:pPr>
      <w:r>
        <w:rPr>
          <w:rFonts w:cs="Times New Roman"/>
        </w:rPr>
        <w:t>5.2.1 施工期对水文情势的影响</w:t>
      </w:r>
    </w:p>
    <w:p>
      <w:pPr>
        <w:ind w:firstLine="480"/>
        <w:rPr>
          <w:rFonts w:cs="Times New Roman"/>
        </w:rPr>
      </w:pPr>
      <w:r>
        <w:rPr>
          <w:rFonts w:cs="Times New Roman"/>
        </w:rPr>
        <w:t>代尔昆代水库工程采用围堰一次性拦断河床，导流兼泄洪洞导流的方式，导流洞布置在左岸。施工期第一年4月上旬进行导流洞施工，9月中旬前导流洞具有备过水条件，断面过流逐渐由原河床导流过渡为导流洞泄流，下泄流量为河道天然来流量，故截流期间对下游水文情势无影响。</w:t>
      </w:r>
    </w:p>
    <w:p>
      <w:pPr>
        <w:ind w:firstLine="480"/>
        <w:rPr>
          <w:rFonts w:cs="Times New Roman"/>
        </w:rPr>
      </w:pPr>
      <w:r>
        <w:rPr>
          <w:rFonts w:cs="Times New Roman"/>
        </w:rPr>
        <w:t>本工程拟于施工期第一年9月中旬进行截流，截流采取上游围堰立堵方式截流，截流流量选用5年一遇月平均流量为0.17m</w:t>
      </w:r>
      <w:r>
        <w:rPr>
          <w:rFonts w:cs="Times New Roman"/>
          <w:vertAlign w:val="superscript"/>
        </w:rPr>
        <w:t>3</w:t>
      </w:r>
      <w:r>
        <w:rPr>
          <w:rFonts w:cs="Times New Roman"/>
        </w:rPr>
        <w:t>/s。截流期间，河道水位逐渐</w:t>
      </w:r>
      <w:r>
        <w:rPr>
          <w:rFonts w:hint="eastAsia" w:cs="Times New Roman"/>
          <w:lang w:eastAsia="zh-CN"/>
        </w:rPr>
        <w:t>升</w:t>
      </w:r>
      <w:r>
        <w:rPr>
          <w:rFonts w:cs="Times New Roman"/>
        </w:rPr>
        <w:t>高，经计算，截流完成后上游河流水位可雍高至导流洞进口底板高程拔1951.00m，截流后采用围堰全面断流，左岸导流隧洞导流的导流方案。施工期第一年4月~9月利用原河床导流；施工期第一年9月～施工期第二年11月由围堰挡水，导流放水洞过流；施工期第三年4月1日～7月（工程完工期间）由坝体临时挡水，导流洞过流，下泄流量均为河道上游来水量，对下游河段水文情势无影响。</w:t>
      </w:r>
    </w:p>
    <w:p>
      <w:pPr>
        <w:pStyle w:val="4"/>
        <w:rPr>
          <w:rFonts w:cs="Times New Roman"/>
        </w:rPr>
      </w:pPr>
      <w:r>
        <w:rPr>
          <w:rFonts w:cs="Times New Roman"/>
        </w:rPr>
        <w:t>5.2.2 初期蓄水对水文情势的影响</w:t>
      </w:r>
    </w:p>
    <w:p>
      <w:pPr>
        <w:ind w:firstLine="480"/>
        <w:rPr>
          <w:rFonts w:cs="Times New Roman"/>
        </w:rPr>
      </w:pPr>
      <w:r>
        <w:rPr>
          <w:rFonts w:cs="Times New Roman"/>
        </w:rPr>
        <w:t>根据本阶段施工进度安排，工程拟于施工期第三年9月初开始下闸蓄水，起蓄水位为1947.00m，按设计频率95%来水调节计算，历时24天蓄至死水位1960.0m，历时200天（次年3月19日）蓄水到1979.60m，历时242天蓄水至正常蓄水位1981.24m；期间，水库通过导流洞或放水管放水，以满足生态流量及供水要求。</w:t>
      </w:r>
    </w:p>
    <w:p>
      <w:pPr>
        <w:ind w:firstLine="480"/>
        <w:rPr>
          <w:rFonts w:cs="Times New Roman"/>
        </w:rPr>
      </w:pPr>
      <w:r>
        <w:rPr>
          <w:rFonts w:cs="Times New Roman"/>
        </w:rPr>
        <w:t>蓄水原则为：当天然来水大于下游综合用水要求时，水库进行蓄水；在水库正常发挥效益前，天然来水小于下游用水要求时，水库按来水要求放水。水库蓄水至供水水位1960m之前，若来水小于下游用水，则水库维持该水位不变，不加大供水；当蓄水水位高于洪水水位，按下游供水要求供水。控制日蓄水高度不超2m。对工程进行全面观测，确保水库蓄水安全，如若发现安全隐患，立即停止蓄水。</w:t>
      </w:r>
    </w:p>
    <w:p>
      <w:pPr>
        <w:ind w:firstLine="480"/>
        <w:rPr>
          <w:rFonts w:cs="Times New Roman"/>
        </w:rPr>
      </w:pPr>
      <w:r>
        <w:rPr>
          <w:rFonts w:cs="Times New Roman"/>
        </w:rPr>
        <w:t>初期蓄水期间，不同来水频率下，代尔昆代水库坝址断面流量变化见表5.2-1。</w:t>
      </w:r>
    </w:p>
    <w:p>
      <w:pPr>
        <w:pStyle w:val="137"/>
        <w:spacing w:before="62"/>
      </w:pPr>
      <w:r>
        <w:t>表5.2-1      不同来水频率下初期蓄水期水库坝址断面流量变化    单位：m</w:t>
      </w:r>
      <w:r>
        <w:rPr>
          <w:vertAlign w:val="superscript"/>
        </w:rPr>
        <w:t>3</w:t>
      </w:r>
      <w:r>
        <w:t>/s</w:t>
      </w:r>
    </w:p>
    <w:tbl>
      <w:tblPr>
        <w:tblStyle w:val="40"/>
        <w:tblW w:w="50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961"/>
        <w:gridCol w:w="961"/>
        <w:gridCol w:w="962"/>
        <w:gridCol w:w="962"/>
        <w:gridCol w:w="962"/>
        <w:gridCol w:w="962"/>
        <w:gridCol w:w="963"/>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919" w:type="pct"/>
            <w:vMerge w:val="restart"/>
            <w:shd w:val="clear" w:color="auto" w:fill="auto"/>
            <w:vAlign w:val="center"/>
          </w:tcPr>
          <w:p>
            <w:pPr>
              <w:pStyle w:val="136"/>
            </w:pPr>
            <w:r>
              <w:t>月份</w:t>
            </w:r>
          </w:p>
        </w:tc>
        <w:tc>
          <w:tcPr>
            <w:tcW w:w="4081" w:type="pct"/>
            <w:gridSpan w:val="8"/>
            <w:shd w:val="clear" w:color="auto" w:fill="auto"/>
            <w:vAlign w:val="center"/>
          </w:tcPr>
          <w:p>
            <w:pPr>
              <w:pStyle w:val="136"/>
            </w:pPr>
            <w:r>
              <w:t>施工第三年～第四年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919" w:type="pct"/>
            <w:vMerge w:val="continue"/>
            <w:vAlign w:val="center"/>
          </w:tcPr>
          <w:p>
            <w:pPr>
              <w:pStyle w:val="136"/>
            </w:pPr>
          </w:p>
        </w:tc>
        <w:tc>
          <w:tcPr>
            <w:tcW w:w="509" w:type="pct"/>
            <w:shd w:val="clear" w:color="auto" w:fill="auto"/>
            <w:vAlign w:val="center"/>
          </w:tcPr>
          <w:p>
            <w:pPr>
              <w:pStyle w:val="136"/>
            </w:pPr>
            <w:r>
              <w:t>9月</w:t>
            </w:r>
          </w:p>
        </w:tc>
        <w:tc>
          <w:tcPr>
            <w:tcW w:w="509" w:type="pct"/>
            <w:shd w:val="clear" w:color="auto" w:fill="auto"/>
            <w:vAlign w:val="center"/>
          </w:tcPr>
          <w:p>
            <w:pPr>
              <w:pStyle w:val="136"/>
            </w:pPr>
            <w:r>
              <w:t>10月</w:t>
            </w:r>
          </w:p>
        </w:tc>
        <w:tc>
          <w:tcPr>
            <w:tcW w:w="510" w:type="pct"/>
            <w:shd w:val="clear" w:color="auto" w:fill="auto"/>
            <w:vAlign w:val="center"/>
          </w:tcPr>
          <w:p>
            <w:pPr>
              <w:pStyle w:val="136"/>
            </w:pPr>
            <w:r>
              <w:t>11月</w:t>
            </w:r>
          </w:p>
        </w:tc>
        <w:tc>
          <w:tcPr>
            <w:tcW w:w="510" w:type="pct"/>
            <w:shd w:val="clear" w:color="auto" w:fill="auto"/>
            <w:vAlign w:val="center"/>
          </w:tcPr>
          <w:p>
            <w:pPr>
              <w:pStyle w:val="136"/>
            </w:pPr>
            <w:r>
              <w:t>12月</w:t>
            </w:r>
          </w:p>
        </w:tc>
        <w:tc>
          <w:tcPr>
            <w:tcW w:w="510" w:type="pct"/>
            <w:shd w:val="clear" w:color="auto" w:fill="auto"/>
            <w:vAlign w:val="center"/>
          </w:tcPr>
          <w:p>
            <w:pPr>
              <w:pStyle w:val="136"/>
            </w:pPr>
            <w:r>
              <w:t>1月</w:t>
            </w:r>
          </w:p>
        </w:tc>
        <w:tc>
          <w:tcPr>
            <w:tcW w:w="510" w:type="pct"/>
            <w:shd w:val="clear" w:color="auto" w:fill="auto"/>
            <w:vAlign w:val="center"/>
          </w:tcPr>
          <w:p>
            <w:pPr>
              <w:pStyle w:val="136"/>
            </w:pPr>
            <w:r>
              <w:t>2月</w:t>
            </w:r>
          </w:p>
        </w:tc>
        <w:tc>
          <w:tcPr>
            <w:tcW w:w="510" w:type="pct"/>
            <w:shd w:val="clear" w:color="auto" w:fill="auto"/>
            <w:vAlign w:val="center"/>
          </w:tcPr>
          <w:p>
            <w:pPr>
              <w:pStyle w:val="136"/>
            </w:pPr>
            <w:r>
              <w:t>3月</w:t>
            </w:r>
          </w:p>
        </w:tc>
        <w:tc>
          <w:tcPr>
            <w:tcW w:w="513" w:type="pct"/>
            <w:shd w:val="clear" w:color="auto" w:fill="auto"/>
            <w:vAlign w:val="center"/>
          </w:tcPr>
          <w:p>
            <w:pPr>
              <w:pStyle w:val="136"/>
            </w:pPr>
            <w:r>
              <w:t>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9"/>
            <w:shd w:val="clear" w:color="auto" w:fill="auto"/>
            <w:vAlign w:val="center"/>
          </w:tcPr>
          <w:p>
            <w:pPr>
              <w:pStyle w:val="136"/>
            </w:pPr>
            <w:r>
              <w:t>P=50%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天然来流流量</w:t>
            </w:r>
            <w:r>
              <w:rPr>
                <w:rFonts w:hint="eastAsia" w:ascii="宋体" w:hAnsi="宋体" w:cs="宋体"/>
              </w:rPr>
              <w:t>①</w:t>
            </w:r>
          </w:p>
        </w:tc>
        <w:tc>
          <w:tcPr>
            <w:tcW w:w="509" w:type="pct"/>
            <w:shd w:val="clear" w:color="auto" w:fill="auto"/>
            <w:vAlign w:val="center"/>
          </w:tcPr>
          <w:p>
            <w:pPr>
              <w:pStyle w:val="136"/>
            </w:pPr>
            <w:r>
              <w:t>0.2014</w:t>
            </w:r>
          </w:p>
        </w:tc>
        <w:tc>
          <w:tcPr>
            <w:tcW w:w="509" w:type="pct"/>
            <w:shd w:val="clear" w:color="auto" w:fill="auto"/>
            <w:vAlign w:val="center"/>
          </w:tcPr>
          <w:p>
            <w:pPr>
              <w:pStyle w:val="136"/>
            </w:pPr>
            <w:r>
              <w:t>0.1874</w:t>
            </w:r>
          </w:p>
        </w:tc>
        <w:tc>
          <w:tcPr>
            <w:tcW w:w="510" w:type="pct"/>
            <w:shd w:val="clear" w:color="auto" w:fill="auto"/>
            <w:vAlign w:val="center"/>
          </w:tcPr>
          <w:p>
            <w:pPr>
              <w:pStyle w:val="136"/>
            </w:pPr>
            <w:r>
              <w:t>0.1956</w:t>
            </w:r>
          </w:p>
        </w:tc>
        <w:tc>
          <w:tcPr>
            <w:tcW w:w="510" w:type="pct"/>
            <w:shd w:val="clear" w:color="auto" w:fill="auto"/>
            <w:vAlign w:val="center"/>
          </w:tcPr>
          <w:p>
            <w:pPr>
              <w:pStyle w:val="136"/>
            </w:pPr>
            <w:r>
              <w:t>0.1549</w:t>
            </w:r>
          </w:p>
        </w:tc>
        <w:tc>
          <w:tcPr>
            <w:tcW w:w="510" w:type="pct"/>
            <w:shd w:val="clear" w:color="auto" w:fill="auto"/>
            <w:vAlign w:val="center"/>
          </w:tcPr>
          <w:p>
            <w:pPr>
              <w:pStyle w:val="136"/>
            </w:pPr>
            <w:r>
              <w:t>0.1475</w:t>
            </w:r>
          </w:p>
        </w:tc>
        <w:tc>
          <w:tcPr>
            <w:tcW w:w="510" w:type="pct"/>
            <w:shd w:val="clear" w:color="auto" w:fill="auto"/>
            <w:vAlign w:val="center"/>
          </w:tcPr>
          <w:p>
            <w:pPr>
              <w:pStyle w:val="136"/>
            </w:pPr>
            <w:r>
              <w:t>0.1662</w:t>
            </w:r>
          </w:p>
        </w:tc>
        <w:tc>
          <w:tcPr>
            <w:tcW w:w="510" w:type="pct"/>
            <w:shd w:val="clear" w:color="auto" w:fill="auto"/>
            <w:vAlign w:val="center"/>
          </w:tcPr>
          <w:p>
            <w:pPr>
              <w:pStyle w:val="136"/>
            </w:pPr>
            <w:r>
              <w:t>0.1427</w:t>
            </w:r>
          </w:p>
        </w:tc>
        <w:tc>
          <w:tcPr>
            <w:tcW w:w="513" w:type="pct"/>
            <w:shd w:val="clear" w:color="auto" w:fill="auto"/>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灌区需水</w:t>
            </w:r>
          </w:p>
        </w:tc>
        <w:tc>
          <w:tcPr>
            <w:tcW w:w="509" w:type="pct"/>
            <w:shd w:val="clear" w:color="auto" w:fill="auto"/>
            <w:vAlign w:val="center"/>
          </w:tcPr>
          <w:p>
            <w:pPr>
              <w:pStyle w:val="136"/>
            </w:pPr>
            <w:r>
              <w:t>0</w:t>
            </w:r>
          </w:p>
        </w:tc>
        <w:tc>
          <w:tcPr>
            <w:tcW w:w="509"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3" w:type="pct"/>
            <w:shd w:val="clear" w:color="auto" w:fill="auto"/>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出库流量</w:t>
            </w:r>
            <w:r>
              <w:rPr>
                <w:rFonts w:hint="eastAsia" w:ascii="宋体" w:hAnsi="宋体" w:cs="宋体"/>
              </w:rPr>
              <w:t>②</w:t>
            </w:r>
          </w:p>
        </w:tc>
        <w:tc>
          <w:tcPr>
            <w:tcW w:w="509" w:type="pct"/>
            <w:shd w:val="clear" w:color="auto" w:fill="auto"/>
            <w:vAlign w:val="center"/>
          </w:tcPr>
          <w:p>
            <w:pPr>
              <w:pStyle w:val="136"/>
            </w:pPr>
            <w:r>
              <w:t>0.0263</w:t>
            </w:r>
          </w:p>
        </w:tc>
        <w:tc>
          <w:tcPr>
            <w:tcW w:w="509" w:type="pct"/>
            <w:shd w:val="clear" w:color="auto" w:fill="auto"/>
            <w:vAlign w:val="center"/>
          </w:tcPr>
          <w:p>
            <w:pPr>
              <w:pStyle w:val="136"/>
            </w:pPr>
            <w:r>
              <w:t>0.0226</w:t>
            </w:r>
          </w:p>
        </w:tc>
        <w:tc>
          <w:tcPr>
            <w:tcW w:w="510" w:type="pct"/>
            <w:shd w:val="clear" w:color="auto" w:fill="auto"/>
            <w:vAlign w:val="center"/>
          </w:tcPr>
          <w:p>
            <w:pPr>
              <w:pStyle w:val="136"/>
            </w:pPr>
            <w:r>
              <w:t>0.0213</w:t>
            </w:r>
          </w:p>
        </w:tc>
        <w:tc>
          <w:tcPr>
            <w:tcW w:w="510" w:type="pct"/>
            <w:shd w:val="clear" w:color="auto" w:fill="auto"/>
            <w:vAlign w:val="center"/>
          </w:tcPr>
          <w:p>
            <w:pPr>
              <w:pStyle w:val="136"/>
            </w:pPr>
            <w:r>
              <w:t>0.0187</w:t>
            </w:r>
          </w:p>
        </w:tc>
        <w:tc>
          <w:tcPr>
            <w:tcW w:w="510" w:type="pct"/>
            <w:shd w:val="clear" w:color="auto" w:fill="auto"/>
            <w:vAlign w:val="center"/>
          </w:tcPr>
          <w:p>
            <w:pPr>
              <w:pStyle w:val="136"/>
            </w:pPr>
            <w:r>
              <w:t>0.017</w:t>
            </w:r>
          </w:p>
        </w:tc>
        <w:tc>
          <w:tcPr>
            <w:tcW w:w="510" w:type="pct"/>
            <w:shd w:val="clear" w:color="auto" w:fill="auto"/>
            <w:vAlign w:val="center"/>
          </w:tcPr>
          <w:p>
            <w:pPr>
              <w:pStyle w:val="136"/>
            </w:pPr>
            <w:r>
              <w:t>0.0183</w:t>
            </w:r>
          </w:p>
        </w:tc>
        <w:tc>
          <w:tcPr>
            <w:tcW w:w="510" w:type="pct"/>
            <w:shd w:val="clear" w:color="auto" w:fill="auto"/>
            <w:vAlign w:val="center"/>
          </w:tcPr>
          <w:p>
            <w:pPr>
              <w:pStyle w:val="136"/>
            </w:pPr>
            <w:r>
              <w:t>0.0414</w:t>
            </w:r>
          </w:p>
        </w:tc>
        <w:tc>
          <w:tcPr>
            <w:tcW w:w="513" w:type="pct"/>
            <w:shd w:val="clear" w:color="auto" w:fill="auto"/>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蓄水量（</w:t>
            </w:r>
            <w:r>
              <w:rPr>
                <w:rFonts w:hint="eastAsia" w:ascii="宋体" w:hAnsi="宋体" w:cs="宋体"/>
              </w:rPr>
              <w:t>①</w:t>
            </w:r>
            <w:r>
              <w:t>-</w:t>
            </w:r>
            <w:r>
              <w:rPr>
                <w:rFonts w:hint="eastAsia" w:ascii="宋体" w:hAnsi="宋体" w:cs="宋体"/>
              </w:rPr>
              <w:t>②</w:t>
            </w:r>
            <w:r>
              <w:t>）</w:t>
            </w:r>
          </w:p>
        </w:tc>
        <w:tc>
          <w:tcPr>
            <w:tcW w:w="509" w:type="pct"/>
            <w:shd w:val="clear" w:color="auto" w:fill="auto"/>
            <w:vAlign w:val="center"/>
          </w:tcPr>
          <w:p>
            <w:pPr>
              <w:pStyle w:val="136"/>
            </w:pPr>
            <w:r>
              <w:t>0.1751</w:t>
            </w:r>
          </w:p>
        </w:tc>
        <w:tc>
          <w:tcPr>
            <w:tcW w:w="509" w:type="pct"/>
            <w:shd w:val="clear" w:color="auto" w:fill="auto"/>
            <w:vAlign w:val="center"/>
          </w:tcPr>
          <w:p>
            <w:pPr>
              <w:pStyle w:val="136"/>
            </w:pPr>
            <w:r>
              <w:t>0.1648</w:t>
            </w:r>
          </w:p>
        </w:tc>
        <w:tc>
          <w:tcPr>
            <w:tcW w:w="510" w:type="pct"/>
            <w:shd w:val="clear" w:color="auto" w:fill="auto"/>
            <w:vAlign w:val="center"/>
          </w:tcPr>
          <w:p>
            <w:pPr>
              <w:pStyle w:val="136"/>
            </w:pPr>
            <w:r>
              <w:t>0.1743</w:t>
            </w:r>
          </w:p>
        </w:tc>
        <w:tc>
          <w:tcPr>
            <w:tcW w:w="510" w:type="pct"/>
            <w:shd w:val="clear" w:color="auto" w:fill="auto"/>
            <w:vAlign w:val="center"/>
          </w:tcPr>
          <w:p>
            <w:pPr>
              <w:pStyle w:val="136"/>
            </w:pPr>
            <w:r>
              <w:t>0.1362</w:t>
            </w:r>
          </w:p>
        </w:tc>
        <w:tc>
          <w:tcPr>
            <w:tcW w:w="510" w:type="pct"/>
            <w:shd w:val="clear" w:color="auto" w:fill="auto"/>
            <w:vAlign w:val="center"/>
          </w:tcPr>
          <w:p>
            <w:pPr>
              <w:pStyle w:val="136"/>
            </w:pPr>
            <w:r>
              <w:t>0.1305</w:t>
            </w:r>
          </w:p>
        </w:tc>
        <w:tc>
          <w:tcPr>
            <w:tcW w:w="510" w:type="pct"/>
            <w:shd w:val="clear" w:color="auto" w:fill="auto"/>
            <w:vAlign w:val="center"/>
          </w:tcPr>
          <w:p>
            <w:pPr>
              <w:pStyle w:val="136"/>
            </w:pPr>
            <w:r>
              <w:t>0.1479</w:t>
            </w:r>
          </w:p>
        </w:tc>
        <w:tc>
          <w:tcPr>
            <w:tcW w:w="510" w:type="pct"/>
            <w:shd w:val="clear" w:color="auto" w:fill="auto"/>
            <w:vAlign w:val="center"/>
          </w:tcPr>
          <w:p>
            <w:pPr>
              <w:pStyle w:val="136"/>
            </w:pPr>
            <w:r>
              <w:t>0.1013</w:t>
            </w:r>
          </w:p>
        </w:tc>
        <w:tc>
          <w:tcPr>
            <w:tcW w:w="513" w:type="pct"/>
            <w:shd w:val="clear" w:color="auto" w:fill="auto"/>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变化量（</w:t>
            </w:r>
            <w:r>
              <w:rPr>
                <w:rFonts w:hint="eastAsia" w:ascii="宋体" w:hAnsi="宋体" w:cs="宋体"/>
              </w:rPr>
              <w:t>②</w:t>
            </w:r>
            <w:r>
              <w:t>-</w:t>
            </w:r>
            <w:r>
              <w:rPr>
                <w:rFonts w:hint="eastAsia" w:ascii="宋体" w:hAnsi="宋体" w:cs="宋体"/>
              </w:rPr>
              <w:t>①</w:t>
            </w:r>
            <w:r>
              <w:t>）</w:t>
            </w:r>
          </w:p>
        </w:tc>
        <w:tc>
          <w:tcPr>
            <w:tcW w:w="509" w:type="pct"/>
            <w:shd w:val="clear" w:color="auto" w:fill="auto"/>
            <w:vAlign w:val="center"/>
          </w:tcPr>
          <w:p>
            <w:pPr>
              <w:pStyle w:val="136"/>
            </w:pPr>
            <w:r>
              <w:t>-0.1751</w:t>
            </w:r>
          </w:p>
        </w:tc>
        <w:tc>
          <w:tcPr>
            <w:tcW w:w="509" w:type="pct"/>
            <w:shd w:val="clear" w:color="auto" w:fill="auto"/>
            <w:vAlign w:val="center"/>
          </w:tcPr>
          <w:p>
            <w:pPr>
              <w:pStyle w:val="136"/>
            </w:pPr>
            <w:r>
              <w:t>-0.1648</w:t>
            </w:r>
          </w:p>
        </w:tc>
        <w:tc>
          <w:tcPr>
            <w:tcW w:w="510" w:type="pct"/>
            <w:shd w:val="clear" w:color="auto" w:fill="auto"/>
            <w:vAlign w:val="center"/>
          </w:tcPr>
          <w:p>
            <w:pPr>
              <w:pStyle w:val="136"/>
            </w:pPr>
            <w:r>
              <w:t>-0.1743</w:t>
            </w:r>
          </w:p>
        </w:tc>
        <w:tc>
          <w:tcPr>
            <w:tcW w:w="510" w:type="pct"/>
            <w:shd w:val="clear" w:color="auto" w:fill="auto"/>
            <w:vAlign w:val="center"/>
          </w:tcPr>
          <w:p>
            <w:pPr>
              <w:pStyle w:val="136"/>
            </w:pPr>
            <w:r>
              <w:t>-0.1362</w:t>
            </w:r>
          </w:p>
        </w:tc>
        <w:tc>
          <w:tcPr>
            <w:tcW w:w="510" w:type="pct"/>
            <w:shd w:val="clear" w:color="auto" w:fill="auto"/>
            <w:vAlign w:val="center"/>
          </w:tcPr>
          <w:p>
            <w:pPr>
              <w:pStyle w:val="136"/>
            </w:pPr>
            <w:r>
              <w:t>-0.1305</w:t>
            </w:r>
          </w:p>
        </w:tc>
        <w:tc>
          <w:tcPr>
            <w:tcW w:w="510" w:type="pct"/>
            <w:shd w:val="clear" w:color="auto" w:fill="auto"/>
            <w:vAlign w:val="center"/>
          </w:tcPr>
          <w:p>
            <w:pPr>
              <w:pStyle w:val="136"/>
            </w:pPr>
            <w:r>
              <w:t>-0.1479</w:t>
            </w:r>
          </w:p>
        </w:tc>
        <w:tc>
          <w:tcPr>
            <w:tcW w:w="510" w:type="pct"/>
            <w:shd w:val="clear" w:color="auto" w:fill="auto"/>
            <w:vAlign w:val="center"/>
          </w:tcPr>
          <w:p>
            <w:pPr>
              <w:pStyle w:val="136"/>
            </w:pPr>
            <w:r>
              <w:t>-0.1013</w:t>
            </w:r>
          </w:p>
        </w:tc>
        <w:tc>
          <w:tcPr>
            <w:tcW w:w="513" w:type="pct"/>
            <w:shd w:val="clear" w:color="auto" w:fill="auto"/>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变幅（%）</w:t>
            </w:r>
          </w:p>
        </w:tc>
        <w:tc>
          <w:tcPr>
            <w:tcW w:w="509" w:type="pct"/>
            <w:shd w:val="clear" w:color="auto" w:fill="auto"/>
            <w:vAlign w:val="center"/>
          </w:tcPr>
          <w:p>
            <w:pPr>
              <w:pStyle w:val="136"/>
            </w:pPr>
            <w:r>
              <w:t>-86.93</w:t>
            </w:r>
          </w:p>
        </w:tc>
        <w:tc>
          <w:tcPr>
            <w:tcW w:w="509" w:type="pct"/>
            <w:shd w:val="clear" w:color="auto" w:fill="auto"/>
            <w:vAlign w:val="center"/>
          </w:tcPr>
          <w:p>
            <w:pPr>
              <w:pStyle w:val="136"/>
            </w:pPr>
            <w:r>
              <w:t>-87.93</w:t>
            </w:r>
          </w:p>
        </w:tc>
        <w:tc>
          <w:tcPr>
            <w:tcW w:w="510" w:type="pct"/>
            <w:shd w:val="clear" w:color="auto" w:fill="auto"/>
            <w:vAlign w:val="center"/>
          </w:tcPr>
          <w:p>
            <w:pPr>
              <w:pStyle w:val="136"/>
            </w:pPr>
            <w:r>
              <w:t>-89.13</w:t>
            </w:r>
          </w:p>
        </w:tc>
        <w:tc>
          <w:tcPr>
            <w:tcW w:w="510" w:type="pct"/>
            <w:shd w:val="clear" w:color="auto" w:fill="auto"/>
            <w:vAlign w:val="center"/>
          </w:tcPr>
          <w:p>
            <w:pPr>
              <w:pStyle w:val="136"/>
            </w:pPr>
            <w:r>
              <w:t>-87.9</w:t>
            </w:r>
          </w:p>
        </w:tc>
        <w:tc>
          <w:tcPr>
            <w:tcW w:w="510" w:type="pct"/>
            <w:shd w:val="clear" w:color="auto" w:fill="auto"/>
            <w:vAlign w:val="center"/>
          </w:tcPr>
          <w:p>
            <w:pPr>
              <w:pStyle w:val="136"/>
            </w:pPr>
            <w:r>
              <w:t>-88.46</w:t>
            </w:r>
          </w:p>
        </w:tc>
        <w:tc>
          <w:tcPr>
            <w:tcW w:w="510" w:type="pct"/>
            <w:shd w:val="clear" w:color="auto" w:fill="auto"/>
            <w:vAlign w:val="center"/>
          </w:tcPr>
          <w:p>
            <w:pPr>
              <w:pStyle w:val="136"/>
            </w:pPr>
            <w:r>
              <w:t>-89</w:t>
            </w:r>
          </w:p>
        </w:tc>
        <w:tc>
          <w:tcPr>
            <w:tcW w:w="510" w:type="pct"/>
            <w:shd w:val="clear" w:color="auto" w:fill="auto"/>
            <w:vAlign w:val="center"/>
          </w:tcPr>
          <w:p>
            <w:pPr>
              <w:pStyle w:val="136"/>
            </w:pPr>
            <w:r>
              <w:t>-70.99</w:t>
            </w:r>
          </w:p>
        </w:tc>
        <w:tc>
          <w:tcPr>
            <w:tcW w:w="513" w:type="pct"/>
            <w:shd w:val="clear" w:color="auto" w:fill="auto"/>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生态基流要求</w:t>
            </w:r>
          </w:p>
        </w:tc>
        <w:tc>
          <w:tcPr>
            <w:tcW w:w="509" w:type="pct"/>
            <w:shd w:val="clear" w:color="auto" w:fill="auto"/>
            <w:vAlign w:val="center"/>
          </w:tcPr>
          <w:p>
            <w:pPr>
              <w:pStyle w:val="136"/>
            </w:pPr>
            <w:r>
              <w:t>0.0263</w:t>
            </w:r>
          </w:p>
        </w:tc>
        <w:tc>
          <w:tcPr>
            <w:tcW w:w="509" w:type="pct"/>
            <w:shd w:val="clear" w:color="auto" w:fill="auto"/>
            <w:vAlign w:val="center"/>
          </w:tcPr>
          <w:p>
            <w:pPr>
              <w:pStyle w:val="136"/>
            </w:pPr>
            <w:r>
              <w:t>0.0226</w:t>
            </w:r>
          </w:p>
        </w:tc>
        <w:tc>
          <w:tcPr>
            <w:tcW w:w="510" w:type="pct"/>
            <w:shd w:val="clear" w:color="auto" w:fill="auto"/>
            <w:vAlign w:val="center"/>
          </w:tcPr>
          <w:p>
            <w:pPr>
              <w:pStyle w:val="136"/>
            </w:pPr>
            <w:r>
              <w:t>0.0213</w:t>
            </w:r>
          </w:p>
        </w:tc>
        <w:tc>
          <w:tcPr>
            <w:tcW w:w="510" w:type="pct"/>
            <w:shd w:val="clear" w:color="auto" w:fill="auto"/>
            <w:vAlign w:val="center"/>
          </w:tcPr>
          <w:p>
            <w:pPr>
              <w:pStyle w:val="136"/>
            </w:pPr>
            <w:r>
              <w:t>0.0187</w:t>
            </w:r>
          </w:p>
        </w:tc>
        <w:tc>
          <w:tcPr>
            <w:tcW w:w="510" w:type="pct"/>
            <w:shd w:val="clear" w:color="auto" w:fill="auto"/>
            <w:vAlign w:val="center"/>
          </w:tcPr>
          <w:p>
            <w:pPr>
              <w:pStyle w:val="136"/>
            </w:pPr>
            <w:r>
              <w:t>0.017</w:t>
            </w:r>
          </w:p>
        </w:tc>
        <w:tc>
          <w:tcPr>
            <w:tcW w:w="510" w:type="pct"/>
            <w:shd w:val="clear" w:color="auto" w:fill="auto"/>
            <w:vAlign w:val="center"/>
          </w:tcPr>
          <w:p>
            <w:pPr>
              <w:pStyle w:val="136"/>
            </w:pPr>
            <w:r>
              <w:t>0.0183</w:t>
            </w:r>
          </w:p>
        </w:tc>
        <w:tc>
          <w:tcPr>
            <w:tcW w:w="510" w:type="pct"/>
            <w:shd w:val="clear" w:color="auto" w:fill="auto"/>
            <w:vAlign w:val="center"/>
          </w:tcPr>
          <w:p>
            <w:pPr>
              <w:pStyle w:val="136"/>
            </w:pPr>
            <w:r>
              <w:t>0.0414</w:t>
            </w:r>
          </w:p>
        </w:tc>
        <w:tc>
          <w:tcPr>
            <w:tcW w:w="513" w:type="pct"/>
            <w:shd w:val="clear" w:color="auto" w:fill="auto"/>
            <w:vAlign w:val="center"/>
          </w:tcPr>
          <w:p>
            <w:pPr>
              <w:pStyle w:val="13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9"/>
            <w:shd w:val="clear" w:color="auto" w:fill="auto"/>
            <w:vAlign w:val="center"/>
          </w:tcPr>
          <w:p>
            <w:pPr>
              <w:pStyle w:val="136"/>
            </w:pPr>
            <w:r>
              <w:t>P=85%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天然来流</w:t>
            </w:r>
            <w:r>
              <w:rPr>
                <w:rFonts w:hint="eastAsia" w:ascii="宋体" w:hAnsi="宋体" w:cs="宋体"/>
              </w:rPr>
              <w:t>①</w:t>
            </w:r>
          </w:p>
        </w:tc>
        <w:tc>
          <w:tcPr>
            <w:tcW w:w="509" w:type="pct"/>
            <w:shd w:val="clear" w:color="auto" w:fill="auto"/>
            <w:vAlign w:val="center"/>
          </w:tcPr>
          <w:p>
            <w:pPr>
              <w:pStyle w:val="136"/>
            </w:pPr>
            <w:r>
              <w:t>0.1663</w:t>
            </w:r>
          </w:p>
        </w:tc>
        <w:tc>
          <w:tcPr>
            <w:tcW w:w="509" w:type="pct"/>
            <w:shd w:val="clear" w:color="auto" w:fill="auto"/>
            <w:vAlign w:val="center"/>
          </w:tcPr>
          <w:p>
            <w:pPr>
              <w:pStyle w:val="136"/>
            </w:pPr>
            <w:r>
              <w:t>0.1426</w:t>
            </w:r>
          </w:p>
        </w:tc>
        <w:tc>
          <w:tcPr>
            <w:tcW w:w="510" w:type="pct"/>
            <w:shd w:val="clear" w:color="auto" w:fill="auto"/>
            <w:vAlign w:val="center"/>
          </w:tcPr>
          <w:p>
            <w:pPr>
              <w:pStyle w:val="136"/>
            </w:pPr>
            <w:r>
              <w:t>0.1501</w:t>
            </w:r>
          </w:p>
        </w:tc>
        <w:tc>
          <w:tcPr>
            <w:tcW w:w="510" w:type="pct"/>
            <w:shd w:val="clear" w:color="auto" w:fill="auto"/>
            <w:vAlign w:val="center"/>
          </w:tcPr>
          <w:p>
            <w:pPr>
              <w:pStyle w:val="136"/>
            </w:pPr>
            <w:r>
              <w:t>0.1314</w:t>
            </w:r>
          </w:p>
        </w:tc>
        <w:tc>
          <w:tcPr>
            <w:tcW w:w="510" w:type="pct"/>
            <w:shd w:val="clear" w:color="auto" w:fill="auto"/>
            <w:vAlign w:val="center"/>
          </w:tcPr>
          <w:p>
            <w:pPr>
              <w:pStyle w:val="136"/>
            </w:pPr>
            <w:r>
              <w:t>0.1228</w:t>
            </w:r>
          </w:p>
        </w:tc>
        <w:tc>
          <w:tcPr>
            <w:tcW w:w="510" w:type="pct"/>
            <w:shd w:val="clear" w:color="auto" w:fill="auto"/>
            <w:vAlign w:val="center"/>
          </w:tcPr>
          <w:p>
            <w:pPr>
              <w:pStyle w:val="136"/>
            </w:pPr>
            <w:r>
              <w:t>0.1352</w:t>
            </w:r>
          </w:p>
        </w:tc>
        <w:tc>
          <w:tcPr>
            <w:tcW w:w="510" w:type="pct"/>
            <w:shd w:val="clear" w:color="auto" w:fill="auto"/>
            <w:vAlign w:val="center"/>
          </w:tcPr>
          <w:p>
            <w:pPr>
              <w:pStyle w:val="136"/>
            </w:pPr>
            <w:r>
              <w:t>0.1269</w:t>
            </w:r>
          </w:p>
        </w:tc>
        <w:tc>
          <w:tcPr>
            <w:tcW w:w="513" w:type="pct"/>
            <w:shd w:val="clear" w:color="auto" w:fill="auto"/>
            <w:vAlign w:val="center"/>
          </w:tcPr>
          <w:p>
            <w:pPr>
              <w:pStyle w:val="136"/>
            </w:pPr>
            <w:r>
              <w:t>0.1057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灌区需水</w:t>
            </w:r>
          </w:p>
        </w:tc>
        <w:tc>
          <w:tcPr>
            <w:tcW w:w="509" w:type="pct"/>
            <w:shd w:val="clear" w:color="auto" w:fill="auto"/>
            <w:vAlign w:val="center"/>
          </w:tcPr>
          <w:p>
            <w:pPr>
              <w:pStyle w:val="136"/>
            </w:pPr>
            <w:r>
              <w:t>0</w:t>
            </w:r>
          </w:p>
        </w:tc>
        <w:tc>
          <w:tcPr>
            <w:tcW w:w="509"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3" w:type="pct"/>
            <w:shd w:val="clear" w:color="auto" w:fill="auto"/>
            <w:vAlign w:val="center"/>
          </w:tcPr>
          <w:p>
            <w:pPr>
              <w:pStyle w:val="136"/>
            </w:pPr>
            <w:r>
              <w:t>0.0363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出库流量</w:t>
            </w:r>
            <w:r>
              <w:rPr>
                <w:rFonts w:hint="eastAsia" w:ascii="宋体" w:hAnsi="宋体" w:cs="宋体"/>
              </w:rPr>
              <w:t>②</w:t>
            </w:r>
          </w:p>
        </w:tc>
        <w:tc>
          <w:tcPr>
            <w:tcW w:w="509" w:type="pct"/>
            <w:shd w:val="clear" w:color="auto" w:fill="auto"/>
            <w:vAlign w:val="center"/>
          </w:tcPr>
          <w:p>
            <w:pPr>
              <w:pStyle w:val="136"/>
            </w:pPr>
            <w:r>
              <w:t>0.0263</w:t>
            </w:r>
          </w:p>
        </w:tc>
        <w:tc>
          <w:tcPr>
            <w:tcW w:w="509" w:type="pct"/>
            <w:shd w:val="clear" w:color="auto" w:fill="auto"/>
            <w:vAlign w:val="center"/>
          </w:tcPr>
          <w:p>
            <w:pPr>
              <w:pStyle w:val="136"/>
            </w:pPr>
            <w:r>
              <w:t>0.0226</w:t>
            </w:r>
          </w:p>
        </w:tc>
        <w:tc>
          <w:tcPr>
            <w:tcW w:w="510" w:type="pct"/>
            <w:shd w:val="clear" w:color="auto" w:fill="auto"/>
            <w:vAlign w:val="center"/>
          </w:tcPr>
          <w:p>
            <w:pPr>
              <w:pStyle w:val="136"/>
            </w:pPr>
            <w:r>
              <w:t>0.0213</w:t>
            </w:r>
          </w:p>
        </w:tc>
        <w:tc>
          <w:tcPr>
            <w:tcW w:w="510" w:type="pct"/>
            <w:shd w:val="clear" w:color="auto" w:fill="auto"/>
            <w:vAlign w:val="center"/>
          </w:tcPr>
          <w:p>
            <w:pPr>
              <w:pStyle w:val="136"/>
            </w:pPr>
            <w:r>
              <w:t>0.0187</w:t>
            </w:r>
          </w:p>
        </w:tc>
        <w:tc>
          <w:tcPr>
            <w:tcW w:w="510" w:type="pct"/>
            <w:shd w:val="clear" w:color="auto" w:fill="auto"/>
            <w:vAlign w:val="center"/>
          </w:tcPr>
          <w:p>
            <w:pPr>
              <w:pStyle w:val="136"/>
            </w:pPr>
            <w:r>
              <w:t>0.017</w:t>
            </w:r>
          </w:p>
        </w:tc>
        <w:tc>
          <w:tcPr>
            <w:tcW w:w="510" w:type="pct"/>
            <w:shd w:val="clear" w:color="auto" w:fill="auto"/>
            <w:vAlign w:val="center"/>
          </w:tcPr>
          <w:p>
            <w:pPr>
              <w:pStyle w:val="136"/>
            </w:pPr>
            <w:r>
              <w:t>0.0183</w:t>
            </w:r>
          </w:p>
        </w:tc>
        <w:tc>
          <w:tcPr>
            <w:tcW w:w="510" w:type="pct"/>
            <w:shd w:val="clear" w:color="auto" w:fill="auto"/>
            <w:vAlign w:val="center"/>
          </w:tcPr>
          <w:p>
            <w:pPr>
              <w:pStyle w:val="136"/>
            </w:pPr>
            <w:r>
              <w:t>0.016</w:t>
            </w:r>
          </w:p>
        </w:tc>
        <w:tc>
          <w:tcPr>
            <w:tcW w:w="513" w:type="pct"/>
            <w:shd w:val="clear" w:color="auto" w:fill="auto"/>
            <w:vAlign w:val="center"/>
          </w:tcPr>
          <w:p>
            <w:pPr>
              <w:pStyle w:val="136"/>
            </w:pPr>
            <w:r>
              <w:t>0.0504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蓄水量（</w:t>
            </w:r>
            <w:r>
              <w:rPr>
                <w:rFonts w:hint="eastAsia" w:ascii="宋体" w:hAnsi="宋体" w:cs="宋体"/>
              </w:rPr>
              <w:t>①</w:t>
            </w:r>
            <w:r>
              <w:t>-</w:t>
            </w:r>
            <w:r>
              <w:rPr>
                <w:rFonts w:hint="eastAsia" w:ascii="宋体" w:hAnsi="宋体" w:cs="宋体"/>
              </w:rPr>
              <w:t>②</w:t>
            </w:r>
            <w:r>
              <w:t>）</w:t>
            </w:r>
          </w:p>
        </w:tc>
        <w:tc>
          <w:tcPr>
            <w:tcW w:w="509" w:type="pct"/>
            <w:shd w:val="clear" w:color="auto" w:fill="auto"/>
            <w:vAlign w:val="center"/>
          </w:tcPr>
          <w:p>
            <w:pPr>
              <w:pStyle w:val="136"/>
            </w:pPr>
            <w:r>
              <w:t>0.14</w:t>
            </w:r>
          </w:p>
        </w:tc>
        <w:tc>
          <w:tcPr>
            <w:tcW w:w="509" w:type="pct"/>
            <w:shd w:val="clear" w:color="auto" w:fill="auto"/>
            <w:vAlign w:val="center"/>
          </w:tcPr>
          <w:p>
            <w:pPr>
              <w:pStyle w:val="136"/>
            </w:pPr>
            <w:r>
              <w:t>0.12</w:t>
            </w:r>
          </w:p>
        </w:tc>
        <w:tc>
          <w:tcPr>
            <w:tcW w:w="510" w:type="pct"/>
            <w:shd w:val="clear" w:color="auto" w:fill="auto"/>
            <w:vAlign w:val="center"/>
          </w:tcPr>
          <w:p>
            <w:pPr>
              <w:pStyle w:val="136"/>
            </w:pPr>
            <w:r>
              <w:t>0.1288</w:t>
            </w:r>
          </w:p>
        </w:tc>
        <w:tc>
          <w:tcPr>
            <w:tcW w:w="510" w:type="pct"/>
            <w:shd w:val="clear" w:color="auto" w:fill="auto"/>
            <w:vAlign w:val="center"/>
          </w:tcPr>
          <w:p>
            <w:pPr>
              <w:pStyle w:val="136"/>
            </w:pPr>
            <w:r>
              <w:t>0.1127</w:t>
            </w:r>
          </w:p>
        </w:tc>
        <w:tc>
          <w:tcPr>
            <w:tcW w:w="510" w:type="pct"/>
            <w:shd w:val="clear" w:color="auto" w:fill="auto"/>
            <w:vAlign w:val="center"/>
          </w:tcPr>
          <w:p>
            <w:pPr>
              <w:pStyle w:val="136"/>
            </w:pPr>
            <w:r>
              <w:t>0.1058</w:t>
            </w:r>
          </w:p>
        </w:tc>
        <w:tc>
          <w:tcPr>
            <w:tcW w:w="510" w:type="pct"/>
            <w:shd w:val="clear" w:color="auto" w:fill="auto"/>
            <w:vAlign w:val="center"/>
          </w:tcPr>
          <w:p>
            <w:pPr>
              <w:pStyle w:val="136"/>
            </w:pPr>
            <w:r>
              <w:t>0.1169</w:t>
            </w:r>
          </w:p>
        </w:tc>
        <w:tc>
          <w:tcPr>
            <w:tcW w:w="510" w:type="pct"/>
            <w:shd w:val="clear" w:color="auto" w:fill="auto"/>
            <w:vAlign w:val="center"/>
          </w:tcPr>
          <w:p>
            <w:pPr>
              <w:pStyle w:val="136"/>
            </w:pPr>
            <w:r>
              <w:t>0.1109</w:t>
            </w:r>
          </w:p>
        </w:tc>
        <w:tc>
          <w:tcPr>
            <w:tcW w:w="513" w:type="pct"/>
            <w:shd w:val="clear" w:color="auto" w:fill="auto"/>
            <w:vAlign w:val="center"/>
          </w:tcPr>
          <w:p>
            <w:pPr>
              <w:pStyle w:val="136"/>
            </w:pPr>
            <w:r>
              <w:t>0.0553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变化量（</w:t>
            </w:r>
            <w:r>
              <w:rPr>
                <w:rFonts w:hint="eastAsia" w:ascii="宋体" w:hAnsi="宋体" w:cs="宋体"/>
              </w:rPr>
              <w:t>②</w:t>
            </w:r>
            <w:r>
              <w:t>-</w:t>
            </w:r>
            <w:r>
              <w:rPr>
                <w:rFonts w:hint="eastAsia" w:ascii="宋体" w:hAnsi="宋体" w:cs="宋体"/>
              </w:rPr>
              <w:t>①</w:t>
            </w:r>
            <w:r>
              <w:t>）</w:t>
            </w:r>
          </w:p>
        </w:tc>
        <w:tc>
          <w:tcPr>
            <w:tcW w:w="509" w:type="pct"/>
            <w:shd w:val="clear" w:color="auto" w:fill="auto"/>
            <w:vAlign w:val="center"/>
          </w:tcPr>
          <w:p>
            <w:pPr>
              <w:pStyle w:val="136"/>
            </w:pPr>
            <w:r>
              <w:t>-0.14</w:t>
            </w:r>
          </w:p>
        </w:tc>
        <w:tc>
          <w:tcPr>
            <w:tcW w:w="509" w:type="pct"/>
            <w:shd w:val="clear" w:color="auto" w:fill="auto"/>
            <w:vAlign w:val="center"/>
          </w:tcPr>
          <w:p>
            <w:pPr>
              <w:pStyle w:val="136"/>
            </w:pPr>
            <w:r>
              <w:t>-0.12</w:t>
            </w:r>
          </w:p>
        </w:tc>
        <w:tc>
          <w:tcPr>
            <w:tcW w:w="510" w:type="pct"/>
            <w:shd w:val="clear" w:color="auto" w:fill="auto"/>
            <w:vAlign w:val="center"/>
          </w:tcPr>
          <w:p>
            <w:pPr>
              <w:pStyle w:val="136"/>
            </w:pPr>
            <w:r>
              <w:t>-0.1288</w:t>
            </w:r>
          </w:p>
        </w:tc>
        <w:tc>
          <w:tcPr>
            <w:tcW w:w="510" w:type="pct"/>
            <w:shd w:val="clear" w:color="auto" w:fill="auto"/>
            <w:vAlign w:val="center"/>
          </w:tcPr>
          <w:p>
            <w:pPr>
              <w:pStyle w:val="136"/>
            </w:pPr>
            <w:r>
              <w:t>-0.1127</w:t>
            </w:r>
          </w:p>
        </w:tc>
        <w:tc>
          <w:tcPr>
            <w:tcW w:w="510" w:type="pct"/>
            <w:shd w:val="clear" w:color="auto" w:fill="auto"/>
            <w:vAlign w:val="center"/>
          </w:tcPr>
          <w:p>
            <w:pPr>
              <w:pStyle w:val="136"/>
            </w:pPr>
            <w:r>
              <w:t>-0.1058</w:t>
            </w:r>
          </w:p>
        </w:tc>
        <w:tc>
          <w:tcPr>
            <w:tcW w:w="510" w:type="pct"/>
            <w:shd w:val="clear" w:color="auto" w:fill="auto"/>
            <w:vAlign w:val="center"/>
          </w:tcPr>
          <w:p>
            <w:pPr>
              <w:pStyle w:val="136"/>
            </w:pPr>
            <w:r>
              <w:t>-0.1169</w:t>
            </w:r>
          </w:p>
        </w:tc>
        <w:tc>
          <w:tcPr>
            <w:tcW w:w="510" w:type="pct"/>
            <w:shd w:val="clear" w:color="auto" w:fill="auto"/>
            <w:vAlign w:val="center"/>
          </w:tcPr>
          <w:p>
            <w:pPr>
              <w:pStyle w:val="136"/>
            </w:pPr>
            <w:r>
              <w:t>-0.1109</w:t>
            </w:r>
          </w:p>
        </w:tc>
        <w:tc>
          <w:tcPr>
            <w:tcW w:w="513" w:type="pct"/>
            <w:shd w:val="clear" w:color="auto" w:fill="auto"/>
            <w:vAlign w:val="center"/>
          </w:tcPr>
          <w:p>
            <w:pPr>
              <w:pStyle w:val="136"/>
            </w:pPr>
            <w:r>
              <w:t>-0.0553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变幅（%）</w:t>
            </w:r>
          </w:p>
        </w:tc>
        <w:tc>
          <w:tcPr>
            <w:tcW w:w="509" w:type="pct"/>
            <w:shd w:val="clear" w:color="auto" w:fill="auto"/>
            <w:vAlign w:val="center"/>
          </w:tcPr>
          <w:p>
            <w:pPr>
              <w:pStyle w:val="136"/>
            </w:pPr>
            <w:r>
              <w:t>-84.18</w:t>
            </w:r>
          </w:p>
        </w:tc>
        <w:tc>
          <w:tcPr>
            <w:tcW w:w="509" w:type="pct"/>
            <w:shd w:val="clear" w:color="auto" w:fill="auto"/>
            <w:vAlign w:val="center"/>
          </w:tcPr>
          <w:p>
            <w:pPr>
              <w:pStyle w:val="136"/>
            </w:pPr>
            <w:r>
              <w:t>-84.14</w:t>
            </w:r>
          </w:p>
        </w:tc>
        <w:tc>
          <w:tcPr>
            <w:tcW w:w="510" w:type="pct"/>
            <w:shd w:val="clear" w:color="auto" w:fill="auto"/>
            <w:vAlign w:val="center"/>
          </w:tcPr>
          <w:p>
            <w:pPr>
              <w:pStyle w:val="136"/>
            </w:pPr>
            <w:r>
              <w:t>-85.84</w:t>
            </w:r>
          </w:p>
        </w:tc>
        <w:tc>
          <w:tcPr>
            <w:tcW w:w="510" w:type="pct"/>
            <w:shd w:val="clear" w:color="auto" w:fill="auto"/>
            <w:vAlign w:val="center"/>
          </w:tcPr>
          <w:p>
            <w:pPr>
              <w:pStyle w:val="136"/>
            </w:pPr>
            <w:r>
              <w:t>-85.74</w:t>
            </w:r>
          </w:p>
        </w:tc>
        <w:tc>
          <w:tcPr>
            <w:tcW w:w="510" w:type="pct"/>
            <w:shd w:val="clear" w:color="auto" w:fill="auto"/>
            <w:vAlign w:val="center"/>
          </w:tcPr>
          <w:p>
            <w:pPr>
              <w:pStyle w:val="136"/>
            </w:pPr>
            <w:r>
              <w:t>-86.14</w:t>
            </w:r>
          </w:p>
        </w:tc>
        <w:tc>
          <w:tcPr>
            <w:tcW w:w="510" w:type="pct"/>
            <w:shd w:val="clear" w:color="auto" w:fill="auto"/>
            <w:vAlign w:val="center"/>
          </w:tcPr>
          <w:p>
            <w:pPr>
              <w:pStyle w:val="136"/>
            </w:pPr>
            <w:r>
              <w:t>-86.48</w:t>
            </w:r>
          </w:p>
        </w:tc>
        <w:tc>
          <w:tcPr>
            <w:tcW w:w="510" w:type="pct"/>
            <w:shd w:val="clear" w:color="auto" w:fill="auto"/>
            <w:vAlign w:val="center"/>
          </w:tcPr>
          <w:p>
            <w:pPr>
              <w:pStyle w:val="136"/>
            </w:pPr>
            <w:r>
              <w:t>-87.38</w:t>
            </w:r>
          </w:p>
        </w:tc>
        <w:tc>
          <w:tcPr>
            <w:tcW w:w="513" w:type="pct"/>
            <w:shd w:val="clear" w:color="auto" w:fill="auto"/>
            <w:vAlign w:val="center"/>
          </w:tcPr>
          <w:p>
            <w:pPr>
              <w:pStyle w:val="136"/>
            </w:pPr>
            <w: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生态基流要求</w:t>
            </w:r>
          </w:p>
        </w:tc>
        <w:tc>
          <w:tcPr>
            <w:tcW w:w="509" w:type="pct"/>
            <w:shd w:val="clear" w:color="auto" w:fill="auto"/>
            <w:vAlign w:val="center"/>
          </w:tcPr>
          <w:p>
            <w:pPr>
              <w:pStyle w:val="136"/>
            </w:pPr>
            <w:r>
              <w:t>0.0263</w:t>
            </w:r>
          </w:p>
        </w:tc>
        <w:tc>
          <w:tcPr>
            <w:tcW w:w="509" w:type="pct"/>
            <w:shd w:val="clear" w:color="auto" w:fill="auto"/>
            <w:vAlign w:val="center"/>
          </w:tcPr>
          <w:p>
            <w:pPr>
              <w:pStyle w:val="136"/>
            </w:pPr>
            <w:r>
              <w:t>0.0226</w:t>
            </w:r>
          </w:p>
        </w:tc>
        <w:tc>
          <w:tcPr>
            <w:tcW w:w="510" w:type="pct"/>
            <w:shd w:val="clear" w:color="auto" w:fill="auto"/>
            <w:vAlign w:val="center"/>
          </w:tcPr>
          <w:p>
            <w:pPr>
              <w:pStyle w:val="136"/>
            </w:pPr>
            <w:r>
              <w:t>0.0213</w:t>
            </w:r>
          </w:p>
        </w:tc>
        <w:tc>
          <w:tcPr>
            <w:tcW w:w="510" w:type="pct"/>
            <w:shd w:val="clear" w:color="auto" w:fill="auto"/>
            <w:vAlign w:val="center"/>
          </w:tcPr>
          <w:p>
            <w:pPr>
              <w:pStyle w:val="136"/>
            </w:pPr>
            <w:r>
              <w:t>0.0187</w:t>
            </w:r>
          </w:p>
        </w:tc>
        <w:tc>
          <w:tcPr>
            <w:tcW w:w="510" w:type="pct"/>
            <w:shd w:val="clear" w:color="auto" w:fill="auto"/>
            <w:vAlign w:val="center"/>
          </w:tcPr>
          <w:p>
            <w:pPr>
              <w:pStyle w:val="136"/>
            </w:pPr>
            <w:r>
              <w:t>0.017</w:t>
            </w:r>
          </w:p>
        </w:tc>
        <w:tc>
          <w:tcPr>
            <w:tcW w:w="510" w:type="pct"/>
            <w:shd w:val="clear" w:color="auto" w:fill="auto"/>
            <w:vAlign w:val="center"/>
          </w:tcPr>
          <w:p>
            <w:pPr>
              <w:pStyle w:val="136"/>
            </w:pPr>
            <w:r>
              <w:t>0.0183</w:t>
            </w:r>
          </w:p>
        </w:tc>
        <w:tc>
          <w:tcPr>
            <w:tcW w:w="510" w:type="pct"/>
            <w:shd w:val="clear" w:color="auto" w:fill="auto"/>
            <w:vAlign w:val="center"/>
          </w:tcPr>
          <w:p>
            <w:pPr>
              <w:pStyle w:val="136"/>
            </w:pPr>
            <w:r>
              <w:t>0.016</w:t>
            </w:r>
          </w:p>
        </w:tc>
        <w:tc>
          <w:tcPr>
            <w:tcW w:w="513" w:type="pct"/>
            <w:shd w:val="clear" w:color="auto" w:fill="auto"/>
            <w:vAlign w:val="center"/>
          </w:tcPr>
          <w:p>
            <w:pPr>
              <w:pStyle w:val="136"/>
            </w:pPr>
            <w:r>
              <w:t>0.0141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9"/>
            <w:shd w:val="clear" w:color="auto" w:fill="auto"/>
            <w:vAlign w:val="center"/>
          </w:tcPr>
          <w:p>
            <w:pPr>
              <w:pStyle w:val="136"/>
            </w:pPr>
            <w:r>
              <w:t>P=95%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天然来流</w:t>
            </w:r>
            <w:r>
              <w:rPr>
                <w:rFonts w:hint="eastAsia" w:ascii="宋体" w:hAnsi="宋体" w:cs="宋体"/>
              </w:rPr>
              <w:t>①</w:t>
            </w:r>
          </w:p>
        </w:tc>
        <w:tc>
          <w:tcPr>
            <w:tcW w:w="509" w:type="pct"/>
            <w:shd w:val="clear" w:color="auto" w:fill="auto"/>
            <w:vAlign w:val="center"/>
          </w:tcPr>
          <w:p>
            <w:pPr>
              <w:pStyle w:val="136"/>
            </w:pPr>
            <w:r>
              <w:t>0.1231</w:t>
            </w:r>
          </w:p>
        </w:tc>
        <w:tc>
          <w:tcPr>
            <w:tcW w:w="509" w:type="pct"/>
            <w:shd w:val="clear" w:color="auto" w:fill="auto"/>
            <w:vAlign w:val="center"/>
          </w:tcPr>
          <w:p>
            <w:pPr>
              <w:pStyle w:val="136"/>
            </w:pPr>
            <w:r>
              <w:t>0.1258</w:t>
            </w:r>
          </w:p>
        </w:tc>
        <w:tc>
          <w:tcPr>
            <w:tcW w:w="510" w:type="pct"/>
            <w:shd w:val="clear" w:color="auto" w:fill="auto"/>
            <w:vAlign w:val="center"/>
          </w:tcPr>
          <w:p>
            <w:pPr>
              <w:pStyle w:val="136"/>
            </w:pPr>
            <w:r>
              <w:t>0.1258</w:t>
            </w:r>
          </w:p>
        </w:tc>
        <w:tc>
          <w:tcPr>
            <w:tcW w:w="510" w:type="pct"/>
            <w:shd w:val="clear" w:color="auto" w:fill="auto"/>
            <w:vAlign w:val="center"/>
          </w:tcPr>
          <w:p>
            <w:pPr>
              <w:pStyle w:val="136"/>
            </w:pPr>
            <w:r>
              <w:t>0.1191</w:t>
            </w:r>
          </w:p>
        </w:tc>
        <w:tc>
          <w:tcPr>
            <w:tcW w:w="510" w:type="pct"/>
            <w:shd w:val="clear" w:color="auto" w:fill="auto"/>
            <w:vAlign w:val="center"/>
          </w:tcPr>
          <w:p>
            <w:pPr>
              <w:pStyle w:val="136"/>
            </w:pPr>
            <w:r>
              <w:t>0.1251</w:t>
            </w:r>
          </w:p>
        </w:tc>
        <w:tc>
          <w:tcPr>
            <w:tcW w:w="510" w:type="pct"/>
            <w:shd w:val="clear" w:color="auto" w:fill="auto"/>
            <w:vAlign w:val="center"/>
          </w:tcPr>
          <w:p>
            <w:pPr>
              <w:pStyle w:val="136"/>
            </w:pPr>
            <w:r>
              <w:t>0.1302</w:t>
            </w:r>
          </w:p>
        </w:tc>
        <w:tc>
          <w:tcPr>
            <w:tcW w:w="510" w:type="pct"/>
            <w:shd w:val="clear" w:color="auto" w:fill="auto"/>
            <w:vAlign w:val="center"/>
          </w:tcPr>
          <w:p>
            <w:pPr>
              <w:pStyle w:val="136"/>
            </w:pPr>
            <w:r>
              <w:t>0.112</w:t>
            </w:r>
          </w:p>
        </w:tc>
        <w:tc>
          <w:tcPr>
            <w:tcW w:w="513" w:type="pct"/>
            <w:shd w:val="clear" w:color="auto" w:fill="auto"/>
            <w:vAlign w:val="center"/>
          </w:tcPr>
          <w:p>
            <w:pPr>
              <w:pStyle w:val="136"/>
            </w:pPr>
            <w:r>
              <w:t>0.0995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灌区需水</w:t>
            </w:r>
          </w:p>
        </w:tc>
        <w:tc>
          <w:tcPr>
            <w:tcW w:w="509" w:type="pct"/>
            <w:shd w:val="clear" w:color="auto" w:fill="auto"/>
            <w:vAlign w:val="center"/>
          </w:tcPr>
          <w:p>
            <w:pPr>
              <w:pStyle w:val="136"/>
            </w:pPr>
            <w:r>
              <w:t>0</w:t>
            </w:r>
          </w:p>
        </w:tc>
        <w:tc>
          <w:tcPr>
            <w:tcW w:w="509"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3" w:type="pct"/>
            <w:shd w:val="clear" w:color="auto" w:fill="auto"/>
            <w:vAlign w:val="center"/>
          </w:tcPr>
          <w:p>
            <w:pPr>
              <w:pStyle w:val="136"/>
            </w:pPr>
            <w:r>
              <w:t>0.0363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出库流量</w:t>
            </w:r>
            <w:r>
              <w:rPr>
                <w:rFonts w:hint="eastAsia" w:ascii="宋体" w:hAnsi="宋体" w:cs="宋体"/>
              </w:rPr>
              <w:t>②</w:t>
            </w:r>
          </w:p>
        </w:tc>
        <w:tc>
          <w:tcPr>
            <w:tcW w:w="509" w:type="pct"/>
            <w:shd w:val="clear" w:color="auto" w:fill="auto"/>
            <w:vAlign w:val="center"/>
          </w:tcPr>
          <w:p>
            <w:pPr>
              <w:pStyle w:val="136"/>
            </w:pPr>
            <w:r>
              <w:t>0</w:t>
            </w:r>
          </w:p>
        </w:tc>
        <w:tc>
          <w:tcPr>
            <w:tcW w:w="509"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3" w:type="pct"/>
            <w:shd w:val="clear" w:color="auto" w:fill="auto"/>
            <w:vAlign w:val="center"/>
          </w:tcPr>
          <w:p>
            <w:pPr>
              <w:pStyle w:val="136"/>
            </w:pPr>
            <w:r>
              <w:t>0.0363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蓄水量（</w:t>
            </w:r>
            <w:r>
              <w:rPr>
                <w:rFonts w:hint="eastAsia" w:ascii="宋体" w:hAnsi="宋体" w:cs="宋体"/>
              </w:rPr>
              <w:t>①</w:t>
            </w:r>
            <w:r>
              <w:t>-</w:t>
            </w:r>
            <w:r>
              <w:rPr>
                <w:rFonts w:hint="eastAsia" w:ascii="宋体" w:hAnsi="宋体" w:cs="宋体"/>
              </w:rPr>
              <w:t>②</w:t>
            </w:r>
            <w:r>
              <w:t>）</w:t>
            </w:r>
          </w:p>
        </w:tc>
        <w:tc>
          <w:tcPr>
            <w:tcW w:w="509" w:type="pct"/>
            <w:shd w:val="clear" w:color="auto" w:fill="auto"/>
            <w:vAlign w:val="center"/>
          </w:tcPr>
          <w:p>
            <w:pPr>
              <w:pStyle w:val="136"/>
            </w:pPr>
            <w:r>
              <w:t>0.1231</w:t>
            </w:r>
          </w:p>
        </w:tc>
        <w:tc>
          <w:tcPr>
            <w:tcW w:w="509" w:type="pct"/>
            <w:shd w:val="clear" w:color="auto" w:fill="auto"/>
            <w:vAlign w:val="center"/>
          </w:tcPr>
          <w:p>
            <w:pPr>
              <w:pStyle w:val="136"/>
            </w:pPr>
            <w:r>
              <w:t>0.1258</w:t>
            </w:r>
          </w:p>
        </w:tc>
        <w:tc>
          <w:tcPr>
            <w:tcW w:w="510" w:type="pct"/>
            <w:shd w:val="clear" w:color="auto" w:fill="auto"/>
            <w:vAlign w:val="center"/>
          </w:tcPr>
          <w:p>
            <w:pPr>
              <w:pStyle w:val="136"/>
            </w:pPr>
            <w:r>
              <w:t>0.1258</w:t>
            </w:r>
          </w:p>
        </w:tc>
        <w:tc>
          <w:tcPr>
            <w:tcW w:w="510" w:type="pct"/>
            <w:shd w:val="clear" w:color="auto" w:fill="auto"/>
            <w:vAlign w:val="center"/>
          </w:tcPr>
          <w:p>
            <w:pPr>
              <w:pStyle w:val="136"/>
            </w:pPr>
            <w:r>
              <w:t>0.1191</w:t>
            </w:r>
          </w:p>
        </w:tc>
        <w:tc>
          <w:tcPr>
            <w:tcW w:w="510" w:type="pct"/>
            <w:shd w:val="clear" w:color="auto" w:fill="auto"/>
            <w:vAlign w:val="center"/>
          </w:tcPr>
          <w:p>
            <w:pPr>
              <w:pStyle w:val="136"/>
            </w:pPr>
            <w:r>
              <w:t>0.1251</w:t>
            </w:r>
          </w:p>
        </w:tc>
        <w:tc>
          <w:tcPr>
            <w:tcW w:w="510" w:type="pct"/>
            <w:shd w:val="clear" w:color="auto" w:fill="auto"/>
            <w:vAlign w:val="center"/>
          </w:tcPr>
          <w:p>
            <w:pPr>
              <w:pStyle w:val="136"/>
            </w:pPr>
            <w:r>
              <w:t>0.1302</w:t>
            </w:r>
          </w:p>
        </w:tc>
        <w:tc>
          <w:tcPr>
            <w:tcW w:w="510" w:type="pct"/>
            <w:shd w:val="clear" w:color="auto" w:fill="auto"/>
            <w:vAlign w:val="center"/>
          </w:tcPr>
          <w:p>
            <w:pPr>
              <w:pStyle w:val="136"/>
            </w:pPr>
            <w:r>
              <w:t>0.112</w:t>
            </w:r>
          </w:p>
        </w:tc>
        <w:tc>
          <w:tcPr>
            <w:tcW w:w="513" w:type="pct"/>
            <w:shd w:val="clear" w:color="auto" w:fill="auto"/>
            <w:vAlign w:val="center"/>
          </w:tcPr>
          <w:p>
            <w:pPr>
              <w:pStyle w:val="136"/>
            </w:pPr>
            <w:r>
              <w:t>0.0995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变化量（</w:t>
            </w:r>
            <w:r>
              <w:rPr>
                <w:rFonts w:hint="eastAsia" w:ascii="宋体" w:hAnsi="宋体" w:cs="宋体"/>
              </w:rPr>
              <w:t>②</w:t>
            </w:r>
            <w:r>
              <w:t>-</w:t>
            </w:r>
            <w:r>
              <w:rPr>
                <w:rFonts w:hint="eastAsia" w:ascii="宋体" w:hAnsi="宋体" w:cs="宋体"/>
              </w:rPr>
              <w:t>①</w:t>
            </w:r>
            <w:r>
              <w:t>）</w:t>
            </w:r>
          </w:p>
        </w:tc>
        <w:tc>
          <w:tcPr>
            <w:tcW w:w="509" w:type="pct"/>
            <w:shd w:val="clear" w:color="auto" w:fill="auto"/>
            <w:vAlign w:val="center"/>
          </w:tcPr>
          <w:p>
            <w:pPr>
              <w:pStyle w:val="136"/>
            </w:pPr>
            <w:r>
              <w:t>-0.1231</w:t>
            </w:r>
          </w:p>
        </w:tc>
        <w:tc>
          <w:tcPr>
            <w:tcW w:w="509" w:type="pct"/>
            <w:shd w:val="clear" w:color="auto" w:fill="auto"/>
            <w:vAlign w:val="center"/>
          </w:tcPr>
          <w:p>
            <w:pPr>
              <w:pStyle w:val="136"/>
            </w:pPr>
            <w:r>
              <w:t>-0.1258</w:t>
            </w:r>
          </w:p>
        </w:tc>
        <w:tc>
          <w:tcPr>
            <w:tcW w:w="510" w:type="pct"/>
            <w:shd w:val="clear" w:color="auto" w:fill="auto"/>
            <w:vAlign w:val="center"/>
          </w:tcPr>
          <w:p>
            <w:pPr>
              <w:pStyle w:val="136"/>
            </w:pPr>
            <w:r>
              <w:t>-0.1258</w:t>
            </w:r>
          </w:p>
        </w:tc>
        <w:tc>
          <w:tcPr>
            <w:tcW w:w="510" w:type="pct"/>
            <w:shd w:val="clear" w:color="auto" w:fill="auto"/>
            <w:vAlign w:val="center"/>
          </w:tcPr>
          <w:p>
            <w:pPr>
              <w:pStyle w:val="136"/>
            </w:pPr>
            <w:r>
              <w:t>-0.1191</w:t>
            </w:r>
          </w:p>
        </w:tc>
        <w:tc>
          <w:tcPr>
            <w:tcW w:w="510" w:type="pct"/>
            <w:shd w:val="clear" w:color="auto" w:fill="auto"/>
            <w:vAlign w:val="center"/>
          </w:tcPr>
          <w:p>
            <w:pPr>
              <w:pStyle w:val="136"/>
            </w:pPr>
            <w:r>
              <w:t>-0.1251</w:t>
            </w:r>
          </w:p>
        </w:tc>
        <w:tc>
          <w:tcPr>
            <w:tcW w:w="510" w:type="pct"/>
            <w:shd w:val="clear" w:color="auto" w:fill="auto"/>
            <w:vAlign w:val="center"/>
          </w:tcPr>
          <w:p>
            <w:pPr>
              <w:pStyle w:val="136"/>
            </w:pPr>
            <w:r>
              <w:t>-0.1302</w:t>
            </w:r>
          </w:p>
        </w:tc>
        <w:tc>
          <w:tcPr>
            <w:tcW w:w="510" w:type="pct"/>
            <w:shd w:val="clear" w:color="auto" w:fill="auto"/>
            <w:vAlign w:val="center"/>
          </w:tcPr>
          <w:p>
            <w:pPr>
              <w:pStyle w:val="136"/>
            </w:pPr>
            <w:r>
              <w:t>-0.112</w:t>
            </w:r>
          </w:p>
        </w:tc>
        <w:tc>
          <w:tcPr>
            <w:tcW w:w="513" w:type="pct"/>
            <w:shd w:val="clear" w:color="auto" w:fill="auto"/>
            <w:vAlign w:val="center"/>
          </w:tcPr>
          <w:p>
            <w:pPr>
              <w:pStyle w:val="136"/>
            </w:pPr>
            <w:r>
              <w:t>-0.0995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变幅（%）</w:t>
            </w:r>
          </w:p>
        </w:tc>
        <w:tc>
          <w:tcPr>
            <w:tcW w:w="509" w:type="pct"/>
            <w:shd w:val="clear" w:color="auto" w:fill="auto"/>
            <w:vAlign w:val="center"/>
          </w:tcPr>
          <w:p>
            <w:pPr>
              <w:pStyle w:val="136"/>
            </w:pPr>
            <w:r>
              <w:t>100</w:t>
            </w:r>
          </w:p>
        </w:tc>
        <w:tc>
          <w:tcPr>
            <w:tcW w:w="509" w:type="pct"/>
            <w:shd w:val="clear" w:color="auto" w:fill="auto"/>
            <w:vAlign w:val="center"/>
          </w:tcPr>
          <w:p>
            <w:pPr>
              <w:pStyle w:val="136"/>
            </w:pPr>
            <w:r>
              <w:t>100</w:t>
            </w:r>
          </w:p>
        </w:tc>
        <w:tc>
          <w:tcPr>
            <w:tcW w:w="510" w:type="pct"/>
            <w:shd w:val="clear" w:color="auto" w:fill="auto"/>
            <w:vAlign w:val="center"/>
          </w:tcPr>
          <w:p>
            <w:pPr>
              <w:pStyle w:val="136"/>
            </w:pPr>
            <w:r>
              <w:t>100</w:t>
            </w:r>
          </w:p>
        </w:tc>
        <w:tc>
          <w:tcPr>
            <w:tcW w:w="510" w:type="pct"/>
            <w:shd w:val="clear" w:color="auto" w:fill="auto"/>
            <w:vAlign w:val="center"/>
          </w:tcPr>
          <w:p>
            <w:pPr>
              <w:pStyle w:val="136"/>
            </w:pPr>
            <w:r>
              <w:t>100</w:t>
            </w:r>
          </w:p>
        </w:tc>
        <w:tc>
          <w:tcPr>
            <w:tcW w:w="510" w:type="pct"/>
            <w:shd w:val="clear" w:color="auto" w:fill="auto"/>
            <w:vAlign w:val="center"/>
          </w:tcPr>
          <w:p>
            <w:pPr>
              <w:pStyle w:val="136"/>
            </w:pPr>
            <w:r>
              <w:t>100</w:t>
            </w:r>
          </w:p>
        </w:tc>
        <w:tc>
          <w:tcPr>
            <w:tcW w:w="510" w:type="pct"/>
            <w:shd w:val="clear" w:color="auto" w:fill="auto"/>
            <w:vAlign w:val="center"/>
          </w:tcPr>
          <w:p>
            <w:pPr>
              <w:pStyle w:val="136"/>
            </w:pPr>
            <w:r>
              <w:t>100</w:t>
            </w:r>
          </w:p>
        </w:tc>
        <w:tc>
          <w:tcPr>
            <w:tcW w:w="510" w:type="pct"/>
            <w:shd w:val="clear" w:color="auto" w:fill="auto"/>
            <w:vAlign w:val="center"/>
          </w:tcPr>
          <w:p>
            <w:pPr>
              <w:pStyle w:val="136"/>
            </w:pPr>
            <w:r>
              <w:t>100</w:t>
            </w:r>
          </w:p>
        </w:tc>
        <w:tc>
          <w:tcPr>
            <w:tcW w:w="513" w:type="pct"/>
            <w:shd w:val="clear" w:color="auto" w:fill="auto"/>
            <w:vAlign w:val="center"/>
          </w:tcPr>
          <w:p>
            <w:pPr>
              <w:pStyle w:val="136"/>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19" w:type="pct"/>
            <w:shd w:val="clear" w:color="auto" w:fill="auto"/>
            <w:vAlign w:val="center"/>
          </w:tcPr>
          <w:p>
            <w:pPr>
              <w:pStyle w:val="136"/>
            </w:pPr>
            <w:r>
              <w:t>生态基流要求</w:t>
            </w:r>
          </w:p>
        </w:tc>
        <w:tc>
          <w:tcPr>
            <w:tcW w:w="509" w:type="pct"/>
            <w:shd w:val="clear" w:color="auto" w:fill="auto"/>
            <w:vAlign w:val="center"/>
          </w:tcPr>
          <w:p>
            <w:pPr>
              <w:pStyle w:val="136"/>
            </w:pPr>
            <w:r>
              <w:t>0</w:t>
            </w:r>
          </w:p>
        </w:tc>
        <w:tc>
          <w:tcPr>
            <w:tcW w:w="509"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0" w:type="pct"/>
            <w:shd w:val="clear" w:color="auto" w:fill="auto"/>
            <w:vAlign w:val="center"/>
          </w:tcPr>
          <w:p>
            <w:pPr>
              <w:pStyle w:val="136"/>
            </w:pPr>
            <w:r>
              <w:t>0</w:t>
            </w:r>
          </w:p>
        </w:tc>
        <w:tc>
          <w:tcPr>
            <w:tcW w:w="513" w:type="pct"/>
            <w:shd w:val="clear" w:color="auto" w:fill="auto"/>
            <w:vAlign w:val="center"/>
          </w:tcPr>
          <w:p>
            <w:pPr>
              <w:pStyle w:val="136"/>
            </w:pPr>
            <w:r>
              <w:t>0</w:t>
            </w:r>
          </w:p>
        </w:tc>
      </w:tr>
    </w:tbl>
    <w:p>
      <w:pPr>
        <w:ind w:firstLine="480"/>
        <w:rPr>
          <w:rFonts w:cs="Times New Roman"/>
        </w:rPr>
      </w:pPr>
    </w:p>
    <w:p>
      <w:pPr>
        <w:ind w:firstLine="480"/>
        <w:rPr>
          <w:rFonts w:cs="Times New Roman"/>
        </w:rPr>
      </w:pPr>
      <w:r>
        <w:rPr>
          <w:rFonts w:cs="Times New Roman"/>
        </w:rPr>
        <w:t>本工程可行性研究报告，根据《新疆重要江河湖泊生态水量保障方案》及《新疆内陆河湖基本生态水量（流量）确定技术指南（试行）》，确定代尔昆代郭勒河流域基本生态水量保证率取85%，具体取值为坝址断面多年平均来水条件下各月月均天然流量的10%；代尔昆代水库坝址断面多年平均径流量为834.4万m</w:t>
      </w:r>
      <w:r>
        <w:rPr>
          <w:rFonts w:cs="Times New Roman"/>
          <w:vertAlign w:val="superscript"/>
        </w:rPr>
        <w:t>3</w:t>
      </w:r>
      <w:r>
        <w:rPr>
          <w:rFonts w:cs="Times New Roman"/>
        </w:rPr>
        <w:t>，则生态水量为83.44万m</w:t>
      </w:r>
      <w:r>
        <w:rPr>
          <w:rFonts w:cs="Times New Roman"/>
          <w:vertAlign w:val="superscript"/>
        </w:rPr>
        <w:t>3</w:t>
      </w:r>
      <w:r>
        <w:rPr>
          <w:rFonts w:cs="Times New Roman"/>
        </w:rPr>
        <w:t>。据此生态流量，主体设计以上述生态流量拟定了水库初期蓄水计划。</w:t>
      </w:r>
    </w:p>
    <w:p>
      <w:pPr>
        <w:ind w:firstLine="480"/>
        <w:rPr>
          <w:rFonts w:cs="Times New Roman"/>
        </w:rPr>
      </w:pPr>
      <w:r>
        <w:rPr>
          <w:rFonts w:cs="Times New Roman"/>
        </w:rPr>
        <w:t>据表5.2-1可知：代尔昆代水库初期蓄水期间，坝址断面水量减幅较为明显，均超过了80%；95%来水频率下，由于未泄放生态流量，坝址断面流量减幅100%。</w:t>
      </w:r>
    </w:p>
    <w:p>
      <w:pPr>
        <w:ind w:firstLine="480"/>
        <w:rPr>
          <w:rFonts w:cs="Times New Roman"/>
        </w:rPr>
      </w:pPr>
      <w:r>
        <w:rPr>
          <w:rFonts w:cs="Times New Roman"/>
        </w:rPr>
        <w:t>代尔昆代郭勒河流域规划环评阶段对生态流量进行细化提出，代尔昆代水库坝址断面生态流量保证率为p=85%，具体要求为：代尔昆代水库坝址断面（1～5月、10～12月）下泄生态流量不低于多年平均流量的10%；6月、9月下泄生态流量不低于多年平均流量的19%；汛期7月、8月下泄生态流量不低于多年平均流量的30%。后期在淖毛湖区域工业用水有替代水源或通过提高工业用水重复利用率、灌溉节水效率后，适当减少代尔昆代水库向淖毛湖区域供水，使代尔昆代郭勒流域6月、9月下泄生态水量达到多年平均天然流量的30%。规划环评审查意见提出水库工程坝址断面下泄生态流量：丰水期不小于多年平均天然径流量的30%、枯水期不小于多年平均天然径流量的10%。</w:t>
      </w:r>
    </w:p>
    <w:p>
      <w:pPr>
        <w:ind w:firstLine="480"/>
        <w:rPr>
          <w:rFonts w:cs="Times New Roman"/>
        </w:rPr>
      </w:pPr>
      <w:r>
        <w:rPr>
          <w:rFonts w:cs="Times New Roman"/>
        </w:rPr>
        <w:t>对此，本次评价提出，主</w:t>
      </w:r>
      <w:r>
        <w:rPr>
          <w:rFonts w:hint="eastAsia" w:cs="Times New Roman"/>
          <w:lang w:eastAsia="zh-CN"/>
        </w:rPr>
        <w:t>体</w:t>
      </w:r>
      <w:r>
        <w:rPr>
          <w:rFonts w:cs="Times New Roman"/>
        </w:rPr>
        <w:t>设计应优化水库初期蓄水计划，满足流域规划环评批复的生态流量下泄要求。</w:t>
      </w:r>
    </w:p>
    <w:p>
      <w:pPr>
        <w:pStyle w:val="4"/>
        <w:rPr>
          <w:rFonts w:cs="Times New Roman"/>
        </w:rPr>
      </w:pPr>
      <w:r>
        <w:rPr>
          <w:rFonts w:cs="Times New Roman"/>
        </w:rPr>
        <w:t>5.2.3 运行期对水文情势的影响</w:t>
      </w:r>
    </w:p>
    <w:p>
      <w:pPr>
        <w:pStyle w:val="62"/>
        <w:rPr>
          <w:rFonts w:cs="Times New Roman"/>
        </w:rPr>
      </w:pPr>
      <w:r>
        <w:rPr>
          <w:rFonts w:cs="Times New Roman"/>
        </w:rPr>
        <w:t>5.2.3.1 对库区河段水文情势的影响</w:t>
      </w:r>
    </w:p>
    <w:p>
      <w:pPr>
        <w:ind w:firstLine="480"/>
        <w:rPr>
          <w:rFonts w:cs="Times New Roman"/>
        </w:rPr>
      </w:pPr>
      <w:r>
        <w:rPr>
          <w:rFonts w:cs="Times New Roman"/>
        </w:rPr>
        <w:t>代尔昆代水库建成运行后，水库蓄水</w:t>
      </w:r>
      <w:r>
        <w:rPr>
          <w:rFonts w:hint="eastAsia" w:cs="Times New Roman"/>
          <w:lang w:eastAsia="zh-CN"/>
        </w:rPr>
        <w:t>将</w:t>
      </w:r>
      <w:r>
        <w:rPr>
          <w:rFonts w:cs="Times New Roman"/>
        </w:rPr>
        <w:t>使库区河段的水位、水面积、水深及流速等发生变化。</w:t>
      </w:r>
    </w:p>
    <w:p>
      <w:pPr>
        <w:ind w:firstLine="480"/>
        <w:rPr>
          <w:rFonts w:cs="Times New Roman"/>
        </w:rPr>
      </w:pPr>
      <w:r>
        <w:rPr>
          <w:rFonts w:cs="Times New Roman"/>
        </w:rPr>
        <w:t>代尔昆代水库建成后，正常蓄水位1981.85m时，坝前水位高约31.85m，回水长1.46km，因水库位于代尔昆代郭勒河中上游峡谷段，库区淹没面积很小，水面面积较建库前扩大了18.37hm</w:t>
      </w:r>
      <w:r>
        <w:rPr>
          <w:rFonts w:cs="Times New Roman"/>
          <w:vertAlign w:val="superscript"/>
        </w:rPr>
        <w:t>2</w:t>
      </w:r>
      <w:r>
        <w:rPr>
          <w:rFonts w:cs="Times New Roman"/>
        </w:rPr>
        <w:t>，库区河段水体流速则会有所减缓。</w:t>
      </w:r>
    </w:p>
    <w:p>
      <w:pPr>
        <w:pStyle w:val="62"/>
        <w:rPr>
          <w:rFonts w:cs="Times New Roman"/>
        </w:rPr>
      </w:pPr>
      <w:r>
        <w:rPr>
          <w:rFonts w:cs="Times New Roman"/>
        </w:rPr>
        <w:t>5.2.3.2 对坝下河段水文情势的影响</w:t>
      </w:r>
    </w:p>
    <w:p>
      <w:pPr>
        <w:ind w:firstLine="480"/>
        <w:rPr>
          <w:rFonts w:cs="Times New Roman"/>
        </w:rPr>
      </w:pPr>
      <w:r>
        <w:rPr>
          <w:rFonts w:cs="Times New Roman"/>
        </w:rPr>
        <w:t>代尔昆代水库坝址位于代尔昆代郭勒河出山口以上约6.5km处，坝址断面年均径流量834万m</w:t>
      </w:r>
      <w:r>
        <w:rPr>
          <w:rFonts w:cs="Times New Roman"/>
          <w:vertAlign w:val="superscript"/>
        </w:rPr>
        <w:t>3</w:t>
      </w:r>
      <w:r>
        <w:rPr>
          <w:rFonts w:cs="Times New Roman"/>
        </w:rPr>
        <w:t>、年均流量0.26m</w:t>
      </w:r>
      <w:r>
        <w:rPr>
          <w:rFonts w:cs="Times New Roman"/>
          <w:vertAlign w:val="superscript"/>
        </w:rPr>
        <w:t>3</w:t>
      </w:r>
      <w:r>
        <w:rPr>
          <w:rFonts w:cs="Times New Roman"/>
        </w:rPr>
        <w:t>/s；河流水量小且不稳定，加之河床下渗严重，山区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w:t>
      </w:r>
    </w:p>
    <w:p>
      <w:pPr>
        <w:ind w:firstLine="480"/>
        <w:rPr>
          <w:rFonts w:cs="Times New Roman"/>
        </w:rPr>
      </w:pPr>
      <w:r>
        <w:rPr>
          <w:rFonts w:cs="Times New Roman"/>
        </w:rPr>
        <w:t>综合上述分析，结合现场调查，代尔昆代水库坝址断面存在地表明流主要集中在6、7、8月，其他月份坝址断面基本均无地表明流，仅在发生融雪或暴雨天气时，可能形成短期地表明流。</w:t>
      </w:r>
    </w:p>
    <w:p>
      <w:pPr>
        <w:ind w:firstLine="480"/>
        <w:rPr>
          <w:rFonts w:cs="Times New Roman"/>
        </w:rPr>
      </w:pPr>
      <w:r>
        <w:rPr>
          <w:rFonts w:cs="Times New Roman"/>
        </w:rPr>
        <w:t>结合上述分析，代尔昆代水库</w:t>
      </w:r>
      <w:r>
        <w:rPr>
          <w:rFonts w:cs="Times New Roman"/>
          <w:lang w:val="zh-CN"/>
        </w:rPr>
        <w:t>具有年</w:t>
      </w:r>
      <w:r>
        <w:rPr>
          <w:rFonts w:cs="Times New Roman"/>
        </w:rPr>
        <w:t>调节性能，工程建成后，受控于水库调蓄及供水，坝址下泄水量减少；考虑到代尔昆代郭勒河河道径流特性，加之无鱼类等保护目标分布，水库下游也无地表水资源利用需求，因此，本次评价仅分析代尔昆代水库坝址断面下泄水量的变化，不</w:t>
      </w:r>
      <w:r>
        <w:rPr>
          <w:rFonts w:hint="eastAsia" w:cs="Times New Roman"/>
          <w:lang w:eastAsia="zh-CN"/>
        </w:rPr>
        <w:t>再</w:t>
      </w:r>
      <w:r>
        <w:rPr>
          <w:rFonts w:cs="Times New Roman"/>
        </w:rPr>
        <w:t>分析水动力参数变化。</w:t>
      </w:r>
    </w:p>
    <w:p>
      <w:pPr>
        <w:ind w:firstLine="480"/>
        <w:rPr>
          <w:rFonts w:cs="Times New Roman"/>
        </w:rPr>
      </w:pPr>
      <w:r>
        <w:rPr>
          <w:rFonts w:cs="Times New Roman"/>
        </w:rPr>
        <w:t>根据可研报告，代尔昆代水库坝址断面生态流量按照保证率85%、多年平均流量的10%为前提，代尔昆代水库坝址断面不同来水频率下下泄水量变化统计见表5.2-2、表5.2-3。</w:t>
      </w:r>
    </w:p>
    <w:p>
      <w:pPr>
        <w:ind w:firstLine="480"/>
        <w:rPr>
          <w:rFonts w:cs="Times New Roman"/>
        </w:rPr>
      </w:pPr>
      <w:r>
        <w:rPr>
          <w:rFonts w:cs="Times New Roman"/>
        </w:rPr>
        <w:t>据表5.2-2、表5.2-3可知：</w:t>
      </w:r>
    </w:p>
    <w:p>
      <w:pPr>
        <w:ind w:firstLine="480"/>
        <w:rPr>
          <w:rFonts w:cs="Times New Roman"/>
        </w:rPr>
      </w:pPr>
      <w:r>
        <w:rPr>
          <w:rFonts w:cs="Times New Roman"/>
        </w:rPr>
        <w:t>P=50%来水频率下，代尔昆代水库坝址断面水文情势受水库上游天然来水、供水及水库调蓄影响，设计水平年，因水库蒸发渗漏损失，断面年水量较现状年减少24.88万m</w:t>
      </w:r>
      <w:r>
        <w:rPr>
          <w:rFonts w:cs="Times New Roman"/>
          <w:vertAlign w:val="superscript"/>
        </w:rPr>
        <w:t>3</w:t>
      </w:r>
      <w:r>
        <w:rPr>
          <w:rFonts w:cs="Times New Roman"/>
        </w:rPr>
        <w:t>；年内4～10月，水库供水，断面流量较现状年减少0.02～0.3m</w:t>
      </w:r>
      <w:r>
        <w:rPr>
          <w:rFonts w:cs="Times New Roman"/>
          <w:vertAlign w:val="superscript"/>
        </w:rPr>
        <w:t>3</w:t>
      </w:r>
      <w:r>
        <w:rPr>
          <w:rFonts w:cs="Times New Roman"/>
        </w:rPr>
        <w:t>/s；11月～次年3月，水库蓄水，断面流量较现状年减少0.06～0.17m</w:t>
      </w:r>
      <w:r>
        <w:rPr>
          <w:rFonts w:cs="Times New Roman"/>
          <w:vertAlign w:val="superscript"/>
        </w:rPr>
        <w:t>3</w:t>
      </w:r>
      <w:r>
        <w:rPr>
          <w:rFonts w:cs="Times New Roman"/>
        </w:rPr>
        <w:t>/s；断面流量最大减幅出现在7月。</w:t>
      </w:r>
    </w:p>
    <w:p>
      <w:pPr>
        <w:ind w:firstLine="480"/>
        <w:rPr>
          <w:rFonts w:cs="Times New Roman"/>
        </w:rPr>
      </w:pPr>
      <w:r>
        <w:rPr>
          <w:rFonts w:cs="Times New Roman"/>
        </w:rPr>
        <w:t>P=85%来水频率下，代尔昆代水库坝址断面水文情势受水库上游天然来水、供水及水库调蓄影响，设计水平年，因水库蒸发渗漏损失，断面年水量较现状年减少26.7万m</w:t>
      </w:r>
      <w:r>
        <w:rPr>
          <w:rFonts w:cs="Times New Roman"/>
          <w:vertAlign w:val="superscript"/>
        </w:rPr>
        <w:t>3</w:t>
      </w:r>
      <w:r>
        <w:rPr>
          <w:rFonts w:cs="Times New Roman"/>
        </w:rPr>
        <w:t>；年内4～10月，水库供水，断面流量较现状年减少0.07～0.17m</w:t>
      </w:r>
      <w:r>
        <w:rPr>
          <w:rFonts w:cs="Times New Roman"/>
          <w:vertAlign w:val="superscript"/>
        </w:rPr>
        <w:t>3</w:t>
      </w:r>
      <w:r>
        <w:rPr>
          <w:rFonts w:cs="Times New Roman"/>
        </w:rPr>
        <w:t>/s；11月～次年3月，水库蓄水，断面流量较现状年减少0.11～0.13m</w:t>
      </w:r>
      <w:r>
        <w:rPr>
          <w:rFonts w:cs="Times New Roman"/>
          <w:vertAlign w:val="superscript"/>
        </w:rPr>
        <w:t>3</w:t>
      </w:r>
      <w:r>
        <w:rPr>
          <w:rFonts w:cs="Times New Roman"/>
        </w:rPr>
        <w:t>/s；断面流量最大减幅出现在3月。</w:t>
      </w:r>
    </w:p>
    <w:p>
      <w:pPr>
        <w:ind w:firstLine="480"/>
        <w:rPr>
          <w:rFonts w:cs="Times New Roman"/>
        </w:rPr>
      </w:pPr>
      <w:r>
        <w:rPr>
          <w:rFonts w:cs="Times New Roman"/>
        </w:rPr>
        <w:t>P=95%来水频率下，代尔昆代水库坝址断面水文情势受水库上游天然来水、供水及水库调蓄影响，设计水平年，因水库蒸发渗漏损失，断面年水量较现状年减少27.79万m</w:t>
      </w:r>
      <w:r>
        <w:rPr>
          <w:rFonts w:cs="Times New Roman"/>
          <w:vertAlign w:val="superscript"/>
        </w:rPr>
        <w:t>3</w:t>
      </w:r>
      <w:r>
        <w:rPr>
          <w:rFonts w:cs="Times New Roman"/>
        </w:rPr>
        <w:t>；年内4～10月，水库供水，断面流量较现状年减少0.07～0.18m</w:t>
      </w:r>
      <w:r>
        <w:rPr>
          <w:rFonts w:cs="Times New Roman"/>
          <w:vertAlign w:val="superscript"/>
        </w:rPr>
        <w:t>3</w:t>
      </w:r>
      <w:r>
        <w:rPr>
          <w:rFonts w:cs="Times New Roman"/>
        </w:rPr>
        <w:t>/s；11月～次年3月，水库蓄水，断面流量较现状年减少0.11～0.13m</w:t>
      </w:r>
      <w:r>
        <w:rPr>
          <w:rFonts w:cs="Times New Roman"/>
          <w:vertAlign w:val="superscript"/>
        </w:rPr>
        <w:t>3</w:t>
      </w:r>
      <w:r>
        <w:rPr>
          <w:rFonts w:cs="Times New Roman"/>
        </w:rPr>
        <w:t>/s；由于该频率未预留生态流量，各月流量减幅均较大。</w:t>
      </w:r>
    </w:p>
    <w:p>
      <w:pPr>
        <w:ind w:firstLine="480"/>
        <w:rPr>
          <w:rFonts w:cs="Times New Roman"/>
        </w:rPr>
        <w:sectPr>
          <w:headerReference r:id="rId31" w:type="first"/>
          <w:footerReference r:id="rId34" w:type="first"/>
          <w:headerReference r:id="rId29" w:type="default"/>
          <w:footerReference r:id="rId32" w:type="default"/>
          <w:headerReference r:id="rId30" w:type="even"/>
          <w:footerReference r:id="rId33" w:type="even"/>
          <w:pgSz w:w="11906" w:h="16838"/>
          <w:pgMar w:top="1418" w:right="1418" w:bottom="1418" w:left="1418" w:header="851" w:footer="992" w:gutter="0"/>
          <w:cols w:space="425" w:num="1"/>
          <w:docGrid w:type="lines" w:linePitch="312" w:charSpace="0"/>
        </w:sectPr>
      </w:pPr>
    </w:p>
    <w:p>
      <w:pPr>
        <w:pStyle w:val="137"/>
        <w:spacing w:before="62"/>
      </w:pPr>
      <w:r>
        <w:t>表5.2-2                           不同来水频率下代尔昆代水库坝址断面下泄水量变化统计表               单位：m³/s、万m</w:t>
      </w:r>
      <w:r>
        <w:rPr>
          <w:vertAlign w:val="superscript"/>
        </w:rPr>
        <w:t>3</w:t>
      </w:r>
    </w:p>
    <w:tbl>
      <w:tblPr>
        <w:tblStyle w:val="40"/>
        <w:tblW w:w="5000" w:type="pct"/>
        <w:tblInd w:w="0" w:type="dxa"/>
        <w:tblLayout w:type="autofit"/>
        <w:tblCellMar>
          <w:top w:w="0" w:type="dxa"/>
          <w:left w:w="108" w:type="dxa"/>
          <w:bottom w:w="0" w:type="dxa"/>
          <w:right w:w="108" w:type="dxa"/>
        </w:tblCellMar>
      </w:tblPr>
      <w:tblGrid>
        <w:gridCol w:w="1006"/>
        <w:gridCol w:w="1578"/>
        <w:gridCol w:w="77"/>
        <w:gridCol w:w="1658"/>
        <w:gridCol w:w="768"/>
        <w:gridCol w:w="768"/>
        <w:gridCol w:w="768"/>
        <w:gridCol w:w="768"/>
        <w:gridCol w:w="768"/>
        <w:gridCol w:w="768"/>
        <w:gridCol w:w="680"/>
        <w:gridCol w:w="768"/>
        <w:gridCol w:w="768"/>
        <w:gridCol w:w="768"/>
        <w:gridCol w:w="768"/>
        <w:gridCol w:w="768"/>
        <w:gridCol w:w="771"/>
      </w:tblGrid>
      <w:tr>
        <w:tblPrEx>
          <w:tblCellMar>
            <w:top w:w="0" w:type="dxa"/>
            <w:left w:w="108" w:type="dxa"/>
            <w:bottom w:w="0" w:type="dxa"/>
            <w:right w:w="108" w:type="dxa"/>
          </w:tblCellMar>
        </w:tblPrEx>
        <w:trPr>
          <w:trHeight w:val="315" w:hRule="atLeast"/>
          <w:tblHeader/>
        </w:trPr>
        <w:tc>
          <w:tcPr>
            <w:tcW w:w="354" w:type="pct"/>
            <w:tcBorders>
              <w:top w:val="single" w:color="auto" w:sz="4" w:space="0"/>
              <w:left w:val="single" w:color="auto" w:sz="4" w:space="0"/>
              <w:bottom w:val="single" w:color="auto" w:sz="4" w:space="0"/>
              <w:right w:val="single" w:color="auto" w:sz="4" w:space="0"/>
            </w:tcBorders>
          </w:tcPr>
          <w:p>
            <w:pPr>
              <w:pStyle w:val="136"/>
            </w:pPr>
            <w:r>
              <w:t>来水频率</w:t>
            </w:r>
          </w:p>
        </w:tc>
        <w:tc>
          <w:tcPr>
            <w:tcW w:w="1165" w:type="pct"/>
            <w:gridSpan w:val="3"/>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pStyle w:val="136"/>
            </w:pPr>
            <w:r>
              <w:t>时间</w:t>
            </w:r>
          </w:p>
          <w:p>
            <w:pPr>
              <w:pStyle w:val="136"/>
            </w:pPr>
            <w:r>
              <w:t>项目</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2月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3月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4月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5月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6月</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7月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8月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9月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11月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12月</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水量</w:t>
            </w:r>
          </w:p>
        </w:tc>
      </w:tr>
      <w:tr>
        <w:tblPrEx>
          <w:tblCellMar>
            <w:top w:w="0" w:type="dxa"/>
            <w:left w:w="108" w:type="dxa"/>
            <w:bottom w:w="0" w:type="dxa"/>
            <w:right w:w="108" w:type="dxa"/>
          </w:tblCellMar>
        </w:tblPrEx>
        <w:trPr>
          <w:trHeight w:val="315" w:hRule="atLeast"/>
        </w:trPr>
        <w:tc>
          <w:tcPr>
            <w:tcW w:w="354" w:type="pct"/>
            <w:vMerge w:val="restart"/>
            <w:tcBorders>
              <w:top w:val="single" w:color="auto" w:sz="4" w:space="0"/>
              <w:left w:val="single" w:color="auto" w:sz="4" w:space="0"/>
              <w:bottom w:val="single" w:color="auto" w:sz="4" w:space="0"/>
              <w:right w:val="single" w:color="auto" w:sz="4" w:space="0"/>
            </w:tcBorders>
            <w:vAlign w:val="center"/>
          </w:tcPr>
          <w:p>
            <w:pPr>
              <w:pStyle w:val="136"/>
            </w:pPr>
            <w:r>
              <w:t>P=50%</w:t>
            </w:r>
          </w:p>
        </w:tc>
        <w:tc>
          <w:tcPr>
            <w:tcW w:w="11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入库流量（天然来水）</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0.15</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0.17</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0.11</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0.69</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0.72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0.19</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0.15</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779.70</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蒸发渗漏损失水量</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24.88</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供水流量</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0.27</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0.29</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359.57</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5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坝址断面下泄流量</w:t>
            </w:r>
          </w:p>
        </w:tc>
        <w:tc>
          <w:tcPr>
            <w:tcW w:w="60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生态流量</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0.03</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0.06</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0.07</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83.44</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5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p>
        </w:tc>
        <w:tc>
          <w:tcPr>
            <w:tcW w:w="60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余水</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0.06</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0.07</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0.07</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0.06</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0.33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0.48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0.06</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0.06</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311.82</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5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p>
        </w:tc>
        <w:tc>
          <w:tcPr>
            <w:tcW w:w="60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合计</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0.08</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0.38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0.54</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395.26</w:t>
            </w:r>
          </w:p>
        </w:tc>
      </w:tr>
      <w:tr>
        <w:tblPrEx>
          <w:tblCellMar>
            <w:top w:w="0" w:type="dxa"/>
            <w:left w:w="108" w:type="dxa"/>
            <w:bottom w:w="0" w:type="dxa"/>
            <w:right w:w="108" w:type="dxa"/>
          </w:tblCellMar>
        </w:tblPrEx>
        <w:trPr>
          <w:trHeight w:val="223"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下泄流量相比入库流量的减少量</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0.15</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0.05</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0.03</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0.30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0.18</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0.17</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0.14</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384.44</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下泄流量相比入库流量的减幅（%）</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88.46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89.00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44.35</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37.29</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22.69</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28.66</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43.99</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24.44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59.16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57.65</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89.13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87.90</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49.31</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下泄流量占入库流量的百分比（%）</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11.54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11.00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55.65</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62.71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77.31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71.34</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56.01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75.56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40.84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42.35</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10.87</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12.10</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50.69</w:t>
            </w:r>
          </w:p>
        </w:tc>
      </w:tr>
      <w:tr>
        <w:tblPrEx>
          <w:tblCellMar>
            <w:top w:w="0" w:type="dxa"/>
            <w:left w:w="108" w:type="dxa"/>
            <w:bottom w:w="0" w:type="dxa"/>
            <w:right w:w="108" w:type="dxa"/>
          </w:tblCellMar>
        </w:tblPrEx>
        <w:trPr>
          <w:trHeight w:val="315" w:hRule="atLeast"/>
        </w:trPr>
        <w:tc>
          <w:tcPr>
            <w:tcW w:w="354" w:type="pct"/>
            <w:vMerge w:val="restart"/>
            <w:tcBorders>
              <w:top w:val="single" w:color="auto" w:sz="4" w:space="0"/>
              <w:left w:val="single" w:color="auto" w:sz="4" w:space="0"/>
              <w:bottom w:val="single" w:color="auto" w:sz="4" w:space="0"/>
              <w:right w:val="single" w:color="auto" w:sz="4" w:space="0"/>
            </w:tcBorders>
            <w:vAlign w:val="center"/>
          </w:tcPr>
          <w:p>
            <w:pPr>
              <w:pStyle w:val="136"/>
            </w:pPr>
            <w:r>
              <w:t>P=85%</w:t>
            </w:r>
          </w:p>
        </w:tc>
        <w:tc>
          <w:tcPr>
            <w:tcW w:w="11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入库流量（天然来水）</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0.08</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0.16</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0.37</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0.17</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0.15</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0.13</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507.00</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蒸发渗漏损失水量</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0.02</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26.70</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供水流量</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0.27</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0.29</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0.24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359.57</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582"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坝址断面下泄流量</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生态流量</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0.03</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0.06</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0.07</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83.44</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583"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余水</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0.14</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37.30</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583"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合计</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0.03</w:t>
            </w:r>
          </w:p>
        </w:tc>
        <w:tc>
          <w:tcPr>
            <w:tcW w:w="239"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0.20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0.07</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120.74</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下泄流量相比入库流量的减少量</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0.09</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0.07</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0.14</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0.17</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0.17</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0.11</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386.26</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下泄流量相比入库流量的减幅（%）</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86.14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86.48</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87.38</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86.64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85.67</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83.76</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46.08</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72.21</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84.18</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84.14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85.84</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85.74</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76.19</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下泄流量占入库流量的百分比（%）</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13.86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13.52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12.62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13.36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14.33</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16.24</w:t>
            </w:r>
          </w:p>
        </w:tc>
        <w:tc>
          <w:tcPr>
            <w:tcW w:w="239" w:type="pct"/>
            <w:tcBorders>
              <w:top w:val="single" w:color="auto" w:sz="4" w:space="0"/>
              <w:left w:val="nil"/>
              <w:bottom w:val="single" w:color="auto" w:sz="4" w:space="0"/>
              <w:right w:val="single" w:color="auto" w:sz="4" w:space="0"/>
            </w:tcBorders>
            <w:shd w:val="clear" w:color="auto" w:fill="auto"/>
            <w:noWrap/>
            <w:vAlign w:val="center"/>
          </w:tcPr>
          <w:p>
            <w:pPr>
              <w:pStyle w:val="136"/>
            </w:pPr>
            <w:r>
              <w:t>53.92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27.79</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15.82</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15.86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14.16</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pStyle w:val="136"/>
            </w:pPr>
            <w:r>
              <w:t>14.26</w:t>
            </w:r>
          </w:p>
        </w:tc>
        <w:tc>
          <w:tcPr>
            <w:tcW w:w="271" w:type="pct"/>
            <w:tcBorders>
              <w:top w:val="single" w:color="auto" w:sz="4" w:space="0"/>
              <w:left w:val="nil"/>
              <w:bottom w:val="single" w:color="auto" w:sz="4" w:space="0"/>
              <w:right w:val="single" w:color="auto" w:sz="4" w:space="0"/>
            </w:tcBorders>
            <w:shd w:val="clear" w:color="auto" w:fill="auto"/>
            <w:noWrap/>
            <w:vAlign w:val="center"/>
          </w:tcPr>
          <w:p>
            <w:pPr>
              <w:pStyle w:val="136"/>
            </w:pPr>
            <w:r>
              <w:t>23.81</w:t>
            </w:r>
          </w:p>
        </w:tc>
      </w:tr>
    </w:tbl>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pStyle w:val="137"/>
        <w:spacing w:before="62"/>
      </w:pPr>
      <w:r>
        <w:t>表5.2-3                         不同来水频率下代尔昆代水库坝址断面下泄水量变化统计表               单位：m³/s、万m</w:t>
      </w:r>
      <w:r>
        <w:rPr>
          <w:vertAlign w:val="superscript"/>
        </w:rPr>
        <w:t>3</w:t>
      </w:r>
    </w:p>
    <w:tbl>
      <w:tblPr>
        <w:tblStyle w:val="40"/>
        <w:tblW w:w="5000" w:type="pct"/>
        <w:tblInd w:w="0" w:type="dxa"/>
        <w:tblLayout w:type="autofit"/>
        <w:tblCellMar>
          <w:top w:w="0" w:type="dxa"/>
          <w:left w:w="108" w:type="dxa"/>
          <w:bottom w:w="0" w:type="dxa"/>
          <w:right w:w="108" w:type="dxa"/>
        </w:tblCellMar>
      </w:tblPr>
      <w:tblGrid>
        <w:gridCol w:w="1007"/>
        <w:gridCol w:w="1656"/>
        <w:gridCol w:w="1656"/>
        <w:gridCol w:w="768"/>
        <w:gridCol w:w="768"/>
        <w:gridCol w:w="768"/>
        <w:gridCol w:w="768"/>
        <w:gridCol w:w="768"/>
        <w:gridCol w:w="768"/>
        <w:gridCol w:w="677"/>
        <w:gridCol w:w="768"/>
        <w:gridCol w:w="768"/>
        <w:gridCol w:w="768"/>
        <w:gridCol w:w="769"/>
        <w:gridCol w:w="769"/>
        <w:gridCol w:w="772"/>
      </w:tblGrid>
      <w:tr>
        <w:tblPrEx>
          <w:tblCellMar>
            <w:top w:w="0" w:type="dxa"/>
            <w:left w:w="108" w:type="dxa"/>
            <w:bottom w:w="0" w:type="dxa"/>
            <w:right w:w="108" w:type="dxa"/>
          </w:tblCellMar>
        </w:tblPrEx>
        <w:trPr>
          <w:trHeight w:val="315" w:hRule="atLeast"/>
          <w:tblHeader/>
        </w:trPr>
        <w:tc>
          <w:tcPr>
            <w:tcW w:w="354" w:type="pct"/>
            <w:tcBorders>
              <w:top w:val="single" w:color="auto" w:sz="4" w:space="0"/>
              <w:left w:val="single" w:color="auto" w:sz="4" w:space="0"/>
              <w:bottom w:val="single" w:color="auto" w:sz="4" w:space="0"/>
              <w:right w:val="single" w:color="auto" w:sz="4" w:space="0"/>
            </w:tcBorders>
          </w:tcPr>
          <w:p>
            <w:pPr>
              <w:pStyle w:val="136"/>
            </w:pPr>
            <w:r>
              <w:t>来水频率</w:t>
            </w:r>
          </w:p>
        </w:tc>
        <w:tc>
          <w:tcPr>
            <w:tcW w:w="1164" w:type="pct"/>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pStyle w:val="136"/>
            </w:pPr>
            <w:r>
              <w:t xml:space="preserve">              时间</w:t>
            </w:r>
          </w:p>
          <w:p>
            <w:pPr>
              <w:pStyle w:val="136"/>
            </w:pPr>
            <w:r>
              <w:t>项目</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2月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3月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4月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5月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6月</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7月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8月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9月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11月</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12月</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水量</w:t>
            </w:r>
          </w:p>
        </w:tc>
      </w:tr>
      <w:tr>
        <w:tblPrEx>
          <w:tblCellMar>
            <w:top w:w="0" w:type="dxa"/>
            <w:left w:w="108" w:type="dxa"/>
            <w:bottom w:w="0" w:type="dxa"/>
            <w:right w:w="108" w:type="dxa"/>
          </w:tblCellMar>
        </w:tblPrEx>
        <w:trPr>
          <w:trHeight w:val="62" w:hRule="atLeast"/>
        </w:trPr>
        <w:tc>
          <w:tcPr>
            <w:tcW w:w="354" w:type="pct"/>
            <w:vMerge w:val="restart"/>
            <w:tcBorders>
              <w:top w:val="single" w:color="auto" w:sz="4" w:space="0"/>
              <w:left w:val="single" w:color="auto" w:sz="4" w:space="0"/>
              <w:bottom w:val="single" w:color="auto" w:sz="4" w:space="0"/>
              <w:right w:val="single" w:color="auto" w:sz="4" w:space="0"/>
            </w:tcBorders>
            <w:vAlign w:val="center"/>
          </w:tcPr>
          <w:p>
            <w:pPr>
              <w:pStyle w:val="136"/>
            </w:pPr>
            <w:r>
              <w:t>P=95%</w:t>
            </w:r>
          </w:p>
        </w:tc>
        <w:tc>
          <w:tcPr>
            <w:tcW w:w="11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入库流量（天然来水）</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0.07</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0.08</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0.20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0.12</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394.00</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蒸发渗漏损失水量</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27.79</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供水流量</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0.23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0.27</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0.29</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0.26</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0.24</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359.57</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5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坝址断面下泄流量</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生态流量</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58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余水</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6.64</w:t>
            </w:r>
          </w:p>
        </w:tc>
      </w:tr>
      <w:tr>
        <w:tblPrEx>
          <w:tblCellMar>
            <w:top w:w="0" w:type="dxa"/>
            <w:left w:w="108" w:type="dxa"/>
            <w:bottom w:w="0" w:type="dxa"/>
            <w:right w:w="108" w:type="dxa"/>
          </w:tblCellMar>
        </w:tblPrEx>
        <w:trPr>
          <w:trHeight w:val="315"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58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合计</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6.64</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下泄流量相比入库流量的减少量</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0.07</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0.08</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0.18</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0.12</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0.13</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0.12</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387.36</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下泄流量相比入库流量的减幅（%）</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87.91</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100.00</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98.31</w:t>
            </w:r>
          </w:p>
        </w:tc>
      </w:tr>
      <w:tr>
        <w:tblPrEx>
          <w:tblCellMar>
            <w:top w:w="0" w:type="dxa"/>
            <w:left w:w="108" w:type="dxa"/>
            <w:bottom w:w="0" w:type="dxa"/>
            <w:right w:w="108" w:type="dxa"/>
          </w:tblCellMar>
        </w:tblPrEx>
        <w:trPr>
          <w:trHeight w:val="62" w:hRule="atLeast"/>
        </w:trPr>
        <w:tc>
          <w:tcPr>
            <w:tcW w:w="354" w:type="pct"/>
            <w:vMerge w:val="continue"/>
            <w:tcBorders>
              <w:top w:val="single" w:color="auto" w:sz="4" w:space="0"/>
              <w:left w:val="single" w:color="auto" w:sz="4" w:space="0"/>
              <w:bottom w:val="single" w:color="auto" w:sz="4" w:space="0"/>
              <w:right w:val="single" w:color="auto" w:sz="4" w:space="0"/>
            </w:tcBorders>
          </w:tcPr>
          <w:p>
            <w:pPr>
              <w:pStyle w:val="136"/>
            </w:pPr>
          </w:p>
        </w:tc>
        <w:tc>
          <w:tcPr>
            <w:tcW w:w="11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6"/>
            </w:pPr>
            <w:r>
              <w:t>下泄流量占入库流量的百分比（%）</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12.09</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0.00</w:t>
            </w:r>
          </w:p>
        </w:tc>
        <w:tc>
          <w:tcPr>
            <w:tcW w:w="27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6"/>
            </w:pPr>
            <w:r>
              <w:t>1.69</w:t>
            </w:r>
          </w:p>
        </w:tc>
      </w:tr>
    </w:tbl>
    <w:p>
      <w:pPr>
        <w:ind w:firstLine="480"/>
        <w:rPr>
          <w:rFonts w:cs="Times New Roman"/>
        </w:rPr>
      </w:pPr>
    </w:p>
    <w:p>
      <w:pPr>
        <w:ind w:firstLine="480"/>
        <w:rPr>
          <w:rFonts w:cs="Times New Roman"/>
        </w:rPr>
        <w:sectPr>
          <w:type w:val="continuous"/>
          <w:pgSz w:w="16838" w:h="11906" w:orient="landscape"/>
          <w:pgMar w:top="1418" w:right="1418" w:bottom="1418" w:left="1418" w:header="851" w:footer="992" w:gutter="0"/>
          <w:cols w:space="425" w:num="1"/>
          <w:docGrid w:type="linesAndChars" w:linePitch="312" w:charSpace="0"/>
        </w:sectPr>
      </w:pPr>
    </w:p>
    <w:p>
      <w:pPr>
        <w:pStyle w:val="62"/>
        <w:rPr>
          <w:rFonts w:cs="Times New Roman"/>
        </w:rPr>
      </w:pPr>
      <w:r>
        <w:rPr>
          <w:rFonts w:cs="Times New Roman"/>
        </w:rPr>
        <w:t>5.2.3.3 对洪水的影响</w:t>
      </w:r>
    </w:p>
    <w:p>
      <w:pPr>
        <w:ind w:firstLine="480"/>
        <w:rPr>
          <w:rFonts w:cs="Times New Roman"/>
        </w:rPr>
      </w:pPr>
      <w:r>
        <w:rPr>
          <w:rFonts w:cs="Times New Roman"/>
        </w:rPr>
        <w:t>代尔昆代郭勒流域洪水主要发生在每年4月、5月、6～8月，由于流域河流坡降大，区域产生的融雪洪水或暴雨洪水往往洪量少流速大。因自然河道内地质构造原因，来水大量下渗，洪水持续时间短，洪水过程一般情况下历时3～5小时。</w:t>
      </w:r>
    </w:p>
    <w:p>
      <w:pPr>
        <w:ind w:firstLine="480"/>
        <w:rPr>
          <w:rFonts w:cs="Times New Roman"/>
        </w:rPr>
      </w:pPr>
      <w:r>
        <w:rPr>
          <w:rFonts w:cs="Times New Roman"/>
        </w:rPr>
        <w:t>代尔昆代水库为小（1）型水库，水库主要以人畜供水、灌溉为目的，无防洪任务，水库调洪只需解决大坝遭遇设计洪水和校核洪水时的安全</w:t>
      </w:r>
      <w:r>
        <w:rPr>
          <w:rFonts w:hint="eastAsia" w:cs="Times New Roman"/>
          <w:lang w:eastAsia="zh-CN"/>
        </w:rPr>
        <w:t>度</w:t>
      </w:r>
      <w:r>
        <w:rPr>
          <w:rFonts w:cs="Times New Roman"/>
        </w:rPr>
        <w:t>汛问题。水库建成运行后，在保证大坝自身防洪安全的前提下，按代尔昆代水库排沙运行要求，泄洪建筑物采用表孔泄流，大坝设溢流坝段溢流表孔，布置于6号坝段，表孔净宽为20m，溢流堰堰顶高程和起调水位与水库正常蓄水位相同，其高程为1981.85m；拟定水库控制在汛限水位1981.85m下运行，控制在死水位1960m下排沙运行，调洪库容为44.28万m³。</w:t>
      </w:r>
    </w:p>
    <w:p>
      <w:pPr>
        <w:ind w:firstLine="480"/>
        <w:rPr>
          <w:rFonts w:cs="Times New Roman"/>
        </w:rPr>
      </w:pPr>
      <w:r>
        <w:rPr>
          <w:rFonts w:cs="Times New Roman"/>
        </w:rPr>
        <w:t>通过代尔昆代水库对洪水的调节，削减洪峰流量，可使50年一遇设计洪水由95.1m</w:t>
      </w:r>
      <w:r>
        <w:rPr>
          <w:rFonts w:cs="Times New Roman"/>
          <w:vertAlign w:val="superscript"/>
        </w:rPr>
        <w:t>3</w:t>
      </w:r>
      <w:r>
        <w:rPr>
          <w:rFonts w:cs="Times New Roman"/>
        </w:rPr>
        <w:t>/s削减至60.87m</w:t>
      </w:r>
      <w:r>
        <w:rPr>
          <w:rFonts w:cs="Times New Roman"/>
          <w:vertAlign w:val="superscript"/>
        </w:rPr>
        <w:t>3</w:t>
      </w:r>
      <w:r>
        <w:rPr>
          <w:rFonts w:cs="Times New Roman"/>
        </w:rPr>
        <w:t>/s，500年一遇校核洪水由282m</w:t>
      </w:r>
      <w:r>
        <w:rPr>
          <w:rFonts w:cs="Times New Roman"/>
          <w:vertAlign w:val="superscript"/>
        </w:rPr>
        <w:t>3</w:t>
      </w:r>
      <w:r>
        <w:rPr>
          <w:rFonts w:cs="Times New Roman"/>
        </w:rPr>
        <w:t>/s削减至148.59m</w:t>
      </w:r>
      <w:r>
        <w:rPr>
          <w:rFonts w:cs="Times New Roman"/>
          <w:vertAlign w:val="superscript"/>
        </w:rPr>
        <w:t>3</w:t>
      </w:r>
      <w:r>
        <w:rPr>
          <w:rFonts w:cs="Times New Roman"/>
        </w:rPr>
        <w:t>/s，对下游防洪带来正面影响。</w:t>
      </w:r>
    </w:p>
    <w:p>
      <w:pPr>
        <w:pStyle w:val="62"/>
        <w:rPr>
          <w:rFonts w:cs="Times New Roman"/>
        </w:rPr>
      </w:pPr>
      <w:r>
        <w:rPr>
          <w:rFonts w:cs="Times New Roman"/>
        </w:rPr>
        <w:t>5.2.3.4 生态流量满足程度评价</w:t>
      </w:r>
    </w:p>
    <w:p>
      <w:pPr>
        <w:ind w:firstLine="480"/>
        <w:rPr>
          <w:rFonts w:cs="Times New Roman"/>
        </w:rPr>
      </w:pPr>
      <w:r>
        <w:rPr>
          <w:rFonts w:cs="Times New Roman"/>
        </w:rPr>
        <w:t>（1）可研阶段生态流量的确定</w:t>
      </w:r>
    </w:p>
    <w:p>
      <w:pPr>
        <w:ind w:firstLine="480"/>
        <w:rPr>
          <w:rFonts w:cs="Times New Roman"/>
        </w:rPr>
      </w:pPr>
      <w:r>
        <w:rPr>
          <w:rFonts w:cs="Times New Roman"/>
        </w:rPr>
        <w:t>根据《新疆重要江河湖泊生态水量保障方案》及《新疆内陆河湖基本生态水量（流量）确定技术指南（试行）》，确定代尔昆代郭勒河流域基本生态水量保证率取85%。</w:t>
      </w:r>
    </w:p>
    <w:p>
      <w:pPr>
        <w:ind w:firstLine="480"/>
        <w:rPr>
          <w:rFonts w:cs="Times New Roman"/>
        </w:rPr>
      </w:pPr>
      <w:r>
        <w:rPr>
          <w:rFonts w:cs="Times New Roman"/>
        </w:rPr>
        <w:t>根据《水利水电工程生态流量计算与泄放设计规范》（SL/T820-2023）附录A表A.1.3，代尔昆代郭勒河河道内生态状态取为一般。</w:t>
      </w:r>
    </w:p>
    <w:p>
      <w:pPr>
        <w:ind w:firstLine="480"/>
        <w:rPr>
          <w:rFonts w:cs="Times New Roman"/>
        </w:rPr>
      </w:pPr>
      <w:r>
        <w:rPr>
          <w:rFonts w:cs="Times New Roman"/>
        </w:rPr>
        <w:t>基于以上分析，代尔昆代水库坝址断面生态流量取值为坝址断面多年平均来水条件下各月月均天然流量的10%；代尔昆代水库坝址断面多年平均径流量为834.4万m</w:t>
      </w:r>
      <w:r>
        <w:rPr>
          <w:rFonts w:cs="Times New Roman"/>
          <w:vertAlign w:val="superscript"/>
        </w:rPr>
        <w:t>3</w:t>
      </w:r>
      <w:r>
        <w:rPr>
          <w:rFonts w:cs="Times New Roman"/>
        </w:rPr>
        <w:t>，则生态水量为83.44万m</w:t>
      </w:r>
      <w:r>
        <w:rPr>
          <w:rFonts w:cs="Times New Roman"/>
          <w:vertAlign w:val="superscript"/>
        </w:rPr>
        <w:t>3</w:t>
      </w:r>
      <w:r>
        <w:rPr>
          <w:rFonts w:cs="Times New Roman"/>
        </w:rPr>
        <w:t>。</w:t>
      </w:r>
    </w:p>
    <w:p>
      <w:pPr>
        <w:ind w:firstLine="480"/>
        <w:rPr>
          <w:rFonts w:cs="Times New Roman"/>
        </w:rPr>
      </w:pPr>
      <w:r>
        <w:rPr>
          <w:rFonts w:cs="Times New Roman"/>
        </w:rPr>
        <w:t>代尔昆代水库坝址下泄生态水量及过程见表5.2-4。</w:t>
      </w:r>
    </w:p>
    <w:p>
      <w:pPr>
        <w:pStyle w:val="137"/>
        <w:spacing w:before="62"/>
      </w:pPr>
      <w:r>
        <w:t>表5.2-4        可研阶段代尔昆代水库坝址生态水量及流量下泄过程</w:t>
      </w:r>
    </w:p>
    <w:tbl>
      <w:tblPr>
        <w:tblStyle w:val="40"/>
        <w:tblpPr w:leftFromText="180" w:rightFromText="180" w:vertAnchor="text" w:horzAnchor="margin" w:tblpX="-308" w:tblpY="23"/>
        <w:tblW w:w="51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28"/>
        <w:gridCol w:w="442"/>
        <w:gridCol w:w="535"/>
        <w:gridCol w:w="535"/>
        <w:gridCol w:w="535"/>
        <w:gridCol w:w="535"/>
        <w:gridCol w:w="535"/>
        <w:gridCol w:w="535"/>
        <w:gridCol w:w="535"/>
        <w:gridCol w:w="535"/>
        <w:gridCol w:w="535"/>
        <w:gridCol w:w="535"/>
        <w:gridCol w:w="535"/>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225" w:type="pct"/>
            <w:vAlign w:val="center"/>
          </w:tcPr>
          <w:p>
            <w:pPr>
              <w:pStyle w:val="136"/>
            </w:pPr>
            <w:r>
              <w:t>月份</w:t>
            </w:r>
          </w:p>
        </w:tc>
        <w:tc>
          <w:tcPr>
            <w:tcW w:w="243" w:type="pct"/>
            <w:vAlign w:val="center"/>
          </w:tcPr>
          <w:p>
            <w:pPr>
              <w:pStyle w:val="136"/>
            </w:pPr>
            <w:r>
              <w:t>1月</w:t>
            </w:r>
          </w:p>
        </w:tc>
        <w:tc>
          <w:tcPr>
            <w:tcW w:w="294" w:type="pct"/>
            <w:vAlign w:val="center"/>
          </w:tcPr>
          <w:p>
            <w:pPr>
              <w:pStyle w:val="136"/>
            </w:pPr>
            <w:r>
              <w:t>2月</w:t>
            </w:r>
          </w:p>
        </w:tc>
        <w:tc>
          <w:tcPr>
            <w:tcW w:w="294" w:type="pct"/>
            <w:vAlign w:val="center"/>
          </w:tcPr>
          <w:p>
            <w:pPr>
              <w:pStyle w:val="136"/>
            </w:pPr>
            <w:r>
              <w:t>3月</w:t>
            </w:r>
          </w:p>
        </w:tc>
        <w:tc>
          <w:tcPr>
            <w:tcW w:w="294" w:type="pct"/>
            <w:vAlign w:val="center"/>
          </w:tcPr>
          <w:p>
            <w:pPr>
              <w:pStyle w:val="136"/>
            </w:pPr>
            <w:r>
              <w:t>4月</w:t>
            </w:r>
          </w:p>
        </w:tc>
        <w:tc>
          <w:tcPr>
            <w:tcW w:w="294" w:type="pct"/>
            <w:vAlign w:val="center"/>
          </w:tcPr>
          <w:p>
            <w:pPr>
              <w:pStyle w:val="136"/>
            </w:pPr>
            <w:r>
              <w:t>5月</w:t>
            </w:r>
          </w:p>
        </w:tc>
        <w:tc>
          <w:tcPr>
            <w:tcW w:w="294" w:type="pct"/>
            <w:vAlign w:val="center"/>
          </w:tcPr>
          <w:p>
            <w:pPr>
              <w:pStyle w:val="136"/>
            </w:pPr>
            <w:r>
              <w:t>6月</w:t>
            </w:r>
          </w:p>
        </w:tc>
        <w:tc>
          <w:tcPr>
            <w:tcW w:w="294" w:type="pct"/>
            <w:vAlign w:val="center"/>
          </w:tcPr>
          <w:p>
            <w:pPr>
              <w:pStyle w:val="136"/>
            </w:pPr>
            <w:r>
              <w:t>7月</w:t>
            </w:r>
          </w:p>
        </w:tc>
        <w:tc>
          <w:tcPr>
            <w:tcW w:w="294" w:type="pct"/>
            <w:vAlign w:val="center"/>
          </w:tcPr>
          <w:p>
            <w:pPr>
              <w:pStyle w:val="136"/>
            </w:pPr>
            <w:r>
              <w:t>8月</w:t>
            </w:r>
          </w:p>
        </w:tc>
        <w:tc>
          <w:tcPr>
            <w:tcW w:w="294" w:type="pct"/>
            <w:vAlign w:val="center"/>
          </w:tcPr>
          <w:p>
            <w:pPr>
              <w:pStyle w:val="136"/>
            </w:pPr>
            <w:r>
              <w:t>9月</w:t>
            </w:r>
          </w:p>
        </w:tc>
        <w:tc>
          <w:tcPr>
            <w:tcW w:w="294" w:type="pct"/>
            <w:vAlign w:val="center"/>
          </w:tcPr>
          <w:p>
            <w:pPr>
              <w:pStyle w:val="136"/>
            </w:pPr>
            <w:r>
              <w:t>10月</w:t>
            </w:r>
          </w:p>
        </w:tc>
        <w:tc>
          <w:tcPr>
            <w:tcW w:w="294" w:type="pct"/>
            <w:vAlign w:val="center"/>
          </w:tcPr>
          <w:p>
            <w:pPr>
              <w:pStyle w:val="136"/>
            </w:pPr>
            <w:r>
              <w:t>11月</w:t>
            </w:r>
          </w:p>
        </w:tc>
        <w:tc>
          <w:tcPr>
            <w:tcW w:w="294" w:type="pct"/>
            <w:vAlign w:val="center"/>
          </w:tcPr>
          <w:p>
            <w:pPr>
              <w:pStyle w:val="136"/>
            </w:pPr>
            <w:r>
              <w:t>12月</w:t>
            </w:r>
          </w:p>
        </w:tc>
        <w:tc>
          <w:tcPr>
            <w:tcW w:w="293" w:type="pct"/>
            <w:vAlign w:val="center"/>
          </w:tcPr>
          <w:p>
            <w:pPr>
              <w:pStyle w:val="136"/>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225" w:type="pct"/>
            <w:vAlign w:val="center"/>
          </w:tcPr>
          <w:p>
            <w:pPr>
              <w:pStyle w:val="136"/>
              <w:jc w:val="both"/>
            </w:pPr>
            <w:r>
              <w:t>多年平均年径流量（万m</w:t>
            </w:r>
            <w:r>
              <w:rPr>
                <w:vertAlign w:val="superscript"/>
              </w:rPr>
              <w:t>3</w:t>
            </w:r>
            <w:r>
              <w:t>）</w:t>
            </w:r>
          </w:p>
        </w:tc>
        <w:tc>
          <w:tcPr>
            <w:tcW w:w="243" w:type="pct"/>
            <w:vAlign w:val="center"/>
          </w:tcPr>
          <w:p>
            <w:pPr>
              <w:pStyle w:val="136"/>
            </w:pPr>
            <w:r>
              <w:t>45.6</w:t>
            </w:r>
          </w:p>
        </w:tc>
        <w:tc>
          <w:tcPr>
            <w:tcW w:w="294" w:type="pct"/>
            <w:vAlign w:val="center"/>
          </w:tcPr>
          <w:p>
            <w:pPr>
              <w:pStyle w:val="136"/>
            </w:pPr>
            <w:r>
              <w:t>44.2</w:t>
            </w:r>
          </w:p>
        </w:tc>
        <w:tc>
          <w:tcPr>
            <w:tcW w:w="294" w:type="pct"/>
            <w:vAlign w:val="center"/>
          </w:tcPr>
          <w:p>
            <w:pPr>
              <w:pStyle w:val="136"/>
            </w:pPr>
            <w:r>
              <w:t>42.9</w:t>
            </w:r>
          </w:p>
        </w:tc>
        <w:tc>
          <w:tcPr>
            <w:tcW w:w="294" w:type="pct"/>
            <w:vAlign w:val="center"/>
          </w:tcPr>
          <w:p>
            <w:pPr>
              <w:pStyle w:val="136"/>
            </w:pPr>
            <w:r>
              <w:t>36.6</w:t>
            </w:r>
          </w:p>
        </w:tc>
        <w:tc>
          <w:tcPr>
            <w:tcW w:w="294" w:type="pct"/>
            <w:vAlign w:val="center"/>
          </w:tcPr>
          <w:p>
            <w:pPr>
              <w:pStyle w:val="136"/>
            </w:pPr>
            <w:r>
              <w:t>29.8</w:t>
            </w:r>
          </w:p>
        </w:tc>
        <w:tc>
          <w:tcPr>
            <w:tcW w:w="294" w:type="pct"/>
            <w:vAlign w:val="center"/>
          </w:tcPr>
          <w:p>
            <w:pPr>
              <w:pStyle w:val="136"/>
            </w:pPr>
            <w:r>
              <w:t>68.2</w:t>
            </w:r>
          </w:p>
        </w:tc>
        <w:tc>
          <w:tcPr>
            <w:tcW w:w="294" w:type="pct"/>
            <w:vAlign w:val="center"/>
          </w:tcPr>
          <w:p>
            <w:pPr>
              <w:pStyle w:val="136"/>
            </w:pPr>
            <w:r>
              <w:t>156</w:t>
            </w:r>
          </w:p>
        </w:tc>
        <w:tc>
          <w:tcPr>
            <w:tcW w:w="294" w:type="pct"/>
            <w:vAlign w:val="center"/>
          </w:tcPr>
          <w:p>
            <w:pPr>
              <w:pStyle w:val="136"/>
            </w:pPr>
            <w:r>
              <w:t>177</w:t>
            </w:r>
          </w:p>
        </w:tc>
        <w:tc>
          <w:tcPr>
            <w:tcW w:w="294" w:type="pct"/>
            <w:vAlign w:val="center"/>
          </w:tcPr>
          <w:p>
            <w:pPr>
              <w:pStyle w:val="136"/>
            </w:pPr>
            <w:r>
              <w:t>68.2</w:t>
            </w:r>
          </w:p>
        </w:tc>
        <w:tc>
          <w:tcPr>
            <w:tcW w:w="294" w:type="pct"/>
            <w:vAlign w:val="center"/>
          </w:tcPr>
          <w:p>
            <w:pPr>
              <w:pStyle w:val="136"/>
            </w:pPr>
            <w:r>
              <w:t>60.6</w:t>
            </w:r>
          </w:p>
        </w:tc>
        <w:tc>
          <w:tcPr>
            <w:tcW w:w="294" w:type="pct"/>
            <w:vAlign w:val="center"/>
          </w:tcPr>
          <w:p>
            <w:pPr>
              <w:pStyle w:val="136"/>
            </w:pPr>
            <w:r>
              <w:t>55.1</w:t>
            </w:r>
          </w:p>
        </w:tc>
        <w:tc>
          <w:tcPr>
            <w:tcW w:w="294" w:type="pct"/>
            <w:vAlign w:val="center"/>
          </w:tcPr>
          <w:p>
            <w:pPr>
              <w:pStyle w:val="136"/>
            </w:pPr>
            <w:r>
              <w:t>50.2</w:t>
            </w:r>
          </w:p>
        </w:tc>
        <w:tc>
          <w:tcPr>
            <w:tcW w:w="293" w:type="pct"/>
            <w:vAlign w:val="center"/>
          </w:tcPr>
          <w:p>
            <w:pPr>
              <w:pStyle w:val="136"/>
            </w:pPr>
            <w:r>
              <w:t>834.4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1225" w:type="pct"/>
            <w:vAlign w:val="center"/>
          </w:tcPr>
          <w:p>
            <w:pPr>
              <w:pStyle w:val="136"/>
            </w:pPr>
            <w:r>
              <w:t>分配比例</w:t>
            </w:r>
          </w:p>
        </w:tc>
        <w:tc>
          <w:tcPr>
            <w:tcW w:w="243"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4" w:type="pct"/>
            <w:vAlign w:val="center"/>
          </w:tcPr>
          <w:p>
            <w:pPr>
              <w:pStyle w:val="136"/>
            </w:pPr>
            <w:r>
              <w:t>10%</w:t>
            </w:r>
          </w:p>
        </w:tc>
        <w:tc>
          <w:tcPr>
            <w:tcW w:w="293" w:type="pct"/>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1225" w:type="pct"/>
            <w:vAlign w:val="center"/>
          </w:tcPr>
          <w:p>
            <w:pPr>
              <w:pStyle w:val="136"/>
            </w:pPr>
            <w:r>
              <w:t>基本生态水量（万m</w:t>
            </w:r>
            <w:r>
              <w:rPr>
                <w:vertAlign w:val="superscript"/>
              </w:rPr>
              <w:t>3</w:t>
            </w:r>
            <w:r>
              <w:t>）</w:t>
            </w:r>
          </w:p>
        </w:tc>
        <w:tc>
          <w:tcPr>
            <w:tcW w:w="243" w:type="pct"/>
            <w:vAlign w:val="center"/>
          </w:tcPr>
          <w:p>
            <w:pPr>
              <w:pStyle w:val="136"/>
            </w:pPr>
            <w:r>
              <w:t>4.56</w:t>
            </w:r>
          </w:p>
        </w:tc>
        <w:tc>
          <w:tcPr>
            <w:tcW w:w="294" w:type="pct"/>
            <w:vAlign w:val="center"/>
          </w:tcPr>
          <w:p>
            <w:pPr>
              <w:pStyle w:val="136"/>
            </w:pPr>
            <w:r>
              <w:t>4.42</w:t>
            </w:r>
          </w:p>
        </w:tc>
        <w:tc>
          <w:tcPr>
            <w:tcW w:w="294" w:type="pct"/>
            <w:vAlign w:val="center"/>
          </w:tcPr>
          <w:p>
            <w:pPr>
              <w:pStyle w:val="136"/>
            </w:pPr>
            <w:r>
              <w:t>4.29</w:t>
            </w:r>
          </w:p>
        </w:tc>
        <w:tc>
          <w:tcPr>
            <w:tcW w:w="294" w:type="pct"/>
            <w:vAlign w:val="center"/>
          </w:tcPr>
          <w:p>
            <w:pPr>
              <w:pStyle w:val="136"/>
            </w:pPr>
            <w:r>
              <w:t>3.66</w:t>
            </w:r>
          </w:p>
        </w:tc>
        <w:tc>
          <w:tcPr>
            <w:tcW w:w="294" w:type="pct"/>
            <w:vAlign w:val="center"/>
          </w:tcPr>
          <w:p>
            <w:pPr>
              <w:pStyle w:val="136"/>
            </w:pPr>
            <w:r>
              <w:t>2.98</w:t>
            </w:r>
          </w:p>
        </w:tc>
        <w:tc>
          <w:tcPr>
            <w:tcW w:w="294" w:type="pct"/>
            <w:vAlign w:val="center"/>
          </w:tcPr>
          <w:p>
            <w:pPr>
              <w:pStyle w:val="136"/>
            </w:pPr>
            <w:r>
              <w:t>6.82</w:t>
            </w:r>
          </w:p>
        </w:tc>
        <w:tc>
          <w:tcPr>
            <w:tcW w:w="294" w:type="pct"/>
            <w:vAlign w:val="center"/>
          </w:tcPr>
          <w:p>
            <w:pPr>
              <w:pStyle w:val="136"/>
            </w:pPr>
            <w:r>
              <w:t>15.6</w:t>
            </w:r>
          </w:p>
        </w:tc>
        <w:tc>
          <w:tcPr>
            <w:tcW w:w="294" w:type="pct"/>
            <w:vAlign w:val="center"/>
          </w:tcPr>
          <w:p>
            <w:pPr>
              <w:pStyle w:val="136"/>
            </w:pPr>
            <w:r>
              <w:t>17.7</w:t>
            </w:r>
          </w:p>
        </w:tc>
        <w:tc>
          <w:tcPr>
            <w:tcW w:w="294" w:type="pct"/>
            <w:vAlign w:val="center"/>
          </w:tcPr>
          <w:p>
            <w:pPr>
              <w:pStyle w:val="136"/>
            </w:pPr>
            <w:r>
              <w:t>6.82</w:t>
            </w:r>
          </w:p>
        </w:tc>
        <w:tc>
          <w:tcPr>
            <w:tcW w:w="294" w:type="pct"/>
            <w:vAlign w:val="center"/>
          </w:tcPr>
          <w:p>
            <w:pPr>
              <w:pStyle w:val="136"/>
            </w:pPr>
            <w:r>
              <w:t>6.06</w:t>
            </w:r>
          </w:p>
        </w:tc>
        <w:tc>
          <w:tcPr>
            <w:tcW w:w="294" w:type="pct"/>
            <w:vAlign w:val="center"/>
          </w:tcPr>
          <w:p>
            <w:pPr>
              <w:pStyle w:val="136"/>
            </w:pPr>
            <w:r>
              <w:t>5.51</w:t>
            </w:r>
          </w:p>
        </w:tc>
        <w:tc>
          <w:tcPr>
            <w:tcW w:w="294" w:type="pct"/>
            <w:vAlign w:val="center"/>
          </w:tcPr>
          <w:p>
            <w:pPr>
              <w:pStyle w:val="136"/>
            </w:pPr>
            <w:r>
              <w:t>5.02</w:t>
            </w:r>
          </w:p>
        </w:tc>
        <w:tc>
          <w:tcPr>
            <w:tcW w:w="293" w:type="pct"/>
            <w:vAlign w:val="center"/>
          </w:tcPr>
          <w:p>
            <w:pPr>
              <w:pStyle w:val="136"/>
            </w:pPr>
            <w:r>
              <w:t>83.44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trPr>
        <w:tc>
          <w:tcPr>
            <w:tcW w:w="1225" w:type="pct"/>
            <w:vAlign w:val="center"/>
          </w:tcPr>
          <w:p>
            <w:pPr>
              <w:pStyle w:val="136"/>
            </w:pPr>
            <w:r>
              <w:t>生态流量（m</w:t>
            </w:r>
            <w:r>
              <w:rPr>
                <w:vertAlign w:val="superscript"/>
              </w:rPr>
              <w:t>3</w:t>
            </w:r>
            <w:r>
              <w:t>/s）</w:t>
            </w:r>
          </w:p>
        </w:tc>
        <w:tc>
          <w:tcPr>
            <w:tcW w:w="243" w:type="pct"/>
            <w:vAlign w:val="center"/>
          </w:tcPr>
          <w:p>
            <w:pPr>
              <w:pStyle w:val="136"/>
            </w:pPr>
            <w:r>
              <w:t>0.017</w:t>
            </w:r>
          </w:p>
        </w:tc>
        <w:tc>
          <w:tcPr>
            <w:tcW w:w="294" w:type="pct"/>
            <w:vAlign w:val="center"/>
          </w:tcPr>
          <w:p>
            <w:pPr>
              <w:pStyle w:val="136"/>
            </w:pPr>
            <w:r>
              <w:t>0.018</w:t>
            </w:r>
          </w:p>
        </w:tc>
        <w:tc>
          <w:tcPr>
            <w:tcW w:w="294" w:type="pct"/>
            <w:vAlign w:val="center"/>
          </w:tcPr>
          <w:p>
            <w:pPr>
              <w:pStyle w:val="136"/>
            </w:pPr>
            <w:r>
              <w:t>0.016</w:t>
            </w:r>
          </w:p>
        </w:tc>
        <w:tc>
          <w:tcPr>
            <w:tcW w:w="294" w:type="pct"/>
            <w:vAlign w:val="center"/>
          </w:tcPr>
          <w:p>
            <w:pPr>
              <w:pStyle w:val="136"/>
            </w:pPr>
            <w:r>
              <w:t>0.014</w:t>
            </w:r>
          </w:p>
        </w:tc>
        <w:tc>
          <w:tcPr>
            <w:tcW w:w="294" w:type="pct"/>
            <w:vAlign w:val="center"/>
          </w:tcPr>
          <w:p>
            <w:pPr>
              <w:pStyle w:val="136"/>
            </w:pPr>
            <w:r>
              <w:t>0.011</w:t>
            </w:r>
          </w:p>
        </w:tc>
        <w:tc>
          <w:tcPr>
            <w:tcW w:w="294" w:type="pct"/>
            <w:vAlign w:val="center"/>
          </w:tcPr>
          <w:p>
            <w:pPr>
              <w:pStyle w:val="136"/>
            </w:pPr>
            <w:r>
              <w:t>0.026</w:t>
            </w:r>
          </w:p>
        </w:tc>
        <w:tc>
          <w:tcPr>
            <w:tcW w:w="294" w:type="pct"/>
            <w:vAlign w:val="center"/>
          </w:tcPr>
          <w:p>
            <w:pPr>
              <w:pStyle w:val="136"/>
            </w:pPr>
            <w:r>
              <w:t>0.058</w:t>
            </w:r>
          </w:p>
        </w:tc>
        <w:tc>
          <w:tcPr>
            <w:tcW w:w="294" w:type="pct"/>
            <w:vAlign w:val="center"/>
          </w:tcPr>
          <w:p>
            <w:pPr>
              <w:pStyle w:val="136"/>
            </w:pPr>
            <w:r>
              <w:t>0.066</w:t>
            </w:r>
          </w:p>
        </w:tc>
        <w:tc>
          <w:tcPr>
            <w:tcW w:w="294" w:type="pct"/>
            <w:vAlign w:val="center"/>
          </w:tcPr>
          <w:p>
            <w:pPr>
              <w:pStyle w:val="136"/>
            </w:pPr>
            <w:r>
              <w:t>0.026</w:t>
            </w:r>
          </w:p>
        </w:tc>
        <w:tc>
          <w:tcPr>
            <w:tcW w:w="294" w:type="pct"/>
            <w:vAlign w:val="center"/>
          </w:tcPr>
          <w:p>
            <w:pPr>
              <w:pStyle w:val="136"/>
            </w:pPr>
            <w:r>
              <w:t>0.023</w:t>
            </w:r>
          </w:p>
        </w:tc>
        <w:tc>
          <w:tcPr>
            <w:tcW w:w="294" w:type="pct"/>
            <w:vAlign w:val="center"/>
          </w:tcPr>
          <w:p>
            <w:pPr>
              <w:pStyle w:val="136"/>
            </w:pPr>
            <w:r>
              <w:t>0.021</w:t>
            </w:r>
          </w:p>
        </w:tc>
        <w:tc>
          <w:tcPr>
            <w:tcW w:w="294" w:type="pct"/>
            <w:vAlign w:val="center"/>
          </w:tcPr>
          <w:p>
            <w:pPr>
              <w:pStyle w:val="136"/>
            </w:pPr>
            <w:r>
              <w:t>0.019</w:t>
            </w:r>
          </w:p>
        </w:tc>
        <w:tc>
          <w:tcPr>
            <w:tcW w:w="293" w:type="pct"/>
            <w:vAlign w:val="center"/>
          </w:tcPr>
          <w:p>
            <w:pPr>
              <w:pStyle w:val="136"/>
            </w:pPr>
          </w:p>
        </w:tc>
      </w:tr>
    </w:tbl>
    <w:p>
      <w:pPr>
        <w:ind w:firstLine="480"/>
        <w:rPr>
          <w:rFonts w:cs="Times New Roman"/>
        </w:rPr>
      </w:pPr>
    </w:p>
    <w:p>
      <w:pPr>
        <w:ind w:firstLine="480"/>
        <w:rPr>
          <w:rFonts w:cs="Times New Roman"/>
        </w:rPr>
      </w:pPr>
      <w:r>
        <w:rPr>
          <w:rFonts w:cs="Times New Roman"/>
        </w:rPr>
        <w:t>根据代尔昆代水库坝址断面不同来水频率下下泄水量变化统计见表5.2-2、表5.2-3可知，代尔昆代水库建成后，水库坝址断面下泄生态流量是可以保障的。</w:t>
      </w:r>
    </w:p>
    <w:p>
      <w:pPr>
        <w:ind w:firstLine="480"/>
        <w:rPr>
          <w:rFonts w:cs="Times New Roman"/>
        </w:rPr>
      </w:pPr>
      <w:r>
        <w:rPr>
          <w:rFonts w:cs="Times New Roman"/>
        </w:rPr>
        <w:t>（2）优化调整建议</w:t>
      </w:r>
    </w:p>
    <w:p>
      <w:pPr>
        <w:ind w:firstLine="480"/>
        <w:rPr>
          <w:rFonts w:cs="Times New Roman"/>
        </w:rPr>
      </w:pPr>
      <w:r>
        <w:rPr>
          <w:rFonts w:cs="Times New Roman"/>
        </w:rPr>
        <w:t>根据可研阶段主体设计，可研阶段代尔昆代水库坝址断面生态流量保证率为p=85%，坝址断面各月下泄生态流量按照多年平均流量的10%控制，年下泄水量83.44万m</w:t>
      </w:r>
      <w:r>
        <w:rPr>
          <w:rFonts w:cs="Times New Roman"/>
          <w:vertAlign w:val="superscript"/>
        </w:rPr>
        <w:t>3</w:t>
      </w:r>
      <w:r>
        <w:rPr>
          <w:rFonts w:cs="Times New Roman"/>
        </w:rPr>
        <w:t>。</w:t>
      </w:r>
    </w:p>
    <w:p>
      <w:pPr>
        <w:ind w:firstLine="480"/>
        <w:rPr>
          <w:rFonts w:cs="Times New Roman"/>
        </w:rPr>
      </w:pPr>
      <w:r>
        <w:rPr>
          <w:rFonts w:cs="Times New Roman"/>
        </w:rPr>
        <w:t>经对比分析，可研阶段代尔昆代水库坝址断面生态流量下泄要求不符合流域规划环评。</w:t>
      </w:r>
    </w:p>
    <w:p>
      <w:pPr>
        <w:ind w:firstLine="480"/>
        <w:rPr>
          <w:rFonts w:cs="Times New Roman"/>
        </w:rPr>
      </w:pPr>
      <w:r>
        <w:rPr>
          <w:rFonts w:cs="Times New Roman"/>
        </w:rPr>
        <w:t>本次评价提出，下阶段优化代尔昆代水库规模论证及调度运行，重点确保生态流量年下泄总量符合流域规划环评阶段生态流量下泄总量124.13万m</w:t>
      </w:r>
      <w:r>
        <w:rPr>
          <w:rFonts w:cs="Times New Roman"/>
          <w:vertAlign w:val="superscript"/>
        </w:rPr>
        <w:t>3</w:t>
      </w:r>
      <w:r>
        <w:rPr>
          <w:rFonts w:cs="Times New Roman"/>
        </w:rPr>
        <w:t>的要求，其次水库坝址断面各月生态流量下泄尽可能符合流域规划环评提出的生态流量泄放过程。</w:t>
      </w:r>
    </w:p>
    <w:p>
      <w:pPr>
        <w:ind w:firstLine="480"/>
        <w:rPr>
          <w:rFonts w:cs="Times New Roman"/>
        </w:rPr>
      </w:pPr>
      <w:r>
        <w:rPr>
          <w:rFonts w:cs="Times New Roman"/>
        </w:rPr>
        <w:t>严格落实流域规划环评要求，项目实施过程中，通过提高淖毛湖区域各业用水效率，加强中水回用，以降低地区用水总量，从而适当减少代尔昆代水库向淖毛湖区域供水，确保代尔昆代水库生态流量下泄过程及总量符合流域规划环评要求。</w:t>
      </w:r>
    </w:p>
    <w:p>
      <w:pPr>
        <w:ind w:firstLine="480"/>
        <w:rPr>
          <w:rFonts w:cs="Times New Roman"/>
        </w:rPr>
      </w:pPr>
      <w:r>
        <w:rPr>
          <w:rFonts w:cs="Times New Roman"/>
        </w:rPr>
        <w:t>可研阶段，主体设计拟通过放水管泄放生态流量及供水，放水管布设在导流隧洞底部，其管道末端阀井内布置了生态放水管（DN200mm、设计流量0.068m</w:t>
      </w:r>
      <w:r>
        <w:rPr>
          <w:rFonts w:cs="Times New Roman"/>
          <w:vertAlign w:val="superscript"/>
        </w:rPr>
        <w:t>3</w:t>
      </w:r>
      <w:r>
        <w:rPr>
          <w:rFonts w:cs="Times New Roman"/>
        </w:rPr>
        <w:t>/s），经复核生态放水管设计流量偏小无法泄放30%生态流量。本次工程环评提出，适当扩大生态放水管设计规模，使其能下泄30%生态流量。</w:t>
      </w:r>
    </w:p>
    <w:p>
      <w:pPr>
        <w:pStyle w:val="4"/>
        <w:rPr>
          <w:rFonts w:cs="Times New Roman"/>
        </w:rPr>
      </w:pPr>
      <w:r>
        <w:rPr>
          <w:rFonts w:cs="Times New Roman"/>
        </w:rPr>
        <w:t>5.2.4 对泥沙情势的影响分析</w:t>
      </w:r>
    </w:p>
    <w:p>
      <w:pPr>
        <w:ind w:firstLine="480"/>
        <w:rPr>
          <w:rFonts w:cs="Times New Roman"/>
        </w:rPr>
      </w:pPr>
      <w:r>
        <w:rPr>
          <w:rFonts w:cs="Times New Roman"/>
        </w:rPr>
        <w:t>（1）库区泥沙情势的变化</w:t>
      </w:r>
    </w:p>
    <w:p>
      <w:pPr>
        <w:ind w:firstLine="480"/>
        <w:rPr>
          <w:rFonts w:cs="Times New Roman"/>
        </w:rPr>
      </w:pPr>
      <w:r>
        <w:rPr>
          <w:rFonts w:cs="Times New Roman"/>
        </w:rPr>
        <w:t>代尔昆代水库库区位于代尔昆代郭勒河中上游中、低山河谷区，库区河床比降为26.5‰。流域的中、高山区多荒山秃岭，植被较差，山体表层风化强烈；低山区地面植被覆盖少于30％，蓄水能力差，河沟、槽中多从山上滑下的卵石、漂石、砾石，颗粒较细的沙土，河道下渗大。水流挟沙能力强，加之泥沙颗粒较细，易随泄流排出库外，水库采取“蓄洪运用”的泥沙调度运行方式，可大大减少水库的淤积量。代尔昆代水库各不同淤积水平年淤积情况见表5.2-5。</w:t>
      </w:r>
    </w:p>
    <w:p>
      <w:pPr>
        <w:ind w:firstLine="480"/>
        <w:rPr>
          <w:rFonts w:cs="Times New Roman"/>
        </w:rPr>
      </w:pPr>
      <w:r>
        <w:rPr>
          <w:rFonts w:cs="Times New Roman"/>
        </w:rPr>
        <w:t>（2）坝址下游河段泥沙情势的变化</w:t>
      </w:r>
    </w:p>
    <w:p>
      <w:pPr>
        <w:ind w:firstLine="480"/>
        <w:rPr>
          <w:rFonts w:cs="Times New Roman"/>
        </w:rPr>
      </w:pPr>
      <w:r>
        <w:rPr>
          <w:rFonts w:cs="Times New Roman"/>
        </w:rPr>
        <w:t>由于水库对来流泥沙的拦蓄作用，代尔昆代水库运行后造成清水下泄</w:t>
      </w:r>
      <w:r>
        <w:rPr>
          <w:rFonts w:hint="eastAsia" w:cs="Times New Roman"/>
          <w:lang w:eastAsia="zh-CN"/>
        </w:rPr>
        <w:t>将</w:t>
      </w:r>
      <w:r>
        <w:rPr>
          <w:rFonts w:cs="Times New Roman"/>
        </w:rPr>
        <w:t>对坝址下游河道产生冲刷影响，其下泄清水造成的冲刷从近坝段开始逐渐向下游发展，但冲刷过程比较缓慢，冲刷强度随着距坝址距离的增加也会逐渐减弱。随着水库内泥沙淤积逐渐达到平衡状态，水库清水下泄对坝下河段的冲刷程度也会逐渐降低，同时随着冲刷年限的增长，河床逐渐形成粗化抗冲保护层，河道冲淤</w:t>
      </w:r>
      <w:r>
        <w:rPr>
          <w:rFonts w:hint="eastAsia" w:cs="Times New Roman"/>
          <w:lang w:eastAsia="zh-CN"/>
        </w:rPr>
        <w:t>将</w:t>
      </w:r>
      <w:r>
        <w:rPr>
          <w:rFonts w:cs="Times New Roman"/>
        </w:rPr>
        <w:t>重新达到平衡。</w:t>
      </w:r>
    </w:p>
    <w:p>
      <w:pPr>
        <w:ind w:firstLine="480"/>
        <w:rPr>
          <w:rFonts w:cs="Times New Roman"/>
        </w:rPr>
      </w:pPr>
      <w:r>
        <w:rPr>
          <w:rFonts w:cs="Times New Roman"/>
        </w:rPr>
        <w:t>代尔昆代水库建成后，下泄水流中平均含沙量</w:t>
      </w:r>
      <w:r>
        <w:rPr>
          <w:rFonts w:hint="eastAsia" w:cs="Times New Roman"/>
          <w:lang w:eastAsia="zh-CN"/>
        </w:rPr>
        <w:t>将</w:t>
      </w:r>
      <w:r>
        <w:rPr>
          <w:rFonts w:cs="Times New Roman"/>
        </w:rPr>
        <w:t>有所减少，泥沙粒径也比建库前天然河流泥沙粒径变细，可在一定程度上减少下游河道泥沙淤积。</w:t>
      </w:r>
    </w:p>
    <w:p>
      <w:pPr>
        <w:pStyle w:val="137"/>
        <w:spacing w:before="62"/>
      </w:pPr>
      <w:r>
        <w:t>表5.2-5          代尔昆代水库不同淤积水平年淤积量表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3"/>
        <w:gridCol w:w="805"/>
        <w:gridCol w:w="872"/>
        <w:gridCol w:w="872"/>
        <w:gridCol w:w="872"/>
        <w:gridCol w:w="872"/>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34" w:type="pct"/>
            <w:vAlign w:val="center"/>
          </w:tcPr>
          <w:p>
            <w:pPr>
              <w:pStyle w:val="136"/>
            </w:pPr>
            <w:r>
              <w:t>淤积水平年</w:t>
            </w:r>
          </w:p>
        </w:tc>
        <w:tc>
          <w:tcPr>
            <w:tcW w:w="447" w:type="pct"/>
            <w:vAlign w:val="center"/>
          </w:tcPr>
          <w:p>
            <w:pPr>
              <w:pStyle w:val="136"/>
            </w:pPr>
            <w:r>
              <w:t>初始</w:t>
            </w:r>
          </w:p>
        </w:tc>
        <w:tc>
          <w:tcPr>
            <w:tcW w:w="484" w:type="pct"/>
            <w:vAlign w:val="center"/>
          </w:tcPr>
          <w:p>
            <w:pPr>
              <w:pStyle w:val="136"/>
            </w:pPr>
            <w:r>
              <w:t>10年</w:t>
            </w:r>
          </w:p>
        </w:tc>
        <w:tc>
          <w:tcPr>
            <w:tcW w:w="484" w:type="pct"/>
            <w:vAlign w:val="center"/>
          </w:tcPr>
          <w:p>
            <w:pPr>
              <w:pStyle w:val="136"/>
            </w:pPr>
            <w:r>
              <w:t>20年</w:t>
            </w:r>
          </w:p>
        </w:tc>
        <w:tc>
          <w:tcPr>
            <w:tcW w:w="484" w:type="pct"/>
            <w:vAlign w:val="center"/>
          </w:tcPr>
          <w:p>
            <w:pPr>
              <w:pStyle w:val="136"/>
            </w:pPr>
            <w:r>
              <w:t>30年</w:t>
            </w:r>
          </w:p>
        </w:tc>
        <w:tc>
          <w:tcPr>
            <w:tcW w:w="484" w:type="pct"/>
            <w:vAlign w:val="center"/>
          </w:tcPr>
          <w:p>
            <w:pPr>
              <w:pStyle w:val="136"/>
            </w:pPr>
            <w:r>
              <w:t>40年</w:t>
            </w:r>
          </w:p>
        </w:tc>
        <w:tc>
          <w:tcPr>
            <w:tcW w:w="482" w:type="pct"/>
            <w:vAlign w:val="center"/>
          </w:tcPr>
          <w:p>
            <w:pPr>
              <w:pStyle w:val="136"/>
            </w:pPr>
            <w:r>
              <w:t>50年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pct"/>
            <w:vAlign w:val="center"/>
          </w:tcPr>
          <w:p>
            <w:pPr>
              <w:pStyle w:val="136"/>
            </w:pPr>
            <w:r>
              <w:t>死库容（10</w:t>
            </w:r>
            <w:r>
              <w:rPr>
                <w:vertAlign w:val="superscript"/>
              </w:rPr>
              <w:t>4</w:t>
            </w:r>
            <w:r>
              <w:t>m</w:t>
            </w:r>
            <w:r>
              <w:rPr>
                <w:vertAlign w:val="superscript"/>
              </w:rPr>
              <w:t>3</w:t>
            </w:r>
            <w:r>
              <w:t>）</w:t>
            </w:r>
          </w:p>
        </w:tc>
        <w:tc>
          <w:tcPr>
            <w:tcW w:w="447" w:type="pct"/>
            <w:vAlign w:val="center"/>
          </w:tcPr>
          <w:p>
            <w:pPr>
              <w:pStyle w:val="136"/>
            </w:pPr>
            <w:r>
              <w:t>25</w:t>
            </w:r>
          </w:p>
        </w:tc>
        <w:tc>
          <w:tcPr>
            <w:tcW w:w="484" w:type="pct"/>
            <w:vAlign w:val="center"/>
          </w:tcPr>
          <w:p>
            <w:pPr>
              <w:pStyle w:val="136"/>
            </w:pPr>
            <w:r>
              <w:t>21</w:t>
            </w:r>
          </w:p>
        </w:tc>
        <w:tc>
          <w:tcPr>
            <w:tcW w:w="484" w:type="pct"/>
            <w:vAlign w:val="center"/>
          </w:tcPr>
          <w:p>
            <w:pPr>
              <w:pStyle w:val="136"/>
            </w:pPr>
            <w:r>
              <w:t>13</w:t>
            </w:r>
          </w:p>
        </w:tc>
        <w:tc>
          <w:tcPr>
            <w:tcW w:w="484" w:type="pct"/>
            <w:vAlign w:val="center"/>
          </w:tcPr>
          <w:p>
            <w:pPr>
              <w:pStyle w:val="136"/>
            </w:pPr>
            <w:r>
              <w:t>4</w:t>
            </w:r>
          </w:p>
        </w:tc>
        <w:tc>
          <w:tcPr>
            <w:tcW w:w="484" w:type="pct"/>
            <w:vAlign w:val="center"/>
          </w:tcPr>
          <w:p>
            <w:pPr>
              <w:pStyle w:val="136"/>
            </w:pPr>
            <w:r>
              <w:t>3</w:t>
            </w:r>
          </w:p>
        </w:tc>
        <w:tc>
          <w:tcPr>
            <w:tcW w:w="482" w:type="pct"/>
            <w:vAlign w:val="center"/>
          </w:tcPr>
          <w:p>
            <w:pPr>
              <w:pStyle w:val="136"/>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pct"/>
            <w:vAlign w:val="center"/>
          </w:tcPr>
          <w:p>
            <w:pPr>
              <w:pStyle w:val="136"/>
            </w:pPr>
            <w:r>
              <w:t>正常蓄水位以下库容（10</w:t>
            </w:r>
            <w:r>
              <w:rPr>
                <w:vertAlign w:val="superscript"/>
              </w:rPr>
              <w:t>4</w:t>
            </w:r>
            <w:r>
              <w:t>m</w:t>
            </w:r>
            <w:r>
              <w:rPr>
                <w:vertAlign w:val="superscript"/>
              </w:rPr>
              <w:t>3</w:t>
            </w:r>
            <w:r>
              <w:t>）</w:t>
            </w:r>
          </w:p>
        </w:tc>
        <w:tc>
          <w:tcPr>
            <w:tcW w:w="447" w:type="pct"/>
            <w:vAlign w:val="center"/>
          </w:tcPr>
          <w:p>
            <w:pPr>
              <w:pStyle w:val="136"/>
            </w:pPr>
            <w:r>
              <w:t>252</w:t>
            </w:r>
          </w:p>
        </w:tc>
        <w:tc>
          <w:tcPr>
            <w:tcW w:w="484" w:type="pct"/>
            <w:vAlign w:val="center"/>
          </w:tcPr>
          <w:p>
            <w:pPr>
              <w:pStyle w:val="136"/>
            </w:pPr>
            <w:r>
              <w:t>229</w:t>
            </w:r>
          </w:p>
        </w:tc>
        <w:tc>
          <w:tcPr>
            <w:tcW w:w="484" w:type="pct"/>
            <w:vAlign w:val="center"/>
          </w:tcPr>
          <w:p>
            <w:pPr>
              <w:pStyle w:val="136"/>
            </w:pPr>
            <w:r>
              <w:t>210</w:t>
            </w:r>
          </w:p>
        </w:tc>
        <w:tc>
          <w:tcPr>
            <w:tcW w:w="484" w:type="pct"/>
            <w:vAlign w:val="center"/>
          </w:tcPr>
          <w:p>
            <w:pPr>
              <w:pStyle w:val="136"/>
            </w:pPr>
            <w:r>
              <w:t>192</w:t>
            </w:r>
          </w:p>
        </w:tc>
        <w:tc>
          <w:tcPr>
            <w:tcW w:w="484" w:type="pct"/>
            <w:vAlign w:val="center"/>
          </w:tcPr>
          <w:p>
            <w:pPr>
              <w:pStyle w:val="136"/>
            </w:pPr>
            <w:r>
              <w:t>177</w:t>
            </w:r>
          </w:p>
        </w:tc>
        <w:tc>
          <w:tcPr>
            <w:tcW w:w="482" w:type="pct"/>
            <w:vAlign w:val="center"/>
          </w:tcPr>
          <w:p>
            <w:pPr>
              <w:pStyle w:val="136"/>
            </w:pPr>
            <w: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pct"/>
            <w:vAlign w:val="center"/>
          </w:tcPr>
          <w:p>
            <w:pPr>
              <w:pStyle w:val="136"/>
            </w:pPr>
            <w:r>
              <w:t>调节库容（10</w:t>
            </w:r>
            <w:r>
              <w:rPr>
                <w:vertAlign w:val="superscript"/>
              </w:rPr>
              <w:t>4</w:t>
            </w:r>
            <w:r>
              <w:t>m</w:t>
            </w:r>
            <w:r>
              <w:rPr>
                <w:vertAlign w:val="superscript"/>
              </w:rPr>
              <w:t>3</w:t>
            </w:r>
            <w:r>
              <w:t>）</w:t>
            </w:r>
          </w:p>
        </w:tc>
        <w:tc>
          <w:tcPr>
            <w:tcW w:w="447" w:type="pct"/>
            <w:vAlign w:val="center"/>
          </w:tcPr>
          <w:p>
            <w:pPr>
              <w:pStyle w:val="136"/>
            </w:pPr>
            <w:r>
              <w:t>227</w:t>
            </w:r>
          </w:p>
        </w:tc>
        <w:tc>
          <w:tcPr>
            <w:tcW w:w="484" w:type="pct"/>
            <w:vAlign w:val="center"/>
          </w:tcPr>
          <w:p>
            <w:pPr>
              <w:pStyle w:val="136"/>
            </w:pPr>
            <w:r>
              <w:t>208</w:t>
            </w:r>
          </w:p>
        </w:tc>
        <w:tc>
          <w:tcPr>
            <w:tcW w:w="484" w:type="pct"/>
            <w:vAlign w:val="center"/>
          </w:tcPr>
          <w:p>
            <w:pPr>
              <w:pStyle w:val="136"/>
            </w:pPr>
            <w:r>
              <w:t>197</w:t>
            </w:r>
          </w:p>
        </w:tc>
        <w:tc>
          <w:tcPr>
            <w:tcW w:w="484" w:type="pct"/>
            <w:vAlign w:val="center"/>
          </w:tcPr>
          <w:p>
            <w:pPr>
              <w:pStyle w:val="136"/>
            </w:pPr>
            <w:r>
              <w:t>188</w:t>
            </w:r>
          </w:p>
        </w:tc>
        <w:tc>
          <w:tcPr>
            <w:tcW w:w="484" w:type="pct"/>
            <w:vAlign w:val="center"/>
          </w:tcPr>
          <w:p>
            <w:pPr>
              <w:pStyle w:val="136"/>
            </w:pPr>
            <w:r>
              <w:t>173</w:t>
            </w:r>
          </w:p>
        </w:tc>
        <w:tc>
          <w:tcPr>
            <w:tcW w:w="482" w:type="pct"/>
            <w:vAlign w:val="center"/>
          </w:tcPr>
          <w:p>
            <w:pPr>
              <w:pStyle w:val="136"/>
            </w:pPr>
            <w: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pct"/>
            <w:vAlign w:val="center"/>
          </w:tcPr>
          <w:p>
            <w:pPr>
              <w:pStyle w:val="136"/>
            </w:pPr>
            <w:r>
              <w:t>死库容淤积量（10</w:t>
            </w:r>
            <w:r>
              <w:rPr>
                <w:vertAlign w:val="superscript"/>
              </w:rPr>
              <w:t>4</w:t>
            </w:r>
            <w:r>
              <w:t>m</w:t>
            </w:r>
            <w:r>
              <w:rPr>
                <w:vertAlign w:val="superscript"/>
              </w:rPr>
              <w:t>3</w:t>
            </w:r>
            <w:r>
              <w:t>）</w:t>
            </w:r>
          </w:p>
        </w:tc>
        <w:tc>
          <w:tcPr>
            <w:tcW w:w="447" w:type="pct"/>
            <w:vAlign w:val="center"/>
          </w:tcPr>
          <w:p>
            <w:pPr>
              <w:pStyle w:val="136"/>
            </w:pPr>
          </w:p>
        </w:tc>
        <w:tc>
          <w:tcPr>
            <w:tcW w:w="484" w:type="pct"/>
            <w:vAlign w:val="center"/>
          </w:tcPr>
          <w:p>
            <w:pPr>
              <w:pStyle w:val="136"/>
            </w:pPr>
            <w:r>
              <w:t>4</w:t>
            </w:r>
          </w:p>
        </w:tc>
        <w:tc>
          <w:tcPr>
            <w:tcW w:w="484" w:type="pct"/>
            <w:vAlign w:val="center"/>
          </w:tcPr>
          <w:p>
            <w:pPr>
              <w:pStyle w:val="136"/>
            </w:pPr>
            <w:r>
              <w:t>13</w:t>
            </w:r>
          </w:p>
        </w:tc>
        <w:tc>
          <w:tcPr>
            <w:tcW w:w="484" w:type="pct"/>
            <w:vAlign w:val="center"/>
          </w:tcPr>
          <w:p>
            <w:pPr>
              <w:pStyle w:val="136"/>
            </w:pPr>
            <w:r>
              <w:t>21</w:t>
            </w:r>
          </w:p>
        </w:tc>
        <w:tc>
          <w:tcPr>
            <w:tcW w:w="484" w:type="pct"/>
            <w:vAlign w:val="center"/>
          </w:tcPr>
          <w:p>
            <w:pPr>
              <w:pStyle w:val="136"/>
            </w:pPr>
            <w:r>
              <w:t>22</w:t>
            </w:r>
          </w:p>
        </w:tc>
        <w:tc>
          <w:tcPr>
            <w:tcW w:w="482" w:type="pct"/>
            <w:vAlign w:val="center"/>
          </w:tcPr>
          <w:p>
            <w:pPr>
              <w:pStyle w:val="136"/>
            </w:pP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pct"/>
            <w:vAlign w:val="center"/>
          </w:tcPr>
          <w:p>
            <w:pPr>
              <w:pStyle w:val="136"/>
            </w:pPr>
            <w:r>
              <w:t>调节库容淤积量（10</w:t>
            </w:r>
            <w:r>
              <w:rPr>
                <w:vertAlign w:val="superscript"/>
              </w:rPr>
              <w:t>4</w:t>
            </w:r>
            <w:r>
              <w:t>m</w:t>
            </w:r>
            <w:r>
              <w:rPr>
                <w:vertAlign w:val="superscript"/>
              </w:rPr>
              <w:t>3</w:t>
            </w:r>
            <w:r>
              <w:t>）</w:t>
            </w:r>
          </w:p>
        </w:tc>
        <w:tc>
          <w:tcPr>
            <w:tcW w:w="447" w:type="pct"/>
            <w:vAlign w:val="center"/>
          </w:tcPr>
          <w:p>
            <w:pPr>
              <w:pStyle w:val="136"/>
            </w:pPr>
          </w:p>
        </w:tc>
        <w:tc>
          <w:tcPr>
            <w:tcW w:w="484" w:type="pct"/>
            <w:vAlign w:val="center"/>
          </w:tcPr>
          <w:p>
            <w:pPr>
              <w:pStyle w:val="136"/>
            </w:pPr>
            <w:r>
              <w:t>19</w:t>
            </w:r>
          </w:p>
        </w:tc>
        <w:tc>
          <w:tcPr>
            <w:tcW w:w="484" w:type="pct"/>
            <w:vAlign w:val="center"/>
          </w:tcPr>
          <w:p>
            <w:pPr>
              <w:pStyle w:val="136"/>
            </w:pPr>
            <w:r>
              <w:t>30</w:t>
            </w:r>
          </w:p>
        </w:tc>
        <w:tc>
          <w:tcPr>
            <w:tcW w:w="484" w:type="pct"/>
            <w:vAlign w:val="center"/>
          </w:tcPr>
          <w:p>
            <w:pPr>
              <w:pStyle w:val="136"/>
            </w:pPr>
            <w:r>
              <w:t>39</w:t>
            </w:r>
          </w:p>
        </w:tc>
        <w:tc>
          <w:tcPr>
            <w:tcW w:w="484" w:type="pct"/>
            <w:vAlign w:val="center"/>
          </w:tcPr>
          <w:p>
            <w:pPr>
              <w:pStyle w:val="136"/>
            </w:pPr>
            <w:r>
              <w:t>54</w:t>
            </w:r>
          </w:p>
        </w:tc>
        <w:tc>
          <w:tcPr>
            <w:tcW w:w="482" w:type="pct"/>
            <w:vAlign w:val="center"/>
          </w:tcPr>
          <w:p>
            <w:pPr>
              <w:pStyle w:val="136"/>
            </w:pPr>
            <w: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pct"/>
            <w:vAlign w:val="center"/>
          </w:tcPr>
          <w:p>
            <w:pPr>
              <w:pStyle w:val="136"/>
            </w:pPr>
            <w:r>
              <w:t>总淤积量（10</w:t>
            </w:r>
            <w:r>
              <w:rPr>
                <w:vertAlign w:val="superscript"/>
              </w:rPr>
              <w:t>4</w:t>
            </w:r>
            <w:r>
              <w:t>m</w:t>
            </w:r>
            <w:r>
              <w:rPr>
                <w:vertAlign w:val="superscript"/>
              </w:rPr>
              <w:t>3</w:t>
            </w:r>
            <w:r>
              <w:t>）</w:t>
            </w:r>
          </w:p>
        </w:tc>
        <w:tc>
          <w:tcPr>
            <w:tcW w:w="447" w:type="pct"/>
            <w:vAlign w:val="center"/>
          </w:tcPr>
          <w:p>
            <w:pPr>
              <w:pStyle w:val="136"/>
            </w:pPr>
          </w:p>
        </w:tc>
        <w:tc>
          <w:tcPr>
            <w:tcW w:w="484" w:type="pct"/>
            <w:vAlign w:val="center"/>
          </w:tcPr>
          <w:p>
            <w:pPr>
              <w:pStyle w:val="136"/>
            </w:pPr>
            <w:r>
              <w:t>23</w:t>
            </w:r>
          </w:p>
        </w:tc>
        <w:tc>
          <w:tcPr>
            <w:tcW w:w="484" w:type="pct"/>
            <w:vAlign w:val="center"/>
          </w:tcPr>
          <w:p>
            <w:pPr>
              <w:pStyle w:val="136"/>
            </w:pPr>
            <w:r>
              <w:t>42</w:t>
            </w:r>
          </w:p>
        </w:tc>
        <w:tc>
          <w:tcPr>
            <w:tcW w:w="484" w:type="pct"/>
            <w:vAlign w:val="center"/>
          </w:tcPr>
          <w:p>
            <w:pPr>
              <w:pStyle w:val="136"/>
            </w:pPr>
            <w:r>
              <w:t>60</w:t>
            </w:r>
          </w:p>
        </w:tc>
        <w:tc>
          <w:tcPr>
            <w:tcW w:w="484" w:type="pct"/>
            <w:vAlign w:val="center"/>
          </w:tcPr>
          <w:p>
            <w:pPr>
              <w:pStyle w:val="136"/>
            </w:pPr>
            <w:r>
              <w:t>76</w:t>
            </w:r>
          </w:p>
        </w:tc>
        <w:tc>
          <w:tcPr>
            <w:tcW w:w="482" w:type="pct"/>
            <w:vAlign w:val="center"/>
          </w:tcPr>
          <w:p>
            <w:pPr>
              <w:pStyle w:val="136"/>
            </w:pPr>
            <w:r>
              <w:t>90</w:t>
            </w:r>
          </w:p>
        </w:tc>
      </w:tr>
    </w:tbl>
    <w:p>
      <w:pPr>
        <w:ind w:firstLine="480"/>
        <w:rPr>
          <w:rFonts w:cs="Times New Roman"/>
        </w:rPr>
      </w:pPr>
    </w:p>
    <w:p>
      <w:pPr>
        <w:pStyle w:val="3"/>
        <w:rPr>
          <w:rFonts w:cs="Times New Roman"/>
        </w:rPr>
      </w:pPr>
      <w:bookmarkStart w:id="116" w:name="_Toc181381615"/>
      <w:bookmarkStart w:id="117" w:name="_Toc136263304"/>
      <w:r>
        <w:rPr>
          <w:rFonts w:cs="Times New Roman"/>
        </w:rPr>
        <w:t>5.3 对地表水环境的影响</w:t>
      </w:r>
      <w:bookmarkEnd w:id="116"/>
      <w:bookmarkEnd w:id="117"/>
    </w:p>
    <w:p>
      <w:pPr>
        <w:pStyle w:val="4"/>
        <w:rPr>
          <w:rFonts w:cs="Times New Roman"/>
        </w:rPr>
      </w:pPr>
      <w:r>
        <w:rPr>
          <w:rFonts w:cs="Times New Roman"/>
        </w:rPr>
        <w:t>5.3.1 对水温的影响预测</w:t>
      </w:r>
    </w:p>
    <w:p>
      <w:pPr>
        <w:ind w:firstLine="480"/>
        <w:rPr>
          <w:rFonts w:cs="Times New Roman"/>
        </w:rPr>
      </w:pPr>
      <w:r>
        <w:rPr>
          <w:rFonts w:cs="Times New Roman"/>
        </w:rPr>
        <w:t>代尔昆代水库总库容为296.68万m</w:t>
      </w:r>
      <w:r>
        <w:rPr>
          <w:rFonts w:cs="Times New Roman"/>
          <w:vertAlign w:val="superscript"/>
        </w:rPr>
        <w:t>3</w:t>
      </w:r>
      <w:r>
        <w:rPr>
          <w:rFonts w:cs="Times New Roman"/>
        </w:rPr>
        <w:t>，坝址断面多年平均径流量为834万m</w:t>
      </w:r>
      <w:r>
        <w:rPr>
          <w:rFonts w:cs="Times New Roman"/>
          <w:vertAlign w:val="superscript"/>
        </w:rPr>
        <w:t>3</w:t>
      </w:r>
      <w:r>
        <w:rPr>
          <w:rFonts w:cs="Times New Roman"/>
        </w:rPr>
        <w:t>，经计算，α=2.81，小于20，判断水库水温结构为分层型。</w:t>
      </w:r>
    </w:p>
    <w:p>
      <w:pPr>
        <w:ind w:firstLine="480"/>
        <w:rPr>
          <w:rFonts w:cs="Times New Roman"/>
        </w:rPr>
      </w:pPr>
      <w:r>
        <w:rPr>
          <w:rFonts w:cs="Times New Roman"/>
        </w:rPr>
        <w:t>经调查，代尔昆代郭勒河无鱼类分布，也无农业灌溉等水温敏感对象；代尔昆代水库建成后供水对象主要</w:t>
      </w:r>
      <w:r>
        <w:rPr>
          <w:rFonts w:hint="eastAsia" w:cs="Times New Roman"/>
          <w:lang w:eastAsia="zh-CN"/>
        </w:rPr>
        <w:t>为</w:t>
      </w:r>
      <w:r>
        <w:rPr>
          <w:rFonts w:cs="Times New Roman"/>
        </w:rPr>
        <w:t>人畜及公益林，对水温也无要求。</w:t>
      </w:r>
    </w:p>
    <w:p>
      <w:pPr>
        <w:ind w:firstLine="480"/>
        <w:rPr>
          <w:rFonts w:cs="Times New Roman"/>
        </w:rPr>
      </w:pPr>
      <w:r>
        <w:rPr>
          <w:rFonts w:cs="Times New Roman"/>
        </w:rPr>
        <w:t>现状条件下代尔昆代水库坝址断面地表明流基本仅存在于6、7、8月，其他月份基本断流。冬季河道完全封冻，无明流。代尔昆代水库建成后，由于生态水量下泄，坝址断面下游河段会形成一定距离明流河段。</w:t>
      </w:r>
    </w:p>
    <w:p>
      <w:pPr>
        <w:ind w:firstLine="480"/>
        <w:rPr>
          <w:rFonts w:cs="Times New Roman"/>
        </w:rPr>
      </w:pPr>
      <w:r>
        <w:rPr>
          <w:rFonts w:cs="Times New Roman"/>
        </w:rPr>
        <w:t>根据工程地质资料，代尔昆代水库坝址断面河床高程为1950m，水库正常蓄水位为1981.85m，坝前最大水深31.85m。</w:t>
      </w:r>
    </w:p>
    <w:p>
      <w:pPr>
        <w:ind w:firstLine="480"/>
        <w:rPr>
          <w:rFonts w:cs="Times New Roman"/>
        </w:rPr>
      </w:pPr>
      <w:r>
        <w:rPr>
          <w:rFonts w:cs="Times New Roman"/>
        </w:rPr>
        <w:t>代尔昆代水库具有年调节能力，作为水源工程，4～10月水库供水，水库水位持续下降，9月可</w:t>
      </w:r>
      <w:r>
        <w:rPr>
          <w:rFonts w:hint="eastAsia" w:cs="Times New Roman"/>
          <w:lang w:eastAsia="zh-CN"/>
        </w:rPr>
        <w:t>降至</w:t>
      </w:r>
      <w:r>
        <w:rPr>
          <w:rFonts w:cs="Times New Roman"/>
        </w:rPr>
        <w:t>死水位1960m。</w:t>
      </w:r>
    </w:p>
    <w:p>
      <w:pPr>
        <w:ind w:firstLine="480"/>
        <w:rPr>
          <w:rFonts w:cs="Times New Roman"/>
        </w:rPr>
      </w:pPr>
      <w:r>
        <w:rPr>
          <w:rFonts w:cs="Times New Roman"/>
        </w:rPr>
        <w:t>正常水情下，代尔昆代水库采用放水管供水和下泄生态流量，放水管预埋在导流洞底部，进口底板高程1651m，距坝址断面河床高程1650m仅1m，说明放水管基本位于库底。</w:t>
      </w:r>
    </w:p>
    <w:p>
      <w:pPr>
        <w:ind w:firstLine="480"/>
        <w:rPr>
          <w:rFonts w:cs="Times New Roman"/>
        </w:rPr>
      </w:pPr>
      <w:r>
        <w:rPr>
          <w:rFonts w:cs="Times New Roman"/>
        </w:rPr>
        <w:t>类比水温分层水库的库区水温结构，水库下泄低温水通常集中在4～10月河道天然来水水温较高的月份，4～10月为水库供水期，此时段供水量可达359.57万m</w:t>
      </w:r>
      <w:r>
        <w:rPr>
          <w:rFonts w:cs="Times New Roman"/>
          <w:vertAlign w:val="superscript"/>
        </w:rPr>
        <w:t>3</w:t>
      </w:r>
      <w:r>
        <w:rPr>
          <w:rFonts w:cs="Times New Roman"/>
        </w:rPr>
        <w:t>，供水量基本接近P=50%来水频率</w:t>
      </w:r>
      <w:r>
        <w:rPr>
          <w:rFonts w:hint="eastAsia" w:cs="Times New Roman"/>
          <w:lang w:val="en-US" w:eastAsia="zh-CN"/>
        </w:rPr>
        <w:t>占</w:t>
      </w:r>
      <w:r>
        <w:rPr>
          <w:rFonts w:cs="Times New Roman"/>
        </w:rPr>
        <w:t>坝址断面天然来流779.7万m</w:t>
      </w:r>
      <w:r>
        <w:rPr>
          <w:rFonts w:cs="Times New Roman"/>
          <w:vertAlign w:val="superscript"/>
        </w:rPr>
        <w:t>3</w:t>
      </w:r>
      <w:r>
        <w:rPr>
          <w:rFonts w:cs="Times New Roman"/>
        </w:rPr>
        <w:t>的47%，综合来看，供水量较大且集中。而此时段，由于泄水建筑物放水管基本位于库底，通过放水管集中且大量放水，会造成库区水体形成明显垂直掺混，进而不会造成库区形成稳定水温分层，并出现下泄低温水现象。</w:t>
      </w:r>
    </w:p>
    <w:p>
      <w:pPr>
        <w:pStyle w:val="137"/>
        <w:spacing w:before="62"/>
      </w:pPr>
      <w:r>
        <w:t>表5.3-1                     代尔昆代水库水位统计表</w:t>
      </w:r>
    </w:p>
    <w:tbl>
      <w:tblPr>
        <w:tblStyle w:val="41"/>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48"/>
        <w:gridCol w:w="685"/>
        <w:gridCol w:w="685"/>
        <w:gridCol w:w="686"/>
        <w:gridCol w:w="685"/>
        <w:gridCol w:w="685"/>
        <w:gridCol w:w="686"/>
        <w:gridCol w:w="685"/>
        <w:gridCol w:w="685"/>
        <w:gridCol w:w="686"/>
        <w:gridCol w:w="685"/>
        <w:gridCol w:w="685"/>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851" w:type="dxa"/>
            <w:tcMar>
              <w:left w:w="0" w:type="dxa"/>
              <w:right w:w="0" w:type="dxa"/>
            </w:tcMar>
            <w:vAlign w:val="center"/>
          </w:tcPr>
          <w:p>
            <w:pPr>
              <w:pStyle w:val="136"/>
            </w:pPr>
            <w:r>
              <w:t>来水频率</w:t>
            </w:r>
          </w:p>
        </w:tc>
        <w:tc>
          <w:tcPr>
            <w:tcW w:w="848" w:type="dxa"/>
            <w:tcMar>
              <w:left w:w="0" w:type="dxa"/>
              <w:right w:w="0" w:type="dxa"/>
            </w:tcMar>
            <w:vAlign w:val="center"/>
          </w:tcPr>
          <w:p>
            <w:pPr>
              <w:pStyle w:val="136"/>
            </w:pPr>
            <w:r>
              <w:t>水位</w:t>
            </w:r>
          </w:p>
        </w:tc>
        <w:tc>
          <w:tcPr>
            <w:tcW w:w="685" w:type="dxa"/>
            <w:tcMar>
              <w:left w:w="0" w:type="dxa"/>
              <w:right w:w="0" w:type="dxa"/>
            </w:tcMar>
            <w:vAlign w:val="center"/>
          </w:tcPr>
          <w:p>
            <w:pPr>
              <w:pStyle w:val="136"/>
            </w:pPr>
            <w:r>
              <w:t>1月</w:t>
            </w:r>
          </w:p>
        </w:tc>
        <w:tc>
          <w:tcPr>
            <w:tcW w:w="685" w:type="dxa"/>
            <w:tcMar>
              <w:left w:w="0" w:type="dxa"/>
              <w:right w:w="0" w:type="dxa"/>
            </w:tcMar>
            <w:vAlign w:val="center"/>
          </w:tcPr>
          <w:p>
            <w:pPr>
              <w:pStyle w:val="136"/>
            </w:pPr>
            <w:r>
              <w:t>2月</w:t>
            </w:r>
          </w:p>
        </w:tc>
        <w:tc>
          <w:tcPr>
            <w:tcW w:w="686" w:type="dxa"/>
            <w:tcMar>
              <w:left w:w="0" w:type="dxa"/>
              <w:right w:w="0" w:type="dxa"/>
            </w:tcMar>
            <w:vAlign w:val="center"/>
          </w:tcPr>
          <w:p>
            <w:pPr>
              <w:pStyle w:val="136"/>
            </w:pPr>
            <w:r>
              <w:t>3月</w:t>
            </w:r>
          </w:p>
        </w:tc>
        <w:tc>
          <w:tcPr>
            <w:tcW w:w="685" w:type="dxa"/>
            <w:tcMar>
              <w:left w:w="0" w:type="dxa"/>
              <w:right w:w="0" w:type="dxa"/>
            </w:tcMar>
            <w:vAlign w:val="center"/>
          </w:tcPr>
          <w:p>
            <w:pPr>
              <w:pStyle w:val="136"/>
            </w:pPr>
            <w:r>
              <w:t>4月</w:t>
            </w:r>
          </w:p>
        </w:tc>
        <w:tc>
          <w:tcPr>
            <w:tcW w:w="685" w:type="dxa"/>
            <w:tcMar>
              <w:left w:w="0" w:type="dxa"/>
              <w:right w:w="0" w:type="dxa"/>
            </w:tcMar>
            <w:vAlign w:val="center"/>
          </w:tcPr>
          <w:p>
            <w:pPr>
              <w:pStyle w:val="136"/>
            </w:pPr>
            <w:r>
              <w:t>5月</w:t>
            </w:r>
          </w:p>
        </w:tc>
        <w:tc>
          <w:tcPr>
            <w:tcW w:w="686" w:type="dxa"/>
            <w:tcMar>
              <w:left w:w="0" w:type="dxa"/>
              <w:right w:w="0" w:type="dxa"/>
            </w:tcMar>
            <w:vAlign w:val="center"/>
          </w:tcPr>
          <w:p>
            <w:pPr>
              <w:pStyle w:val="136"/>
            </w:pPr>
            <w:r>
              <w:t>6月</w:t>
            </w:r>
          </w:p>
        </w:tc>
        <w:tc>
          <w:tcPr>
            <w:tcW w:w="685" w:type="dxa"/>
            <w:tcMar>
              <w:left w:w="0" w:type="dxa"/>
              <w:right w:w="0" w:type="dxa"/>
            </w:tcMar>
            <w:vAlign w:val="center"/>
          </w:tcPr>
          <w:p>
            <w:pPr>
              <w:pStyle w:val="136"/>
            </w:pPr>
            <w:r>
              <w:t>7月</w:t>
            </w:r>
          </w:p>
        </w:tc>
        <w:tc>
          <w:tcPr>
            <w:tcW w:w="685" w:type="dxa"/>
            <w:tcMar>
              <w:left w:w="0" w:type="dxa"/>
              <w:right w:w="0" w:type="dxa"/>
            </w:tcMar>
            <w:vAlign w:val="center"/>
          </w:tcPr>
          <w:p>
            <w:pPr>
              <w:pStyle w:val="136"/>
            </w:pPr>
            <w:r>
              <w:t>8月</w:t>
            </w:r>
          </w:p>
        </w:tc>
        <w:tc>
          <w:tcPr>
            <w:tcW w:w="686" w:type="dxa"/>
            <w:tcMar>
              <w:left w:w="0" w:type="dxa"/>
              <w:right w:w="0" w:type="dxa"/>
            </w:tcMar>
            <w:vAlign w:val="center"/>
          </w:tcPr>
          <w:p>
            <w:pPr>
              <w:pStyle w:val="136"/>
            </w:pPr>
            <w:r>
              <w:t>9月</w:t>
            </w:r>
          </w:p>
        </w:tc>
        <w:tc>
          <w:tcPr>
            <w:tcW w:w="685" w:type="dxa"/>
            <w:tcMar>
              <w:left w:w="0" w:type="dxa"/>
              <w:right w:w="0" w:type="dxa"/>
            </w:tcMar>
            <w:vAlign w:val="center"/>
          </w:tcPr>
          <w:p>
            <w:pPr>
              <w:pStyle w:val="136"/>
            </w:pPr>
            <w:r>
              <w:t>10月</w:t>
            </w:r>
          </w:p>
        </w:tc>
        <w:tc>
          <w:tcPr>
            <w:tcW w:w="685" w:type="dxa"/>
            <w:tcMar>
              <w:left w:w="0" w:type="dxa"/>
              <w:right w:w="0" w:type="dxa"/>
            </w:tcMar>
            <w:vAlign w:val="center"/>
          </w:tcPr>
          <w:p>
            <w:pPr>
              <w:pStyle w:val="136"/>
            </w:pPr>
            <w:r>
              <w:t>11月</w:t>
            </w:r>
          </w:p>
        </w:tc>
        <w:tc>
          <w:tcPr>
            <w:tcW w:w="686" w:type="dxa"/>
            <w:tcMar>
              <w:left w:w="0" w:type="dxa"/>
              <w:right w:w="0" w:type="dxa"/>
            </w:tcMar>
            <w:vAlign w:val="center"/>
          </w:tcPr>
          <w:p>
            <w:pPr>
              <w:pStyle w:val="136"/>
            </w:pPr>
            <w: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Merge w:val="restart"/>
            <w:tcMar>
              <w:left w:w="0" w:type="dxa"/>
              <w:right w:w="0" w:type="dxa"/>
            </w:tcMar>
            <w:vAlign w:val="center"/>
          </w:tcPr>
          <w:p>
            <w:pPr>
              <w:pStyle w:val="136"/>
            </w:pPr>
            <w:r>
              <w:t>P=50%</w:t>
            </w:r>
          </w:p>
        </w:tc>
        <w:tc>
          <w:tcPr>
            <w:tcW w:w="848" w:type="dxa"/>
            <w:tcMar>
              <w:left w:w="0" w:type="dxa"/>
              <w:right w:w="0" w:type="dxa"/>
            </w:tcMar>
            <w:vAlign w:val="center"/>
          </w:tcPr>
          <w:p>
            <w:pPr>
              <w:pStyle w:val="136"/>
            </w:pPr>
            <w:r>
              <w:t>水库月初水位m</w:t>
            </w:r>
          </w:p>
        </w:tc>
        <w:tc>
          <w:tcPr>
            <w:tcW w:w="685" w:type="dxa"/>
            <w:tcMar>
              <w:left w:w="0" w:type="dxa"/>
              <w:right w:w="0" w:type="dxa"/>
            </w:tcMar>
            <w:vAlign w:val="center"/>
          </w:tcPr>
          <w:p>
            <w:pPr>
              <w:pStyle w:val="136"/>
              <w:rPr>
                <w:lang w:bidi="ar-SA"/>
              </w:rPr>
            </w:pPr>
            <w:r>
              <w:rPr>
                <w:lang w:bidi="ar-SA"/>
              </w:rPr>
              <w:t>1976.04</w:t>
            </w:r>
          </w:p>
        </w:tc>
        <w:tc>
          <w:tcPr>
            <w:tcW w:w="685" w:type="dxa"/>
            <w:shd w:val="clear" w:color="auto" w:fill="auto"/>
            <w:tcMar>
              <w:left w:w="0" w:type="dxa"/>
              <w:right w:w="0" w:type="dxa"/>
            </w:tcMar>
            <w:vAlign w:val="center"/>
          </w:tcPr>
          <w:p>
            <w:pPr>
              <w:pStyle w:val="136"/>
              <w:rPr>
                <w:lang w:bidi="ar-SA"/>
              </w:rPr>
            </w:pPr>
            <w:r>
              <w:rPr>
                <w:lang w:bidi="ar-SA"/>
              </w:rPr>
              <w:t>1978.39</w:t>
            </w:r>
          </w:p>
        </w:tc>
        <w:tc>
          <w:tcPr>
            <w:tcW w:w="686" w:type="dxa"/>
            <w:shd w:val="clear" w:color="auto" w:fill="auto"/>
            <w:tcMar>
              <w:left w:w="0" w:type="dxa"/>
              <w:right w:w="0" w:type="dxa"/>
            </w:tcMar>
            <w:vAlign w:val="center"/>
          </w:tcPr>
          <w:p>
            <w:pPr>
              <w:pStyle w:val="136"/>
              <w:rPr>
                <w:lang w:bidi="ar-SA"/>
              </w:rPr>
            </w:pPr>
            <w:r>
              <w:rPr>
                <w:lang w:bidi="ar-SA"/>
              </w:rPr>
              <w:t>1980.57</w:t>
            </w:r>
          </w:p>
        </w:tc>
        <w:tc>
          <w:tcPr>
            <w:tcW w:w="685" w:type="dxa"/>
            <w:shd w:val="clear" w:color="auto" w:fill="auto"/>
            <w:tcMar>
              <w:left w:w="0" w:type="dxa"/>
              <w:right w:w="0" w:type="dxa"/>
            </w:tcMar>
            <w:vAlign w:val="center"/>
          </w:tcPr>
          <w:p>
            <w:pPr>
              <w:pStyle w:val="136"/>
              <w:rPr>
                <w:lang w:bidi="ar-SA"/>
              </w:rPr>
            </w:pPr>
            <w:r>
              <w:rPr>
                <w:lang w:bidi="ar-SA"/>
              </w:rPr>
              <w:t>1981.42</w:t>
            </w:r>
          </w:p>
        </w:tc>
        <w:tc>
          <w:tcPr>
            <w:tcW w:w="685" w:type="dxa"/>
            <w:shd w:val="clear" w:color="auto" w:fill="auto"/>
            <w:tcMar>
              <w:left w:w="0" w:type="dxa"/>
              <w:right w:w="0" w:type="dxa"/>
            </w:tcMar>
            <w:vAlign w:val="center"/>
          </w:tcPr>
          <w:p>
            <w:pPr>
              <w:pStyle w:val="136"/>
              <w:rPr>
                <w:lang w:bidi="ar-SA"/>
              </w:rPr>
            </w:pPr>
            <w:r>
              <w:rPr>
                <w:lang w:bidi="ar-SA"/>
              </w:rPr>
              <w:t>1981.47</w:t>
            </w:r>
          </w:p>
        </w:tc>
        <w:tc>
          <w:tcPr>
            <w:tcW w:w="686" w:type="dxa"/>
            <w:shd w:val="clear" w:color="auto" w:fill="auto"/>
            <w:tcMar>
              <w:left w:w="0" w:type="dxa"/>
              <w:right w:w="0" w:type="dxa"/>
            </w:tcMar>
            <w:vAlign w:val="center"/>
          </w:tcPr>
          <w:p>
            <w:pPr>
              <w:pStyle w:val="136"/>
              <w:rPr>
                <w:lang w:bidi="ar-SA"/>
              </w:rPr>
            </w:pPr>
            <w:r>
              <w:rPr>
                <w:lang w:bidi="ar-SA"/>
              </w:rPr>
              <w:t>1977.59</w:t>
            </w:r>
          </w:p>
        </w:tc>
        <w:tc>
          <w:tcPr>
            <w:tcW w:w="685" w:type="dxa"/>
            <w:shd w:val="clear" w:color="auto" w:fill="auto"/>
            <w:tcMar>
              <w:left w:w="0" w:type="dxa"/>
              <w:right w:w="0" w:type="dxa"/>
            </w:tcMar>
            <w:vAlign w:val="center"/>
          </w:tcPr>
          <w:p>
            <w:pPr>
              <w:pStyle w:val="136"/>
              <w:rPr>
                <w:lang w:bidi="ar-SA"/>
              </w:rPr>
            </w:pPr>
            <w:r>
              <w:rPr>
                <w:lang w:bidi="ar-SA"/>
              </w:rPr>
              <w:t>1971.47</w:t>
            </w:r>
          </w:p>
        </w:tc>
        <w:tc>
          <w:tcPr>
            <w:tcW w:w="685" w:type="dxa"/>
            <w:shd w:val="clear" w:color="auto" w:fill="auto"/>
            <w:tcMar>
              <w:left w:w="0" w:type="dxa"/>
              <w:right w:w="0" w:type="dxa"/>
            </w:tcMar>
            <w:vAlign w:val="center"/>
          </w:tcPr>
          <w:p>
            <w:pPr>
              <w:pStyle w:val="136"/>
              <w:rPr>
                <w:lang w:bidi="ar-SA"/>
              </w:rPr>
            </w:pPr>
            <w:r>
              <w:rPr>
                <w:lang w:bidi="ar-SA"/>
              </w:rPr>
              <w:t>1971.47</w:t>
            </w:r>
          </w:p>
        </w:tc>
        <w:tc>
          <w:tcPr>
            <w:tcW w:w="686" w:type="dxa"/>
            <w:shd w:val="clear" w:color="auto" w:fill="auto"/>
            <w:tcMar>
              <w:left w:w="0" w:type="dxa"/>
              <w:right w:w="0" w:type="dxa"/>
            </w:tcMar>
            <w:vAlign w:val="center"/>
          </w:tcPr>
          <w:p>
            <w:pPr>
              <w:pStyle w:val="136"/>
              <w:rPr>
                <w:lang w:bidi="ar-SA"/>
              </w:rPr>
            </w:pPr>
            <w:r>
              <w:rPr>
                <w:lang w:bidi="ar-SA"/>
              </w:rPr>
              <w:t>1967.85</w:t>
            </w:r>
          </w:p>
        </w:tc>
        <w:tc>
          <w:tcPr>
            <w:tcW w:w="685" w:type="dxa"/>
            <w:shd w:val="clear" w:color="auto" w:fill="auto"/>
            <w:tcMar>
              <w:left w:w="0" w:type="dxa"/>
              <w:right w:w="0" w:type="dxa"/>
            </w:tcMar>
            <w:vAlign w:val="center"/>
          </w:tcPr>
          <w:p>
            <w:pPr>
              <w:pStyle w:val="136"/>
              <w:rPr>
                <w:lang w:bidi="ar-SA"/>
              </w:rPr>
            </w:pPr>
            <w:r>
              <w:rPr>
                <w:lang w:bidi="ar-SA"/>
              </w:rPr>
              <w:t>1960.00</w:t>
            </w:r>
          </w:p>
        </w:tc>
        <w:tc>
          <w:tcPr>
            <w:tcW w:w="685" w:type="dxa"/>
            <w:shd w:val="clear" w:color="auto" w:fill="auto"/>
            <w:tcMar>
              <w:left w:w="0" w:type="dxa"/>
              <w:right w:w="0" w:type="dxa"/>
            </w:tcMar>
            <w:vAlign w:val="center"/>
          </w:tcPr>
          <w:p>
            <w:pPr>
              <w:pStyle w:val="136"/>
              <w:rPr>
                <w:lang w:bidi="ar-SA"/>
              </w:rPr>
            </w:pPr>
            <w:r>
              <w:rPr>
                <w:lang w:bidi="ar-SA"/>
              </w:rPr>
              <w:t>1965.80</w:t>
            </w:r>
          </w:p>
        </w:tc>
        <w:tc>
          <w:tcPr>
            <w:tcW w:w="686" w:type="dxa"/>
            <w:shd w:val="clear" w:color="auto" w:fill="auto"/>
            <w:tcMar>
              <w:left w:w="0" w:type="dxa"/>
              <w:right w:w="0" w:type="dxa"/>
            </w:tcMar>
            <w:vAlign w:val="center"/>
          </w:tcPr>
          <w:p>
            <w:pPr>
              <w:pStyle w:val="136"/>
              <w:rPr>
                <w:lang w:bidi="ar-SA"/>
              </w:rPr>
            </w:pPr>
            <w:r>
              <w:rPr>
                <w:lang w:bidi="ar-SA"/>
              </w:rPr>
              <w:t>1972.47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tcMar>
              <w:left w:w="0" w:type="dxa"/>
              <w:right w:w="0" w:type="dxa"/>
            </w:tcMar>
            <w:vAlign w:val="center"/>
          </w:tcPr>
          <w:p>
            <w:pPr>
              <w:pStyle w:val="136"/>
            </w:pPr>
          </w:p>
        </w:tc>
        <w:tc>
          <w:tcPr>
            <w:tcW w:w="848" w:type="dxa"/>
            <w:tcMar>
              <w:left w:w="0" w:type="dxa"/>
              <w:right w:w="0" w:type="dxa"/>
            </w:tcMar>
            <w:vAlign w:val="center"/>
          </w:tcPr>
          <w:p>
            <w:pPr>
              <w:pStyle w:val="136"/>
            </w:pPr>
            <w:r>
              <w:t>水库月末水位m</w:t>
            </w:r>
          </w:p>
        </w:tc>
        <w:tc>
          <w:tcPr>
            <w:tcW w:w="685" w:type="dxa"/>
            <w:tcMar>
              <w:left w:w="0" w:type="dxa"/>
              <w:right w:w="0" w:type="dxa"/>
            </w:tcMar>
            <w:vAlign w:val="center"/>
          </w:tcPr>
          <w:p>
            <w:pPr>
              <w:pStyle w:val="136"/>
              <w:rPr>
                <w:lang w:bidi="ar-SA"/>
              </w:rPr>
            </w:pPr>
            <w:r>
              <w:rPr>
                <w:lang w:bidi="ar-SA"/>
              </w:rPr>
              <w:t>1978.39</w:t>
            </w:r>
          </w:p>
        </w:tc>
        <w:tc>
          <w:tcPr>
            <w:tcW w:w="685" w:type="dxa"/>
            <w:tcMar>
              <w:left w:w="0" w:type="dxa"/>
              <w:right w:w="0" w:type="dxa"/>
            </w:tcMar>
            <w:vAlign w:val="center"/>
          </w:tcPr>
          <w:p>
            <w:pPr>
              <w:pStyle w:val="136"/>
              <w:rPr>
                <w:lang w:bidi="ar-SA"/>
              </w:rPr>
            </w:pPr>
            <w:r>
              <w:rPr>
                <w:lang w:bidi="ar-SA"/>
              </w:rPr>
              <w:t>1980.57</w:t>
            </w:r>
          </w:p>
        </w:tc>
        <w:tc>
          <w:tcPr>
            <w:tcW w:w="686" w:type="dxa"/>
            <w:tcMar>
              <w:left w:w="0" w:type="dxa"/>
              <w:right w:w="0" w:type="dxa"/>
            </w:tcMar>
            <w:vAlign w:val="center"/>
          </w:tcPr>
          <w:p>
            <w:pPr>
              <w:pStyle w:val="136"/>
              <w:rPr>
                <w:lang w:bidi="ar-SA"/>
              </w:rPr>
            </w:pPr>
            <w:r>
              <w:rPr>
                <w:lang w:bidi="ar-SA"/>
              </w:rPr>
              <w:t>1981.42</w:t>
            </w:r>
          </w:p>
        </w:tc>
        <w:tc>
          <w:tcPr>
            <w:tcW w:w="685" w:type="dxa"/>
            <w:tcMar>
              <w:left w:w="0" w:type="dxa"/>
              <w:right w:w="0" w:type="dxa"/>
            </w:tcMar>
            <w:vAlign w:val="center"/>
          </w:tcPr>
          <w:p>
            <w:pPr>
              <w:pStyle w:val="136"/>
              <w:rPr>
                <w:lang w:bidi="ar-SA"/>
              </w:rPr>
            </w:pPr>
            <w:r>
              <w:rPr>
                <w:lang w:bidi="ar-SA"/>
              </w:rPr>
              <w:t>1981.47</w:t>
            </w:r>
          </w:p>
        </w:tc>
        <w:tc>
          <w:tcPr>
            <w:tcW w:w="685" w:type="dxa"/>
            <w:tcMar>
              <w:left w:w="0" w:type="dxa"/>
              <w:right w:w="0" w:type="dxa"/>
            </w:tcMar>
            <w:vAlign w:val="center"/>
          </w:tcPr>
          <w:p>
            <w:pPr>
              <w:pStyle w:val="136"/>
              <w:rPr>
                <w:lang w:bidi="ar-SA"/>
              </w:rPr>
            </w:pPr>
            <w:r>
              <w:rPr>
                <w:lang w:bidi="ar-SA"/>
              </w:rPr>
              <w:t>1977.59</w:t>
            </w:r>
          </w:p>
        </w:tc>
        <w:tc>
          <w:tcPr>
            <w:tcW w:w="686" w:type="dxa"/>
            <w:tcMar>
              <w:left w:w="0" w:type="dxa"/>
              <w:right w:w="0" w:type="dxa"/>
            </w:tcMar>
            <w:vAlign w:val="center"/>
          </w:tcPr>
          <w:p>
            <w:pPr>
              <w:pStyle w:val="136"/>
              <w:rPr>
                <w:lang w:bidi="ar-SA"/>
              </w:rPr>
            </w:pPr>
            <w:r>
              <w:rPr>
                <w:lang w:bidi="ar-SA"/>
              </w:rPr>
              <w:t>1971.47</w:t>
            </w:r>
          </w:p>
        </w:tc>
        <w:tc>
          <w:tcPr>
            <w:tcW w:w="685" w:type="dxa"/>
            <w:tcMar>
              <w:left w:w="0" w:type="dxa"/>
              <w:right w:w="0" w:type="dxa"/>
            </w:tcMar>
            <w:vAlign w:val="center"/>
          </w:tcPr>
          <w:p>
            <w:pPr>
              <w:pStyle w:val="136"/>
              <w:rPr>
                <w:lang w:bidi="ar-SA"/>
              </w:rPr>
            </w:pPr>
            <w:r>
              <w:rPr>
                <w:lang w:bidi="ar-SA"/>
              </w:rPr>
              <w:t>1971.47</w:t>
            </w:r>
          </w:p>
        </w:tc>
        <w:tc>
          <w:tcPr>
            <w:tcW w:w="685" w:type="dxa"/>
            <w:tcMar>
              <w:left w:w="0" w:type="dxa"/>
              <w:right w:w="0" w:type="dxa"/>
            </w:tcMar>
            <w:vAlign w:val="center"/>
          </w:tcPr>
          <w:p>
            <w:pPr>
              <w:pStyle w:val="136"/>
              <w:rPr>
                <w:lang w:bidi="ar-SA"/>
              </w:rPr>
            </w:pPr>
            <w:r>
              <w:rPr>
                <w:lang w:bidi="ar-SA"/>
              </w:rPr>
              <w:t>1967.85</w:t>
            </w:r>
          </w:p>
        </w:tc>
        <w:tc>
          <w:tcPr>
            <w:tcW w:w="686" w:type="dxa"/>
            <w:tcMar>
              <w:left w:w="0" w:type="dxa"/>
              <w:right w:w="0" w:type="dxa"/>
            </w:tcMar>
            <w:vAlign w:val="center"/>
          </w:tcPr>
          <w:p>
            <w:pPr>
              <w:pStyle w:val="136"/>
              <w:rPr>
                <w:lang w:bidi="ar-SA"/>
              </w:rPr>
            </w:pPr>
            <w:r>
              <w:rPr>
                <w:lang w:bidi="ar-SA"/>
              </w:rPr>
              <w:t>1960.00</w:t>
            </w:r>
          </w:p>
        </w:tc>
        <w:tc>
          <w:tcPr>
            <w:tcW w:w="685" w:type="dxa"/>
            <w:tcMar>
              <w:left w:w="0" w:type="dxa"/>
              <w:right w:w="0" w:type="dxa"/>
            </w:tcMar>
            <w:vAlign w:val="center"/>
          </w:tcPr>
          <w:p>
            <w:pPr>
              <w:pStyle w:val="136"/>
              <w:rPr>
                <w:lang w:bidi="ar-SA"/>
              </w:rPr>
            </w:pPr>
            <w:r>
              <w:rPr>
                <w:lang w:bidi="ar-SA"/>
              </w:rPr>
              <w:t>1965.80</w:t>
            </w:r>
          </w:p>
        </w:tc>
        <w:tc>
          <w:tcPr>
            <w:tcW w:w="685" w:type="dxa"/>
            <w:tcMar>
              <w:left w:w="0" w:type="dxa"/>
              <w:right w:w="0" w:type="dxa"/>
            </w:tcMar>
            <w:vAlign w:val="center"/>
          </w:tcPr>
          <w:p>
            <w:pPr>
              <w:pStyle w:val="136"/>
              <w:rPr>
                <w:lang w:bidi="ar-SA"/>
              </w:rPr>
            </w:pPr>
            <w:r>
              <w:rPr>
                <w:lang w:bidi="ar-SA"/>
              </w:rPr>
              <w:t>1972.47</w:t>
            </w:r>
          </w:p>
        </w:tc>
        <w:tc>
          <w:tcPr>
            <w:tcW w:w="686" w:type="dxa"/>
            <w:tcMar>
              <w:left w:w="0" w:type="dxa"/>
              <w:right w:w="0" w:type="dxa"/>
            </w:tcMar>
            <w:vAlign w:val="center"/>
          </w:tcPr>
          <w:p>
            <w:pPr>
              <w:pStyle w:val="136"/>
              <w:rPr>
                <w:lang w:bidi="ar-SA"/>
              </w:rPr>
            </w:pPr>
            <w:r>
              <w:rPr>
                <w:lang w:bidi="ar-SA"/>
              </w:rPr>
              <w:t>1976.04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pStyle w:val="136"/>
            </w:pPr>
            <w:r>
              <w:t>P=85%</w:t>
            </w:r>
          </w:p>
        </w:tc>
        <w:tc>
          <w:tcPr>
            <w:tcW w:w="848" w:type="dxa"/>
            <w:tcMar>
              <w:left w:w="0" w:type="dxa"/>
              <w:right w:w="0" w:type="dxa"/>
            </w:tcMar>
            <w:vAlign w:val="center"/>
          </w:tcPr>
          <w:p>
            <w:pPr>
              <w:pStyle w:val="136"/>
            </w:pPr>
            <w:r>
              <w:t>水库月初水位m</w:t>
            </w:r>
          </w:p>
        </w:tc>
        <w:tc>
          <w:tcPr>
            <w:tcW w:w="685" w:type="dxa"/>
            <w:tcMar>
              <w:left w:w="0" w:type="dxa"/>
              <w:right w:w="0" w:type="dxa"/>
            </w:tcMar>
            <w:vAlign w:val="center"/>
          </w:tcPr>
          <w:p>
            <w:pPr>
              <w:pStyle w:val="136"/>
            </w:pPr>
            <w:r>
              <w:rPr>
                <w:lang w:bidi="ar-SA"/>
              </w:rPr>
              <w:t>1974.74</w:t>
            </w:r>
          </w:p>
        </w:tc>
        <w:tc>
          <w:tcPr>
            <w:tcW w:w="685" w:type="dxa"/>
            <w:tcMar>
              <w:left w:w="0" w:type="dxa"/>
              <w:right w:w="0" w:type="dxa"/>
            </w:tcMar>
            <w:vAlign w:val="center"/>
          </w:tcPr>
          <w:p>
            <w:pPr>
              <w:pStyle w:val="136"/>
              <w:rPr>
                <w:lang w:bidi="ar-SA"/>
              </w:rPr>
            </w:pPr>
            <w:r>
              <w:rPr>
                <w:lang w:bidi="ar-SA"/>
              </w:rPr>
              <w:t>1976.90</w:t>
            </w:r>
          </w:p>
        </w:tc>
        <w:tc>
          <w:tcPr>
            <w:tcW w:w="686" w:type="dxa"/>
            <w:tcMar>
              <w:left w:w="0" w:type="dxa"/>
              <w:right w:w="0" w:type="dxa"/>
            </w:tcMar>
            <w:vAlign w:val="center"/>
          </w:tcPr>
          <w:p>
            <w:pPr>
              <w:pStyle w:val="136"/>
              <w:rPr>
                <w:lang w:bidi="ar-SA"/>
              </w:rPr>
            </w:pPr>
            <w:r>
              <w:rPr>
                <w:lang w:bidi="ar-SA"/>
              </w:rPr>
              <w:t>1978.74</w:t>
            </w:r>
          </w:p>
        </w:tc>
        <w:tc>
          <w:tcPr>
            <w:tcW w:w="685" w:type="dxa"/>
            <w:tcMar>
              <w:left w:w="0" w:type="dxa"/>
              <w:right w:w="0" w:type="dxa"/>
            </w:tcMar>
            <w:vAlign w:val="center"/>
          </w:tcPr>
          <w:p>
            <w:pPr>
              <w:pStyle w:val="136"/>
              <w:rPr>
                <w:lang w:bidi="ar-SA"/>
              </w:rPr>
            </w:pPr>
            <w:r>
              <w:rPr>
                <w:lang w:bidi="ar-SA"/>
              </w:rPr>
              <w:t>1980.48</w:t>
            </w:r>
          </w:p>
        </w:tc>
        <w:tc>
          <w:tcPr>
            <w:tcW w:w="685" w:type="dxa"/>
            <w:tcMar>
              <w:left w:w="0" w:type="dxa"/>
              <w:right w:w="0" w:type="dxa"/>
            </w:tcMar>
            <w:vAlign w:val="center"/>
          </w:tcPr>
          <w:p>
            <w:pPr>
              <w:pStyle w:val="136"/>
              <w:rPr>
                <w:lang w:bidi="ar-SA"/>
              </w:rPr>
            </w:pPr>
            <w:r>
              <w:rPr>
                <w:lang w:bidi="ar-SA"/>
              </w:rPr>
              <w:t>1981.13</w:t>
            </w:r>
          </w:p>
        </w:tc>
        <w:tc>
          <w:tcPr>
            <w:tcW w:w="686" w:type="dxa"/>
            <w:tcMar>
              <w:left w:w="0" w:type="dxa"/>
              <w:right w:w="0" w:type="dxa"/>
            </w:tcMar>
            <w:vAlign w:val="center"/>
          </w:tcPr>
          <w:p>
            <w:pPr>
              <w:pStyle w:val="136"/>
              <w:rPr>
                <w:lang w:bidi="ar-SA"/>
              </w:rPr>
            </w:pPr>
            <w:r>
              <w:rPr>
                <w:lang w:bidi="ar-SA"/>
              </w:rPr>
              <w:t>1978.03</w:t>
            </w:r>
          </w:p>
        </w:tc>
        <w:tc>
          <w:tcPr>
            <w:tcW w:w="685" w:type="dxa"/>
            <w:tcMar>
              <w:left w:w="0" w:type="dxa"/>
              <w:right w:w="0" w:type="dxa"/>
            </w:tcMar>
            <w:vAlign w:val="center"/>
          </w:tcPr>
          <w:p>
            <w:pPr>
              <w:pStyle w:val="136"/>
              <w:rPr>
                <w:lang w:bidi="ar-SA"/>
              </w:rPr>
            </w:pPr>
            <w:r>
              <w:rPr>
                <w:lang w:bidi="ar-SA"/>
              </w:rPr>
              <w:t>1975.10</w:t>
            </w:r>
          </w:p>
        </w:tc>
        <w:tc>
          <w:tcPr>
            <w:tcW w:w="685" w:type="dxa"/>
            <w:tcMar>
              <w:left w:w="0" w:type="dxa"/>
              <w:right w:w="0" w:type="dxa"/>
            </w:tcMar>
            <w:vAlign w:val="center"/>
          </w:tcPr>
          <w:p>
            <w:pPr>
              <w:pStyle w:val="136"/>
              <w:rPr>
                <w:lang w:bidi="ar-SA"/>
              </w:rPr>
            </w:pPr>
            <w:r>
              <w:rPr>
                <w:lang w:bidi="ar-SA"/>
              </w:rPr>
              <w:t>1970.91</w:t>
            </w:r>
          </w:p>
        </w:tc>
        <w:tc>
          <w:tcPr>
            <w:tcW w:w="686" w:type="dxa"/>
            <w:tcMar>
              <w:left w:w="0" w:type="dxa"/>
              <w:right w:w="0" w:type="dxa"/>
            </w:tcMar>
            <w:vAlign w:val="center"/>
          </w:tcPr>
          <w:p>
            <w:pPr>
              <w:pStyle w:val="136"/>
              <w:rPr>
                <w:lang w:bidi="ar-SA"/>
              </w:rPr>
            </w:pPr>
            <w:r>
              <w:rPr>
                <w:lang w:bidi="ar-SA"/>
              </w:rPr>
              <w:t>1966.96</w:t>
            </w:r>
          </w:p>
        </w:tc>
        <w:tc>
          <w:tcPr>
            <w:tcW w:w="685" w:type="dxa"/>
            <w:tcMar>
              <w:left w:w="0" w:type="dxa"/>
              <w:right w:w="0" w:type="dxa"/>
            </w:tcMar>
            <w:vAlign w:val="center"/>
          </w:tcPr>
          <w:p>
            <w:pPr>
              <w:pStyle w:val="136"/>
              <w:rPr>
                <w:lang w:bidi="ar-SA"/>
              </w:rPr>
            </w:pPr>
            <w:r>
              <w:rPr>
                <w:lang w:bidi="ar-SA"/>
              </w:rPr>
              <w:t>1960.00</w:t>
            </w:r>
          </w:p>
        </w:tc>
        <w:tc>
          <w:tcPr>
            <w:tcW w:w="685" w:type="dxa"/>
            <w:tcMar>
              <w:left w:w="0" w:type="dxa"/>
              <w:right w:w="0" w:type="dxa"/>
            </w:tcMar>
            <w:vAlign w:val="center"/>
          </w:tcPr>
          <w:p>
            <w:pPr>
              <w:pStyle w:val="136"/>
              <w:rPr>
                <w:lang w:bidi="ar-SA"/>
              </w:rPr>
            </w:pPr>
            <w:r>
              <w:rPr>
                <w:lang w:bidi="ar-SA"/>
              </w:rPr>
              <w:t>1966.38</w:t>
            </w:r>
          </w:p>
        </w:tc>
        <w:tc>
          <w:tcPr>
            <w:tcW w:w="686" w:type="dxa"/>
            <w:tcMar>
              <w:left w:w="0" w:type="dxa"/>
              <w:right w:w="0" w:type="dxa"/>
            </w:tcMar>
            <w:vAlign w:val="center"/>
          </w:tcPr>
          <w:p>
            <w:pPr>
              <w:pStyle w:val="136"/>
              <w:rPr>
                <w:lang w:bidi="ar-SA"/>
              </w:rPr>
            </w:pPr>
            <w:r>
              <w:rPr>
                <w:lang w:bidi="ar-SA"/>
              </w:rPr>
              <w:t>1971.38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tcMar>
              <w:left w:w="0" w:type="dxa"/>
              <w:right w:w="0" w:type="dxa"/>
            </w:tcMar>
            <w:vAlign w:val="center"/>
          </w:tcPr>
          <w:p>
            <w:pPr>
              <w:pStyle w:val="136"/>
            </w:pPr>
          </w:p>
        </w:tc>
        <w:tc>
          <w:tcPr>
            <w:tcW w:w="848" w:type="dxa"/>
            <w:tcMar>
              <w:left w:w="0" w:type="dxa"/>
              <w:right w:w="0" w:type="dxa"/>
            </w:tcMar>
            <w:vAlign w:val="center"/>
          </w:tcPr>
          <w:p>
            <w:pPr>
              <w:pStyle w:val="136"/>
            </w:pPr>
            <w:r>
              <w:t>水库月末水位m</w:t>
            </w:r>
          </w:p>
        </w:tc>
        <w:tc>
          <w:tcPr>
            <w:tcW w:w="685" w:type="dxa"/>
            <w:tcMar>
              <w:left w:w="0" w:type="dxa"/>
              <w:right w:w="0" w:type="dxa"/>
            </w:tcMar>
            <w:vAlign w:val="center"/>
          </w:tcPr>
          <w:p>
            <w:pPr>
              <w:pStyle w:val="136"/>
              <w:rPr>
                <w:lang w:bidi="ar-SA"/>
              </w:rPr>
            </w:pPr>
            <w:r>
              <w:rPr>
                <w:lang w:bidi="ar-SA"/>
              </w:rPr>
              <w:t>1976.90</w:t>
            </w:r>
          </w:p>
        </w:tc>
        <w:tc>
          <w:tcPr>
            <w:tcW w:w="685" w:type="dxa"/>
            <w:tcMar>
              <w:left w:w="0" w:type="dxa"/>
              <w:right w:w="0" w:type="dxa"/>
            </w:tcMar>
            <w:vAlign w:val="center"/>
          </w:tcPr>
          <w:p>
            <w:pPr>
              <w:pStyle w:val="136"/>
              <w:rPr>
                <w:lang w:bidi="ar-SA"/>
              </w:rPr>
            </w:pPr>
            <w:r>
              <w:rPr>
                <w:lang w:bidi="ar-SA"/>
              </w:rPr>
              <w:t>1978.74</w:t>
            </w:r>
          </w:p>
        </w:tc>
        <w:tc>
          <w:tcPr>
            <w:tcW w:w="686" w:type="dxa"/>
            <w:tcMar>
              <w:left w:w="0" w:type="dxa"/>
              <w:right w:w="0" w:type="dxa"/>
            </w:tcMar>
            <w:vAlign w:val="center"/>
          </w:tcPr>
          <w:p>
            <w:pPr>
              <w:pStyle w:val="136"/>
              <w:rPr>
                <w:lang w:bidi="ar-SA"/>
              </w:rPr>
            </w:pPr>
            <w:r>
              <w:rPr>
                <w:lang w:bidi="ar-SA"/>
              </w:rPr>
              <w:t>1980.48</w:t>
            </w:r>
          </w:p>
        </w:tc>
        <w:tc>
          <w:tcPr>
            <w:tcW w:w="685" w:type="dxa"/>
            <w:tcMar>
              <w:left w:w="0" w:type="dxa"/>
              <w:right w:w="0" w:type="dxa"/>
            </w:tcMar>
            <w:vAlign w:val="center"/>
          </w:tcPr>
          <w:p>
            <w:pPr>
              <w:pStyle w:val="136"/>
              <w:rPr>
                <w:lang w:bidi="ar-SA"/>
              </w:rPr>
            </w:pPr>
            <w:r>
              <w:rPr>
                <w:lang w:bidi="ar-SA"/>
              </w:rPr>
              <w:t>1981.13</w:t>
            </w:r>
          </w:p>
        </w:tc>
        <w:tc>
          <w:tcPr>
            <w:tcW w:w="685" w:type="dxa"/>
            <w:tcMar>
              <w:left w:w="0" w:type="dxa"/>
              <w:right w:w="0" w:type="dxa"/>
            </w:tcMar>
            <w:vAlign w:val="center"/>
          </w:tcPr>
          <w:p>
            <w:pPr>
              <w:pStyle w:val="136"/>
              <w:rPr>
                <w:lang w:bidi="ar-SA"/>
              </w:rPr>
            </w:pPr>
            <w:r>
              <w:rPr>
                <w:lang w:bidi="ar-SA"/>
              </w:rPr>
              <w:t>1978.03</w:t>
            </w:r>
          </w:p>
        </w:tc>
        <w:tc>
          <w:tcPr>
            <w:tcW w:w="686" w:type="dxa"/>
            <w:tcMar>
              <w:left w:w="0" w:type="dxa"/>
              <w:right w:w="0" w:type="dxa"/>
            </w:tcMar>
            <w:vAlign w:val="center"/>
          </w:tcPr>
          <w:p>
            <w:pPr>
              <w:pStyle w:val="136"/>
              <w:rPr>
                <w:lang w:bidi="ar-SA"/>
              </w:rPr>
            </w:pPr>
            <w:r>
              <w:rPr>
                <w:lang w:bidi="ar-SA"/>
              </w:rPr>
              <w:t>1975.10</w:t>
            </w:r>
          </w:p>
        </w:tc>
        <w:tc>
          <w:tcPr>
            <w:tcW w:w="685" w:type="dxa"/>
            <w:tcMar>
              <w:left w:w="0" w:type="dxa"/>
              <w:right w:w="0" w:type="dxa"/>
            </w:tcMar>
            <w:vAlign w:val="center"/>
          </w:tcPr>
          <w:p>
            <w:pPr>
              <w:pStyle w:val="136"/>
              <w:rPr>
                <w:lang w:bidi="ar-SA"/>
              </w:rPr>
            </w:pPr>
            <w:r>
              <w:rPr>
                <w:lang w:bidi="ar-SA"/>
              </w:rPr>
              <w:t>1970.91</w:t>
            </w:r>
          </w:p>
        </w:tc>
        <w:tc>
          <w:tcPr>
            <w:tcW w:w="685" w:type="dxa"/>
            <w:tcMar>
              <w:left w:w="0" w:type="dxa"/>
              <w:right w:w="0" w:type="dxa"/>
            </w:tcMar>
            <w:vAlign w:val="center"/>
          </w:tcPr>
          <w:p>
            <w:pPr>
              <w:pStyle w:val="136"/>
              <w:rPr>
                <w:lang w:bidi="ar-SA"/>
              </w:rPr>
            </w:pPr>
            <w:r>
              <w:rPr>
                <w:lang w:bidi="ar-SA"/>
              </w:rPr>
              <w:t>1966.96</w:t>
            </w:r>
          </w:p>
        </w:tc>
        <w:tc>
          <w:tcPr>
            <w:tcW w:w="686" w:type="dxa"/>
            <w:tcMar>
              <w:left w:w="0" w:type="dxa"/>
              <w:right w:w="0" w:type="dxa"/>
            </w:tcMar>
            <w:vAlign w:val="center"/>
          </w:tcPr>
          <w:p>
            <w:pPr>
              <w:pStyle w:val="136"/>
              <w:rPr>
                <w:lang w:bidi="ar-SA"/>
              </w:rPr>
            </w:pPr>
            <w:r>
              <w:rPr>
                <w:lang w:bidi="ar-SA"/>
              </w:rPr>
              <w:t>1960.00</w:t>
            </w:r>
          </w:p>
        </w:tc>
        <w:tc>
          <w:tcPr>
            <w:tcW w:w="685" w:type="dxa"/>
            <w:tcMar>
              <w:left w:w="0" w:type="dxa"/>
              <w:right w:w="0" w:type="dxa"/>
            </w:tcMar>
            <w:vAlign w:val="center"/>
          </w:tcPr>
          <w:p>
            <w:pPr>
              <w:pStyle w:val="136"/>
              <w:rPr>
                <w:lang w:bidi="ar-SA"/>
              </w:rPr>
            </w:pPr>
            <w:r>
              <w:rPr>
                <w:lang w:bidi="ar-SA"/>
              </w:rPr>
              <w:t>1966.38</w:t>
            </w:r>
          </w:p>
        </w:tc>
        <w:tc>
          <w:tcPr>
            <w:tcW w:w="685" w:type="dxa"/>
            <w:tcMar>
              <w:left w:w="0" w:type="dxa"/>
              <w:right w:w="0" w:type="dxa"/>
            </w:tcMar>
            <w:vAlign w:val="center"/>
          </w:tcPr>
          <w:p>
            <w:pPr>
              <w:pStyle w:val="136"/>
              <w:rPr>
                <w:lang w:bidi="ar-SA"/>
              </w:rPr>
            </w:pPr>
            <w:r>
              <w:rPr>
                <w:lang w:bidi="ar-SA"/>
              </w:rPr>
              <w:t>1971.38</w:t>
            </w:r>
          </w:p>
        </w:tc>
        <w:tc>
          <w:tcPr>
            <w:tcW w:w="686" w:type="dxa"/>
            <w:tcMar>
              <w:left w:w="0" w:type="dxa"/>
              <w:right w:w="0" w:type="dxa"/>
            </w:tcMar>
            <w:vAlign w:val="center"/>
          </w:tcPr>
          <w:p>
            <w:pPr>
              <w:pStyle w:val="136"/>
              <w:rPr>
                <w:lang w:bidi="ar-SA"/>
              </w:rPr>
            </w:pPr>
            <w:r>
              <w:rPr>
                <w:lang w:bidi="ar-SA"/>
              </w:rPr>
              <w:t>1974.74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pStyle w:val="136"/>
            </w:pPr>
            <w:r>
              <w:t>P=95%</w:t>
            </w:r>
          </w:p>
        </w:tc>
        <w:tc>
          <w:tcPr>
            <w:tcW w:w="848" w:type="dxa"/>
            <w:tcMar>
              <w:left w:w="0" w:type="dxa"/>
              <w:right w:w="0" w:type="dxa"/>
            </w:tcMar>
            <w:vAlign w:val="center"/>
          </w:tcPr>
          <w:p>
            <w:pPr>
              <w:pStyle w:val="136"/>
            </w:pPr>
            <w:r>
              <w:t>水库月初水位m</w:t>
            </w:r>
          </w:p>
        </w:tc>
        <w:tc>
          <w:tcPr>
            <w:tcW w:w="685" w:type="dxa"/>
            <w:tcMar>
              <w:left w:w="0" w:type="dxa"/>
              <w:right w:w="0" w:type="dxa"/>
            </w:tcMar>
            <w:vAlign w:val="center"/>
          </w:tcPr>
          <w:p>
            <w:pPr>
              <w:pStyle w:val="136"/>
              <w:rPr>
                <w:lang w:bidi="ar-SA"/>
              </w:rPr>
            </w:pPr>
            <w:r>
              <w:rPr>
                <w:lang w:bidi="ar-SA"/>
              </w:rPr>
              <w:t>1974.99</w:t>
            </w:r>
          </w:p>
        </w:tc>
        <w:tc>
          <w:tcPr>
            <w:tcW w:w="685" w:type="dxa"/>
            <w:tcMar>
              <w:left w:w="0" w:type="dxa"/>
              <w:right w:w="0" w:type="dxa"/>
            </w:tcMar>
            <w:vAlign w:val="center"/>
          </w:tcPr>
          <w:p>
            <w:pPr>
              <w:pStyle w:val="136"/>
              <w:rPr>
                <w:lang w:bidi="ar-SA"/>
              </w:rPr>
            </w:pPr>
            <w:r>
              <w:rPr>
                <w:lang w:bidi="ar-SA"/>
              </w:rPr>
              <w:t>1977.44</w:t>
            </w:r>
          </w:p>
        </w:tc>
        <w:tc>
          <w:tcPr>
            <w:tcW w:w="686" w:type="dxa"/>
            <w:tcMar>
              <w:left w:w="0" w:type="dxa"/>
              <w:right w:w="0" w:type="dxa"/>
            </w:tcMar>
            <w:vAlign w:val="center"/>
          </w:tcPr>
          <w:p>
            <w:pPr>
              <w:pStyle w:val="136"/>
              <w:rPr>
                <w:lang w:bidi="ar-SA"/>
              </w:rPr>
            </w:pPr>
            <w:r>
              <w:rPr>
                <w:lang w:bidi="ar-SA"/>
              </w:rPr>
              <w:t>1979.43</w:t>
            </w:r>
          </w:p>
        </w:tc>
        <w:tc>
          <w:tcPr>
            <w:tcW w:w="685" w:type="dxa"/>
            <w:tcMar>
              <w:left w:w="0" w:type="dxa"/>
              <w:right w:w="0" w:type="dxa"/>
            </w:tcMar>
            <w:vAlign w:val="center"/>
          </w:tcPr>
          <w:p>
            <w:pPr>
              <w:pStyle w:val="136"/>
              <w:rPr>
                <w:lang w:bidi="ar-SA"/>
              </w:rPr>
            </w:pPr>
            <w:r>
              <w:rPr>
                <w:lang w:bidi="ar-SA"/>
              </w:rPr>
              <w:t>1981.13</w:t>
            </w:r>
          </w:p>
        </w:tc>
        <w:tc>
          <w:tcPr>
            <w:tcW w:w="685" w:type="dxa"/>
            <w:tcMar>
              <w:left w:w="0" w:type="dxa"/>
              <w:right w:w="0" w:type="dxa"/>
            </w:tcMar>
            <w:vAlign w:val="center"/>
          </w:tcPr>
          <w:p>
            <w:pPr>
              <w:pStyle w:val="136"/>
              <w:rPr>
                <w:lang w:bidi="ar-SA"/>
              </w:rPr>
            </w:pPr>
            <w:r>
              <w:rPr>
                <w:lang w:bidi="ar-SA"/>
              </w:rPr>
              <w:t>1981.85</w:t>
            </w:r>
          </w:p>
        </w:tc>
        <w:tc>
          <w:tcPr>
            <w:tcW w:w="686" w:type="dxa"/>
            <w:tcMar>
              <w:left w:w="0" w:type="dxa"/>
              <w:right w:w="0" w:type="dxa"/>
            </w:tcMar>
            <w:vAlign w:val="center"/>
          </w:tcPr>
          <w:p>
            <w:pPr>
              <w:pStyle w:val="136"/>
              <w:rPr>
                <w:lang w:bidi="ar-SA"/>
              </w:rPr>
            </w:pPr>
            <w:r>
              <w:rPr>
                <w:lang w:bidi="ar-SA"/>
              </w:rPr>
              <w:t>1978.94</w:t>
            </w:r>
          </w:p>
        </w:tc>
        <w:tc>
          <w:tcPr>
            <w:tcW w:w="685" w:type="dxa"/>
            <w:tcMar>
              <w:left w:w="0" w:type="dxa"/>
              <w:right w:w="0" w:type="dxa"/>
            </w:tcMar>
            <w:vAlign w:val="center"/>
          </w:tcPr>
          <w:p>
            <w:pPr>
              <w:pStyle w:val="136"/>
              <w:rPr>
                <w:lang w:bidi="ar-SA"/>
              </w:rPr>
            </w:pPr>
            <w:r>
              <w:rPr>
                <w:lang w:bidi="ar-SA"/>
              </w:rPr>
              <w:t>1974.92</w:t>
            </w:r>
          </w:p>
        </w:tc>
        <w:tc>
          <w:tcPr>
            <w:tcW w:w="685" w:type="dxa"/>
            <w:tcMar>
              <w:left w:w="0" w:type="dxa"/>
              <w:right w:w="0" w:type="dxa"/>
            </w:tcMar>
            <w:vAlign w:val="center"/>
          </w:tcPr>
          <w:p>
            <w:pPr>
              <w:pStyle w:val="136"/>
              <w:rPr>
                <w:lang w:bidi="ar-SA"/>
              </w:rPr>
            </w:pPr>
            <w:r>
              <w:rPr>
                <w:lang w:bidi="ar-SA"/>
              </w:rPr>
              <w:t>1971.07</w:t>
            </w:r>
          </w:p>
        </w:tc>
        <w:tc>
          <w:tcPr>
            <w:tcW w:w="686" w:type="dxa"/>
            <w:tcMar>
              <w:left w:w="0" w:type="dxa"/>
              <w:right w:w="0" w:type="dxa"/>
            </w:tcMar>
            <w:vAlign w:val="center"/>
          </w:tcPr>
          <w:p>
            <w:pPr>
              <w:pStyle w:val="136"/>
              <w:rPr>
                <w:lang w:bidi="ar-SA"/>
              </w:rPr>
            </w:pPr>
            <w:r>
              <w:rPr>
                <w:lang w:bidi="ar-SA"/>
              </w:rPr>
              <w:t>1967.69</w:t>
            </w:r>
          </w:p>
        </w:tc>
        <w:tc>
          <w:tcPr>
            <w:tcW w:w="685" w:type="dxa"/>
            <w:tcMar>
              <w:left w:w="0" w:type="dxa"/>
              <w:right w:w="0" w:type="dxa"/>
            </w:tcMar>
            <w:vAlign w:val="center"/>
          </w:tcPr>
          <w:p>
            <w:pPr>
              <w:pStyle w:val="136"/>
              <w:rPr>
                <w:lang w:bidi="ar-SA"/>
              </w:rPr>
            </w:pPr>
            <w:r>
              <w:rPr>
                <w:lang w:bidi="ar-SA"/>
              </w:rPr>
              <w:t>1960.00</w:t>
            </w:r>
          </w:p>
        </w:tc>
        <w:tc>
          <w:tcPr>
            <w:tcW w:w="685" w:type="dxa"/>
            <w:tcMar>
              <w:left w:w="0" w:type="dxa"/>
              <w:right w:w="0" w:type="dxa"/>
            </w:tcMar>
            <w:vAlign w:val="center"/>
          </w:tcPr>
          <w:p>
            <w:pPr>
              <w:pStyle w:val="136"/>
              <w:rPr>
                <w:lang w:bidi="ar-SA"/>
              </w:rPr>
            </w:pPr>
            <w:r>
              <w:rPr>
                <w:lang w:bidi="ar-SA"/>
              </w:rPr>
              <w:t>1966.66</w:t>
            </w:r>
          </w:p>
        </w:tc>
        <w:tc>
          <w:tcPr>
            <w:tcW w:w="686" w:type="dxa"/>
            <w:tcMar>
              <w:left w:w="0" w:type="dxa"/>
              <w:right w:w="0" w:type="dxa"/>
            </w:tcMar>
            <w:vAlign w:val="center"/>
          </w:tcPr>
          <w:p>
            <w:pPr>
              <w:pStyle w:val="136"/>
              <w:rPr>
                <w:lang w:bidi="ar-SA"/>
              </w:rPr>
            </w:pPr>
            <w:r>
              <w:rPr>
                <w:lang w:bidi="ar-SA"/>
              </w:rPr>
              <w:t>1971.48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tcMar>
              <w:left w:w="0" w:type="dxa"/>
              <w:right w:w="0" w:type="dxa"/>
            </w:tcMar>
            <w:vAlign w:val="center"/>
          </w:tcPr>
          <w:p>
            <w:pPr>
              <w:pStyle w:val="136"/>
            </w:pPr>
          </w:p>
        </w:tc>
        <w:tc>
          <w:tcPr>
            <w:tcW w:w="848" w:type="dxa"/>
            <w:tcMar>
              <w:left w:w="0" w:type="dxa"/>
              <w:right w:w="0" w:type="dxa"/>
            </w:tcMar>
            <w:vAlign w:val="center"/>
          </w:tcPr>
          <w:p>
            <w:pPr>
              <w:pStyle w:val="136"/>
            </w:pPr>
            <w:r>
              <w:t>水库月末水位m</w:t>
            </w:r>
          </w:p>
        </w:tc>
        <w:tc>
          <w:tcPr>
            <w:tcW w:w="685" w:type="dxa"/>
            <w:tcMar>
              <w:left w:w="0" w:type="dxa"/>
              <w:right w:w="0" w:type="dxa"/>
            </w:tcMar>
            <w:vAlign w:val="center"/>
          </w:tcPr>
          <w:p>
            <w:pPr>
              <w:pStyle w:val="136"/>
              <w:rPr>
                <w:lang w:bidi="ar-SA"/>
              </w:rPr>
            </w:pPr>
            <w:r>
              <w:rPr>
                <w:lang w:bidi="ar-SA"/>
              </w:rPr>
              <w:t>1977.44</w:t>
            </w:r>
          </w:p>
        </w:tc>
        <w:tc>
          <w:tcPr>
            <w:tcW w:w="685" w:type="dxa"/>
            <w:tcMar>
              <w:left w:w="0" w:type="dxa"/>
              <w:right w:w="0" w:type="dxa"/>
            </w:tcMar>
            <w:vAlign w:val="center"/>
          </w:tcPr>
          <w:p>
            <w:pPr>
              <w:pStyle w:val="136"/>
              <w:rPr>
                <w:lang w:bidi="ar-SA"/>
              </w:rPr>
            </w:pPr>
            <w:r>
              <w:rPr>
                <w:lang w:bidi="ar-SA"/>
              </w:rPr>
              <w:t>1979.43</w:t>
            </w:r>
          </w:p>
        </w:tc>
        <w:tc>
          <w:tcPr>
            <w:tcW w:w="686" w:type="dxa"/>
            <w:tcMar>
              <w:left w:w="0" w:type="dxa"/>
              <w:right w:w="0" w:type="dxa"/>
            </w:tcMar>
            <w:vAlign w:val="center"/>
          </w:tcPr>
          <w:p>
            <w:pPr>
              <w:pStyle w:val="136"/>
              <w:rPr>
                <w:lang w:bidi="ar-SA"/>
              </w:rPr>
            </w:pPr>
            <w:r>
              <w:rPr>
                <w:lang w:bidi="ar-SA"/>
              </w:rPr>
              <w:t>1981.13</w:t>
            </w:r>
          </w:p>
        </w:tc>
        <w:tc>
          <w:tcPr>
            <w:tcW w:w="685" w:type="dxa"/>
            <w:tcMar>
              <w:left w:w="0" w:type="dxa"/>
              <w:right w:w="0" w:type="dxa"/>
            </w:tcMar>
            <w:vAlign w:val="center"/>
          </w:tcPr>
          <w:p>
            <w:pPr>
              <w:pStyle w:val="136"/>
              <w:rPr>
                <w:lang w:bidi="ar-SA"/>
              </w:rPr>
            </w:pPr>
            <w:r>
              <w:rPr>
                <w:lang w:bidi="ar-SA"/>
              </w:rPr>
              <w:t>1981.85</w:t>
            </w:r>
          </w:p>
        </w:tc>
        <w:tc>
          <w:tcPr>
            <w:tcW w:w="685" w:type="dxa"/>
            <w:tcMar>
              <w:left w:w="0" w:type="dxa"/>
              <w:right w:w="0" w:type="dxa"/>
            </w:tcMar>
            <w:vAlign w:val="center"/>
          </w:tcPr>
          <w:p>
            <w:pPr>
              <w:pStyle w:val="136"/>
              <w:rPr>
                <w:lang w:bidi="ar-SA"/>
              </w:rPr>
            </w:pPr>
            <w:r>
              <w:rPr>
                <w:lang w:bidi="ar-SA"/>
              </w:rPr>
              <w:t>1978.94</w:t>
            </w:r>
          </w:p>
        </w:tc>
        <w:tc>
          <w:tcPr>
            <w:tcW w:w="686" w:type="dxa"/>
            <w:tcMar>
              <w:left w:w="0" w:type="dxa"/>
              <w:right w:w="0" w:type="dxa"/>
            </w:tcMar>
            <w:vAlign w:val="center"/>
          </w:tcPr>
          <w:p>
            <w:pPr>
              <w:pStyle w:val="136"/>
              <w:rPr>
                <w:lang w:bidi="ar-SA"/>
              </w:rPr>
            </w:pPr>
            <w:r>
              <w:rPr>
                <w:lang w:bidi="ar-SA"/>
              </w:rPr>
              <w:t>1974.92</w:t>
            </w:r>
          </w:p>
        </w:tc>
        <w:tc>
          <w:tcPr>
            <w:tcW w:w="685" w:type="dxa"/>
            <w:tcMar>
              <w:left w:w="0" w:type="dxa"/>
              <w:right w:w="0" w:type="dxa"/>
            </w:tcMar>
            <w:vAlign w:val="center"/>
          </w:tcPr>
          <w:p>
            <w:pPr>
              <w:pStyle w:val="136"/>
              <w:rPr>
                <w:lang w:bidi="ar-SA"/>
              </w:rPr>
            </w:pPr>
            <w:r>
              <w:rPr>
                <w:lang w:bidi="ar-SA"/>
              </w:rPr>
              <w:t>1971.07</w:t>
            </w:r>
          </w:p>
        </w:tc>
        <w:tc>
          <w:tcPr>
            <w:tcW w:w="685" w:type="dxa"/>
            <w:tcMar>
              <w:left w:w="0" w:type="dxa"/>
              <w:right w:w="0" w:type="dxa"/>
            </w:tcMar>
            <w:vAlign w:val="center"/>
          </w:tcPr>
          <w:p>
            <w:pPr>
              <w:pStyle w:val="136"/>
              <w:rPr>
                <w:lang w:bidi="ar-SA"/>
              </w:rPr>
            </w:pPr>
            <w:r>
              <w:rPr>
                <w:lang w:bidi="ar-SA"/>
              </w:rPr>
              <w:t>1967.69</w:t>
            </w:r>
          </w:p>
        </w:tc>
        <w:tc>
          <w:tcPr>
            <w:tcW w:w="686" w:type="dxa"/>
            <w:tcMar>
              <w:left w:w="0" w:type="dxa"/>
              <w:right w:w="0" w:type="dxa"/>
            </w:tcMar>
            <w:vAlign w:val="center"/>
          </w:tcPr>
          <w:p>
            <w:pPr>
              <w:pStyle w:val="136"/>
              <w:rPr>
                <w:lang w:bidi="ar-SA"/>
              </w:rPr>
            </w:pPr>
            <w:r>
              <w:rPr>
                <w:lang w:bidi="ar-SA"/>
              </w:rPr>
              <w:t>1960.00</w:t>
            </w:r>
          </w:p>
        </w:tc>
        <w:tc>
          <w:tcPr>
            <w:tcW w:w="685" w:type="dxa"/>
            <w:tcMar>
              <w:left w:w="0" w:type="dxa"/>
              <w:right w:w="0" w:type="dxa"/>
            </w:tcMar>
            <w:vAlign w:val="center"/>
          </w:tcPr>
          <w:p>
            <w:pPr>
              <w:pStyle w:val="136"/>
              <w:rPr>
                <w:lang w:bidi="ar-SA"/>
              </w:rPr>
            </w:pPr>
            <w:r>
              <w:rPr>
                <w:lang w:bidi="ar-SA"/>
              </w:rPr>
              <w:t>1966.66</w:t>
            </w:r>
          </w:p>
        </w:tc>
        <w:tc>
          <w:tcPr>
            <w:tcW w:w="685" w:type="dxa"/>
            <w:tcMar>
              <w:left w:w="0" w:type="dxa"/>
              <w:right w:w="0" w:type="dxa"/>
            </w:tcMar>
            <w:vAlign w:val="center"/>
          </w:tcPr>
          <w:p>
            <w:pPr>
              <w:pStyle w:val="136"/>
              <w:rPr>
                <w:lang w:bidi="ar-SA"/>
              </w:rPr>
            </w:pPr>
            <w:r>
              <w:rPr>
                <w:lang w:bidi="ar-SA"/>
              </w:rPr>
              <w:t>1971.48</w:t>
            </w:r>
          </w:p>
        </w:tc>
        <w:tc>
          <w:tcPr>
            <w:tcW w:w="686" w:type="dxa"/>
            <w:tcMar>
              <w:left w:w="0" w:type="dxa"/>
              <w:right w:w="0" w:type="dxa"/>
            </w:tcMar>
            <w:vAlign w:val="center"/>
          </w:tcPr>
          <w:p>
            <w:pPr>
              <w:pStyle w:val="136"/>
              <w:rPr>
                <w:lang w:bidi="ar-SA"/>
              </w:rPr>
            </w:pPr>
            <w:r>
              <w:rPr>
                <w:lang w:bidi="ar-SA"/>
              </w:rPr>
              <w:t>1974.99</w:t>
            </w:r>
          </w:p>
        </w:tc>
      </w:tr>
    </w:tbl>
    <w:p>
      <w:pPr>
        <w:ind w:firstLine="480"/>
        <w:rPr>
          <w:rFonts w:cs="Times New Roman"/>
        </w:rPr>
      </w:pPr>
    </w:p>
    <w:p>
      <w:pPr>
        <w:pStyle w:val="4"/>
        <w:rPr>
          <w:rFonts w:cs="Times New Roman"/>
        </w:rPr>
      </w:pPr>
      <w:r>
        <w:rPr>
          <w:rFonts w:cs="Times New Roman"/>
        </w:rPr>
        <w:t>5.3.2 对水质的影响预测</w:t>
      </w:r>
    </w:p>
    <w:p>
      <w:pPr>
        <w:pStyle w:val="62"/>
        <w:rPr>
          <w:rFonts w:cs="Times New Roman"/>
        </w:rPr>
      </w:pPr>
      <w:r>
        <w:rPr>
          <w:rFonts w:cs="Times New Roman"/>
        </w:rPr>
        <w:t>5.3.2.1 对库区水质的影响</w:t>
      </w:r>
    </w:p>
    <w:p>
      <w:pPr>
        <w:ind w:firstLine="480"/>
        <w:rPr>
          <w:rFonts w:cs="Times New Roman"/>
        </w:rPr>
      </w:pPr>
      <w:r>
        <w:rPr>
          <w:rFonts w:cs="Times New Roman"/>
        </w:rPr>
        <w:t>经现场调查及访问当地相关部门，代尔昆代水库上游无工业企业污染源及城镇生活污水排入，也</w:t>
      </w:r>
      <w:r>
        <w:rPr>
          <w:rFonts w:hint="eastAsia" w:cs="Times New Roman"/>
          <w:lang w:eastAsia="zh-CN"/>
        </w:rPr>
        <w:t>无</w:t>
      </w:r>
      <w:r>
        <w:rPr>
          <w:rFonts w:cs="Times New Roman"/>
        </w:rPr>
        <w:t>农业灌溉面源污染，仅存在放牧产生的牧业面源污染。水库淹没面积约19.36hm</w:t>
      </w:r>
      <w:r>
        <w:rPr>
          <w:rFonts w:cs="Times New Roman"/>
          <w:vertAlign w:val="superscript"/>
        </w:rPr>
        <w:t>2</w:t>
      </w:r>
      <w:r>
        <w:rPr>
          <w:rFonts w:cs="Times New Roman"/>
        </w:rPr>
        <w:t>，</w:t>
      </w:r>
      <w:r>
        <w:rPr>
          <w:rFonts w:hint="eastAsia" w:cs="Times New Roman"/>
          <w:lang w:eastAsia="zh-CN"/>
        </w:rPr>
        <w:t>将</w:t>
      </w:r>
      <w:r>
        <w:rPr>
          <w:rFonts w:cs="Times New Roman"/>
        </w:rPr>
        <w:t>淹没一些实物指标，在库盘铺土工膜前，</w:t>
      </w:r>
      <w:r>
        <w:rPr>
          <w:rFonts w:hint="eastAsia" w:cs="Times New Roman"/>
          <w:lang w:eastAsia="zh-CN"/>
        </w:rPr>
        <w:t>将</w:t>
      </w:r>
      <w:r>
        <w:rPr>
          <w:rFonts w:cs="Times New Roman"/>
        </w:rPr>
        <w:t>进行清库工作，故不存在植被在库水中大量腐烂而导致水质劣变的可能。</w:t>
      </w:r>
    </w:p>
    <w:p>
      <w:pPr>
        <w:ind w:firstLine="480"/>
        <w:rPr>
          <w:rFonts w:cs="Times New Roman"/>
        </w:rPr>
      </w:pPr>
      <w:r>
        <w:rPr>
          <w:rFonts w:cs="Times New Roman"/>
        </w:rPr>
        <w:t>水库蓄水后，水流流速减缓，有利于洪水期主要污染物（如SS）的物理沉淀，或者以氧化等化学过程转化为其他形式而脱离水体，改善洪水期相应的水质指标。河水经水库调蓄后，水流流速减缓，流态的改变有利于重金属污染物的附着沉降。这是由于重金属在天然水体中主要附着在固体颗粒物上，水体流速的减缓，沉淀作用增大，对重金属析出水体有益。另外，水库蓄水后流速减缓，促使泥沙沉积，</w:t>
      </w:r>
      <w:r>
        <w:rPr>
          <w:rFonts w:hint="eastAsia" w:cs="Times New Roman"/>
          <w:lang w:eastAsia="zh-CN"/>
        </w:rPr>
        <w:t>将</w:t>
      </w:r>
      <w:r>
        <w:rPr>
          <w:rFonts w:cs="Times New Roman"/>
        </w:rPr>
        <w:t>减少供水中的泥沙含量。因库区无污染源汇入，故不会对水库水质产生较大不利影响。工程区现状土壤中氮、磷含量较低，水库坝址上游来水水质较好，11月～次年3月水库蓄水，4～10月向下游供水，水体排出，依次往复；冬季由于水温很低，微生物基本停止生长。因此，代尔昆代水库不会出现</w:t>
      </w:r>
      <w:r>
        <w:rPr>
          <w:rFonts w:hint="eastAsia" w:cs="Times New Roman"/>
          <w:lang w:eastAsia="zh-CN"/>
        </w:rPr>
        <w:t>富营氧化</w:t>
      </w:r>
      <w:r>
        <w:rPr>
          <w:rFonts w:cs="Times New Roman"/>
        </w:rPr>
        <w:t>现象。</w:t>
      </w:r>
    </w:p>
    <w:p>
      <w:pPr>
        <w:pStyle w:val="62"/>
        <w:rPr>
          <w:rFonts w:cs="Times New Roman"/>
        </w:rPr>
      </w:pPr>
      <w:r>
        <w:rPr>
          <w:rFonts w:cs="Times New Roman"/>
        </w:rPr>
        <w:t>5.3.2.2 对下游水质影响</w:t>
      </w:r>
    </w:p>
    <w:p>
      <w:pPr>
        <w:ind w:firstLine="480"/>
        <w:rPr>
          <w:rFonts w:cs="Times New Roman"/>
        </w:rPr>
      </w:pPr>
      <w:r>
        <w:rPr>
          <w:rFonts w:cs="Times New Roman"/>
        </w:rPr>
        <w:t>代尔昆代郭勒河上游沿河地区无工业、生活及农业污染源分布，无农业活动影响，，仅存在放牧产生的牧业面源污染，现状水质良好，符合《地表水环境质量标准》（GB3838-2002）II类标准，能够满足灌溉、供水水质的要求。</w:t>
      </w:r>
    </w:p>
    <w:p>
      <w:pPr>
        <w:ind w:firstLine="480"/>
        <w:rPr>
          <w:rFonts w:cs="Times New Roman"/>
        </w:rPr>
      </w:pPr>
      <w:r>
        <w:rPr>
          <w:rFonts w:cs="Times New Roman"/>
        </w:rPr>
        <w:t>本工程建成后，对坝下河段水质影响主要体现在水量减少可能造成河段水质变化，该河段水质变化主要受制于上游来水水质变化和规划河段污染负荷。</w:t>
      </w:r>
    </w:p>
    <w:p>
      <w:pPr>
        <w:ind w:firstLine="480"/>
        <w:rPr>
          <w:rFonts w:cs="Times New Roman"/>
        </w:rPr>
      </w:pPr>
      <w:r>
        <w:rPr>
          <w:rFonts w:cs="Times New Roman"/>
        </w:rPr>
        <w:t>根据代尔昆代郭勒河径流特性，现状条件下代尔昆代郭勒河代尔昆代水库坝址断面基本仅6、7、8月有地表明流，但很快会消散并转化为地下水，其他月份基本无地表明流。代尔昆代水库建成后，代尔昆代郭勒河径流沿程消散的特点依然存在；由于评价河段入河污染源有限，因此，代尔昆代水库建成后，不会对河流水质产生影响。</w:t>
      </w:r>
    </w:p>
    <w:p>
      <w:pPr>
        <w:ind w:firstLine="480"/>
        <w:rPr>
          <w:rFonts w:cs="Times New Roman"/>
        </w:rPr>
      </w:pPr>
    </w:p>
    <w:p>
      <w:pPr>
        <w:pStyle w:val="3"/>
        <w:rPr>
          <w:rFonts w:cs="Times New Roman"/>
        </w:rPr>
      </w:pPr>
      <w:bookmarkStart w:id="118" w:name="_Toc181381616"/>
      <w:bookmarkStart w:id="119" w:name="_Toc136263305"/>
      <w:r>
        <w:rPr>
          <w:rFonts w:cs="Times New Roman"/>
        </w:rPr>
        <w:t>5.4 对地下水环境的影响</w:t>
      </w:r>
      <w:bookmarkEnd w:id="118"/>
      <w:bookmarkEnd w:id="119"/>
    </w:p>
    <w:p>
      <w:pPr>
        <w:pStyle w:val="4"/>
        <w:rPr>
          <w:rFonts w:cs="Times New Roman"/>
        </w:rPr>
      </w:pPr>
      <w:r>
        <w:rPr>
          <w:rFonts w:cs="Times New Roman"/>
        </w:rPr>
        <w:t>5.4.1 对工程区地下水环境的影响</w:t>
      </w:r>
    </w:p>
    <w:p>
      <w:pPr>
        <w:ind w:firstLine="480"/>
        <w:rPr>
          <w:rFonts w:cs="Times New Roman"/>
        </w:rPr>
      </w:pPr>
      <w:r>
        <w:rPr>
          <w:rFonts w:cs="Times New Roman"/>
        </w:rPr>
        <w:t>工程位于代尔昆代郭勒河中游峡谷区，两岸山顶高程2728～3801m，水库蓄水</w:t>
      </w:r>
      <w:r>
        <w:rPr>
          <w:rFonts w:hint="eastAsia" w:cs="Times New Roman"/>
          <w:lang w:eastAsia="zh-CN"/>
        </w:rPr>
        <w:t>将</w:t>
      </w:r>
      <w:r>
        <w:rPr>
          <w:rFonts w:cs="Times New Roman"/>
        </w:rPr>
        <w:t>对水库周边地下水位产生影响；流域水资源配置变化、灌区节水改造的实施，可能对灌区地下水补给条件产生影响。</w:t>
      </w:r>
    </w:p>
    <w:p>
      <w:pPr>
        <w:ind w:firstLine="480"/>
        <w:rPr>
          <w:rFonts w:cs="Times New Roman"/>
        </w:rPr>
      </w:pPr>
      <w:r>
        <w:rPr>
          <w:rFonts w:cs="Times New Roman"/>
        </w:rPr>
        <w:t>（1）水库蓄水对地下水的影响</w:t>
      </w:r>
    </w:p>
    <w:p>
      <w:pPr>
        <w:ind w:firstLine="480"/>
        <w:rPr>
          <w:rFonts w:cs="Times New Roman"/>
        </w:rPr>
      </w:pPr>
      <w:r>
        <w:rPr>
          <w:rFonts w:cs="Times New Roman"/>
        </w:rPr>
        <w:t>代尔昆代水库位于代尔昆代郭勒河上游河段，正常蓄水位1981.85m时水库回水长度1.46km。库区不存在低于库水位的邻谷，两岸山体雄厚，基岩面均高于正常蓄水位线，基岩透水性弱，未发现区域性或大断层穿过分水岭，周边无低于库水位的邻谷，水库区不存在永久渗漏问题。</w:t>
      </w:r>
    </w:p>
    <w:p>
      <w:pPr>
        <w:ind w:firstLine="480"/>
        <w:rPr>
          <w:rFonts w:cs="Times New Roman"/>
        </w:rPr>
      </w:pPr>
      <w:r>
        <w:rPr>
          <w:rFonts w:cs="Times New Roman"/>
        </w:rPr>
        <w:t>库区回水线范围内以河谷侵蚀地貌为主，回水线范围内坝址上游代尔昆代郭勒河Ⅰ～Ⅱ级阶地上。工程库周均为天然牧草地，无耕地、居民及专业项目等敏感性实物，因此，水库蓄水后，只是对库区两岸草场和水库回水尾部河床两岸草场存在极少量的浸没损失。</w:t>
      </w:r>
    </w:p>
    <w:p>
      <w:pPr>
        <w:ind w:firstLine="480"/>
        <w:rPr>
          <w:rFonts w:cs="Times New Roman"/>
        </w:rPr>
      </w:pPr>
      <w:r>
        <w:rPr>
          <w:rFonts w:cs="Times New Roman"/>
        </w:rPr>
        <w:t>（2）对枢纽区地下水的影响</w:t>
      </w:r>
    </w:p>
    <w:p>
      <w:pPr>
        <w:ind w:firstLine="480"/>
        <w:rPr>
          <w:rFonts w:cs="Times New Roman"/>
        </w:rPr>
      </w:pPr>
      <w:r>
        <w:rPr>
          <w:rFonts w:cs="Times New Roman"/>
        </w:rPr>
        <w:t>枢纽区河谷呈“U”型，两岸山体较雄厚，岩体较完整。地下水类型主要有两类，孔隙水和基岩裂隙水。坝址区地下水埋深均高于河水位，为基岩裂隙水补给河水；工程区气候干燥，基岩裂隙—孔隙水贫乏，无统一水面，且具有季节性变化的特点。</w:t>
      </w:r>
    </w:p>
    <w:p>
      <w:pPr>
        <w:ind w:firstLine="480"/>
        <w:rPr>
          <w:rFonts w:cs="Times New Roman"/>
        </w:rPr>
      </w:pPr>
      <w:r>
        <w:rPr>
          <w:rFonts w:cs="Times New Roman"/>
        </w:rPr>
        <w:t>工程坝址区河床区地下水为孔隙水，施工中通过基坑排水处理；两岸区地下水为基岩裂隙水，水量贫乏，施工中不会有大量渗水。大坝建成后</w:t>
      </w:r>
      <w:r>
        <w:rPr>
          <w:rFonts w:hint="eastAsia" w:cs="Times New Roman"/>
          <w:lang w:eastAsia="zh-CN"/>
        </w:rPr>
        <w:t>将</w:t>
      </w:r>
      <w:r>
        <w:rPr>
          <w:rFonts w:cs="Times New Roman"/>
        </w:rPr>
        <w:t>改变局部地下水流场，不会改变地下水补给源、排泄方式及径流总体方向。</w:t>
      </w:r>
    </w:p>
    <w:p>
      <w:pPr>
        <w:ind w:firstLine="480"/>
        <w:rPr>
          <w:rFonts w:cs="Times New Roman"/>
        </w:rPr>
      </w:pPr>
      <w:r>
        <w:rPr>
          <w:rFonts w:cs="Times New Roman"/>
        </w:rPr>
        <w:t>（3）洞室修建对地下水的影响</w:t>
      </w:r>
    </w:p>
    <w:p>
      <w:pPr>
        <w:ind w:firstLine="480"/>
        <w:rPr>
          <w:rFonts w:cs="Times New Roman"/>
        </w:rPr>
      </w:pPr>
      <w:r>
        <w:rPr>
          <w:rFonts w:cs="Times New Roman"/>
        </w:rPr>
        <w:t>根据现场调查及工程地质调查，导流（放水）隧洞布置在坝址左岸山体内，进口高程1951.0m，出口高程为1939.5m，洞围岩性为深灰色凝灰砂岩，受区域构造影响，基岩裂隙发育，较为破碎，镶嵌碎裂状～次块状结构。地下水类型主要为基岩裂隙水，赋存于基岩裂隙及断层带内且基岩裂隙水贫乏，无统一地下水位，洞室开挖不会发生大规模地下涌水，若工程施工期间出现大规模涌水时应首先采取堵截措施。运行期各洞室喷锚支护并采用混凝土衬砌后，透水性减小，不会对沿线地下水位产生明显影响，洞室运行也不会受沿线地下水渗漏影响。</w:t>
      </w:r>
    </w:p>
    <w:p>
      <w:pPr>
        <w:pStyle w:val="4"/>
        <w:rPr>
          <w:rFonts w:cs="Times New Roman"/>
        </w:rPr>
      </w:pPr>
      <w:r>
        <w:rPr>
          <w:rFonts w:cs="Times New Roman"/>
        </w:rPr>
        <w:t>5.4.2 对工程下游减水河段地下水环境的影响</w:t>
      </w:r>
    </w:p>
    <w:p>
      <w:pPr>
        <w:ind w:firstLine="480"/>
        <w:rPr>
          <w:rFonts w:cs="Times New Roman"/>
        </w:rPr>
      </w:pPr>
      <w:r>
        <w:rPr>
          <w:rFonts w:cs="Times New Roman"/>
        </w:rPr>
        <w:t>代尔昆代水库坝址以下6.5减水河段河谷区，地下水类型主要为孔隙潜水，河谷底部透水性好的冲积砂卵砾石层（河床和河漫滩）和两岸I级阶地，主要接受大气降水、雪融水、河水、沟谷上游基岩裂隙潜水补给，沿沟谷总体向代尔昆代河排泄，地下水水位随河水位发生变化。</w:t>
      </w:r>
    </w:p>
    <w:p>
      <w:pPr>
        <w:ind w:firstLine="480"/>
        <w:rPr>
          <w:rFonts w:cs="Times New Roman"/>
        </w:rPr>
      </w:pPr>
      <w:r>
        <w:rPr>
          <w:rFonts w:cs="Times New Roman"/>
        </w:rPr>
        <w:t>工程建成后，受控于水库调蓄及供水，多年平均情况下坝址下泄水量减少43%，河谷底部卵砾石层地下水位有所降低，据调查工程下游河谷底部覆盖层厚度10～20m，地下水埋深2.00～8.00m，在落实各月下泄生态流量基础上，工程运行后仍有67%的水量下泄河道，下泄水量主要集中在汛期，加之河谷区降水、融雪水、基岩裂隙潜水补给均未变化，汛期河谷区地下水位下降并不明显，冬季地下水位下降相对明显。</w:t>
      </w:r>
    </w:p>
    <w:p>
      <w:pPr>
        <w:pStyle w:val="4"/>
        <w:rPr>
          <w:rFonts w:cs="Times New Roman"/>
        </w:rPr>
      </w:pPr>
      <w:r>
        <w:rPr>
          <w:rFonts w:cs="Times New Roman"/>
        </w:rPr>
        <w:t>5.4.3 对下马崖区地下水的影响分析</w:t>
      </w:r>
    </w:p>
    <w:p>
      <w:pPr>
        <w:ind w:firstLine="480"/>
        <w:rPr>
          <w:rFonts w:cs="Times New Roman"/>
        </w:rPr>
      </w:pPr>
      <w:r>
        <w:rPr>
          <w:rFonts w:cs="Times New Roman"/>
        </w:rPr>
        <w:t>代尔昆代水库工程建设任务为拦蓄代尔昆代郭勒流域地表水补充淖毛湖镇用水缺口。工程建设运行对下马崖平原区降水入渗补给量、渠系渗漏补给量、田间入渗补给量、水库渗漏补给量、下马崖东部国界侧向补给量、山前基岩裂隙水侧向补给量和山前泉水入渗补给量没有影响；工程实施后，多年平均情况下，代尔昆代郭勒河下泄河道水量</w:t>
      </w:r>
      <w:r>
        <w:rPr>
          <w:rFonts w:hint="eastAsia" w:cs="Times New Roman"/>
          <w:lang w:eastAsia="zh-CN"/>
        </w:rPr>
        <w:t>将</w:t>
      </w:r>
      <w:r>
        <w:rPr>
          <w:rFonts w:cs="Times New Roman"/>
        </w:rPr>
        <w:t>减少43%，则哈尔里克山山区及山前暴雨洪流入渗对下马崖区地下水补给量</w:t>
      </w:r>
      <w:r>
        <w:rPr>
          <w:rFonts w:hint="eastAsia" w:cs="Times New Roman"/>
          <w:lang w:eastAsia="zh-CN"/>
        </w:rPr>
        <w:t>将</w:t>
      </w:r>
      <w:r>
        <w:rPr>
          <w:rFonts w:cs="Times New Roman"/>
        </w:rPr>
        <w:t>随之有所减少，进而会对下马崖区地下水位、泉水溢出量、坎儿井溢出量等产生一定不利影响。</w:t>
      </w:r>
    </w:p>
    <w:p>
      <w:pPr>
        <w:ind w:firstLine="480"/>
        <w:rPr>
          <w:rFonts w:cs="Times New Roman"/>
        </w:rPr>
      </w:pPr>
      <w:r>
        <w:rPr>
          <w:rFonts w:cs="Times New Roman"/>
        </w:rPr>
        <w:t>由现状调查可知，哈尔里克山山区及山前暴雨洪流入渗对下马崖区地下水补给量合计389万m³，占下马崖平原区地下水补给总量的29%，其中代尔昆代郭勒河流域山区汇水面积占哈尔里克山山区汇水面积的5%，因此本工程建设区控制水量仅占下马崖平原区地下水补给总量的1.5%，且本工程建成后多年平均仍下泄河道约67%水量，故而本工程建设运行对下马崖区地下水补给量影响微小，对下马崖区地下水位、泉水溢出量、坎儿井溢出量等基本没有影响。</w:t>
      </w:r>
    </w:p>
    <w:p>
      <w:pPr>
        <w:ind w:firstLine="480"/>
        <w:rPr>
          <w:rFonts w:cs="Times New Roman"/>
        </w:rPr>
      </w:pPr>
    </w:p>
    <w:p>
      <w:pPr>
        <w:pStyle w:val="3"/>
        <w:rPr>
          <w:rFonts w:cs="Times New Roman"/>
        </w:rPr>
      </w:pPr>
      <w:bookmarkStart w:id="120" w:name="_Toc181381617"/>
      <w:bookmarkStart w:id="121" w:name="_Toc136263306"/>
      <w:r>
        <w:rPr>
          <w:rFonts w:cs="Times New Roman"/>
        </w:rPr>
        <w:t>5.5 对陆生生态环境的影响</w:t>
      </w:r>
      <w:bookmarkEnd w:id="120"/>
      <w:bookmarkEnd w:id="121"/>
    </w:p>
    <w:p>
      <w:pPr>
        <w:pStyle w:val="4"/>
        <w:rPr>
          <w:rFonts w:cs="Times New Roman"/>
        </w:rPr>
      </w:pPr>
      <w:r>
        <w:rPr>
          <w:rFonts w:cs="Times New Roman"/>
        </w:rPr>
        <w:t>5.5.1 对生态系统完整性影响分析</w:t>
      </w:r>
    </w:p>
    <w:p>
      <w:pPr>
        <w:pStyle w:val="62"/>
        <w:rPr>
          <w:rFonts w:cs="Times New Roman"/>
        </w:rPr>
      </w:pPr>
      <w:r>
        <w:rPr>
          <w:rFonts w:cs="Times New Roman"/>
        </w:rPr>
        <w:t>5.5.1.1 自然生态体系的生产能力变化</w:t>
      </w:r>
    </w:p>
    <w:p>
      <w:pPr>
        <w:tabs>
          <w:tab w:val="right" w:leader="dot" w:pos="8302"/>
        </w:tabs>
        <w:ind w:firstLine="480"/>
        <w:rPr>
          <w:rFonts w:cs="Times New Roman" w:eastAsiaTheme="minorEastAsia"/>
          <w:szCs w:val="20"/>
        </w:rPr>
      </w:pPr>
      <w:bookmarkStart w:id="122" w:name="_Toc136263307"/>
      <w:r>
        <w:rPr>
          <w:rFonts w:cs="Times New Roman" w:eastAsiaTheme="minorEastAsia"/>
          <w:szCs w:val="20"/>
        </w:rPr>
        <w:t>从整个评价区范围来看，其生产能力变化主要诱因为：代尔昆代水库淹没、工程永久占地破坏草地植被等方面。工程兴建运营后占地范围内土地利用方式的改变对区内自然生态体系生物量及平均净生产能力造成的变化详见表5.5-1。</w:t>
      </w:r>
    </w:p>
    <w:p>
      <w:pPr>
        <w:tabs>
          <w:tab w:val="right" w:leader="dot" w:pos="8302"/>
        </w:tabs>
        <w:ind w:firstLine="480"/>
        <w:rPr>
          <w:rFonts w:cs="Times New Roman" w:eastAsiaTheme="minorEastAsia"/>
          <w:szCs w:val="24"/>
        </w:rPr>
      </w:pPr>
      <w:r>
        <w:rPr>
          <w:rFonts w:cs="Times New Roman" w:eastAsiaTheme="minorEastAsia"/>
          <w:szCs w:val="24"/>
        </w:rPr>
        <w:t>工程建设后，由于回水淹没及工程占地</w:t>
      </w:r>
      <w:r>
        <w:rPr>
          <w:rFonts w:hint="eastAsia" w:cs="Times New Roman" w:eastAsiaTheme="minorEastAsia"/>
          <w:szCs w:val="24"/>
          <w:lang w:eastAsia="zh-CN"/>
        </w:rPr>
        <w:t>将</w:t>
      </w:r>
      <w:r>
        <w:rPr>
          <w:rFonts w:cs="Times New Roman" w:eastAsiaTheme="minorEastAsia"/>
          <w:szCs w:val="24"/>
        </w:rPr>
        <w:t>影响部分面积内植被的平均净生产力，造成评价区自然体系的平均净生产力略有减少，由表5.5-1可知，工程建成运行后评价区自然体系的平均净生产能力</w:t>
      </w:r>
      <w:r>
        <w:rPr>
          <w:rFonts w:hint="eastAsia" w:cs="Times New Roman" w:eastAsiaTheme="minorEastAsia"/>
          <w:szCs w:val="24"/>
          <w:lang w:eastAsia="zh-CN"/>
        </w:rPr>
        <w:t>将</w:t>
      </w:r>
      <w:r>
        <w:rPr>
          <w:rFonts w:cs="Times New Roman" w:eastAsiaTheme="minorEastAsia"/>
          <w:szCs w:val="24"/>
        </w:rPr>
        <w:t>由背景状况的</w:t>
      </w:r>
      <w:r>
        <w:rPr>
          <w:rFonts w:cs="Times New Roman" w:eastAsiaTheme="minorEastAsia"/>
          <w:kern w:val="0"/>
          <w:szCs w:val="24"/>
        </w:rPr>
        <w:t xml:space="preserve">94.41 </w:t>
      </w:r>
      <w:r>
        <w:rPr>
          <w:rFonts w:cs="Times New Roman" w:eastAsiaTheme="minorEastAsia"/>
          <w:szCs w:val="24"/>
        </w:rPr>
        <w:t>g/m</w:t>
      </w:r>
      <w:r>
        <w:rPr>
          <w:rFonts w:cs="Times New Roman" w:eastAsiaTheme="minorEastAsia"/>
          <w:szCs w:val="24"/>
          <w:vertAlign w:val="superscript"/>
        </w:rPr>
        <w:t>2</w:t>
      </w:r>
      <w:r>
        <w:rPr>
          <w:rFonts w:cs="Times New Roman" w:eastAsiaTheme="minorEastAsia"/>
          <w:szCs w:val="24"/>
        </w:rPr>
        <w:t>·a（0.26 g/m</w:t>
      </w:r>
      <w:r>
        <w:rPr>
          <w:rFonts w:cs="Times New Roman" w:eastAsiaTheme="minorEastAsia"/>
          <w:szCs w:val="24"/>
          <w:vertAlign w:val="superscript"/>
        </w:rPr>
        <w:t>2</w:t>
      </w:r>
      <w:r>
        <w:rPr>
          <w:rFonts w:cs="Times New Roman" w:eastAsiaTheme="minorEastAsia"/>
          <w:szCs w:val="24"/>
        </w:rPr>
        <w:t>·d）减少为93.89 g/m</w:t>
      </w:r>
      <w:r>
        <w:rPr>
          <w:rFonts w:cs="Times New Roman" w:eastAsiaTheme="minorEastAsia"/>
          <w:szCs w:val="24"/>
          <w:vertAlign w:val="superscript"/>
        </w:rPr>
        <w:t>2</w:t>
      </w:r>
      <w:r>
        <w:rPr>
          <w:rFonts w:cs="Times New Roman" w:eastAsiaTheme="minorEastAsia"/>
          <w:szCs w:val="24"/>
        </w:rPr>
        <w:t>·a（0.28 g/m</w:t>
      </w:r>
      <w:r>
        <w:rPr>
          <w:rFonts w:cs="Times New Roman" w:eastAsiaTheme="minorEastAsia"/>
          <w:szCs w:val="24"/>
          <w:vertAlign w:val="superscript"/>
        </w:rPr>
        <w:t>2</w:t>
      </w:r>
      <w:r>
        <w:rPr>
          <w:rFonts w:cs="Times New Roman" w:eastAsiaTheme="minorEastAsia"/>
          <w:szCs w:val="24"/>
        </w:rPr>
        <w:t>·d），降幅仅为0.55%，变化极小，评价区仍属于最低生产力生态系统。</w:t>
      </w:r>
    </w:p>
    <w:p>
      <w:pPr>
        <w:pStyle w:val="137"/>
        <w:spacing w:before="62"/>
      </w:pPr>
      <w:r>
        <w:t>表5.5-1             评价区土地利用方式改变时生物量变化表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3951"/>
        <w:gridCol w:w="1889"/>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4115" w:type="pct"/>
            <w:gridSpan w:val="3"/>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土地利用的改变</w:t>
            </w:r>
          </w:p>
        </w:tc>
        <w:tc>
          <w:tcPr>
            <w:tcW w:w="885" w:type="pct"/>
            <w:vMerge w:val="restart"/>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生物量损失（t）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872" w:type="pct"/>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土地利用类型</w:t>
            </w:r>
          </w:p>
        </w:tc>
        <w:tc>
          <w:tcPr>
            <w:tcW w:w="2194" w:type="pct"/>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变化原因</w:t>
            </w:r>
          </w:p>
        </w:tc>
        <w:tc>
          <w:tcPr>
            <w:tcW w:w="1049" w:type="pct"/>
            <w:tcBorders>
              <w:bottom w:val="single" w:color="auto" w:sz="4" w:space="0"/>
            </w:tcBorders>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面积（hm</w:t>
            </w:r>
            <w:r>
              <w:rPr>
                <w:rFonts w:cs="Times New Roman" w:eastAsiaTheme="minorEastAsia"/>
                <w:sz w:val="18"/>
                <w:szCs w:val="18"/>
                <w:vertAlign w:val="superscript"/>
              </w:rPr>
              <w:t>2</w:t>
            </w:r>
            <w:r>
              <w:rPr>
                <w:rFonts w:cs="Times New Roman" w:eastAsiaTheme="minorEastAsia"/>
                <w:sz w:val="18"/>
                <w:szCs w:val="18"/>
              </w:rPr>
              <w:t>）</w:t>
            </w:r>
          </w:p>
        </w:tc>
        <w:tc>
          <w:tcPr>
            <w:tcW w:w="885" w:type="pct"/>
            <w:vMerge w:val="continue"/>
            <w:tcBorders>
              <w:bottom w:val="single" w:color="auto" w:sz="4" w:space="0"/>
            </w:tcBorders>
            <w:vAlign w:val="center"/>
          </w:tcPr>
          <w:p>
            <w:pPr>
              <w:tabs>
                <w:tab w:val="right" w:leader="dot" w:pos="8302"/>
              </w:tabs>
              <w:spacing w:line="240" w:lineRule="auto"/>
              <w:ind w:firstLine="0" w:firstLineChars="0"/>
              <w:jc w:val="center"/>
              <w:rPr>
                <w:rFonts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872" w:type="pct"/>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草地</w:t>
            </w:r>
          </w:p>
        </w:tc>
        <w:tc>
          <w:tcPr>
            <w:tcW w:w="2194" w:type="pct"/>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因淹没、永久占地而减少</w:t>
            </w:r>
          </w:p>
        </w:tc>
        <w:tc>
          <w:tcPr>
            <w:tcW w:w="1049" w:type="pct"/>
            <w:tcBorders>
              <w:top w:val="single" w:color="auto" w:sz="4" w:space="0"/>
              <w:left w:val="nil"/>
              <w:bottom w:val="single" w:color="auto" w:sz="4" w:space="0"/>
              <w:right w:val="single" w:color="auto" w:sz="4" w:space="0"/>
            </w:tcBorders>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28.24</w:t>
            </w:r>
          </w:p>
        </w:tc>
        <w:tc>
          <w:tcPr>
            <w:tcW w:w="885" w:type="pct"/>
            <w:tcBorders>
              <w:top w:val="single" w:color="auto" w:sz="4" w:space="0"/>
              <w:left w:val="single" w:color="auto" w:sz="4" w:space="0"/>
              <w:bottom w:val="single" w:color="auto" w:sz="4" w:space="0"/>
              <w:right w:val="single" w:color="auto" w:sz="4" w:space="0"/>
            </w:tcBorders>
            <w:vAlign w:val="center"/>
          </w:tcPr>
          <w:p>
            <w:pPr>
              <w:widowControl/>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-88.96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66" w:type="pct"/>
            <w:gridSpan w:val="2"/>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评价区平均净生产减少值（g/m</w:t>
            </w:r>
            <w:r>
              <w:rPr>
                <w:rFonts w:cs="Times New Roman" w:eastAsiaTheme="minorEastAsia"/>
                <w:sz w:val="18"/>
                <w:szCs w:val="18"/>
                <w:vertAlign w:val="superscript"/>
              </w:rPr>
              <w:t>2</w:t>
            </w:r>
            <w:r>
              <w:rPr>
                <w:rFonts w:cs="Times New Roman" w:eastAsiaTheme="minorEastAsia"/>
                <w:sz w:val="18"/>
                <w:szCs w:val="18"/>
              </w:rPr>
              <w:t>·a）</w:t>
            </w:r>
          </w:p>
        </w:tc>
        <w:tc>
          <w:tcPr>
            <w:tcW w:w="1934" w:type="pct"/>
            <w:gridSpan w:val="2"/>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66" w:type="pct"/>
            <w:gridSpan w:val="2"/>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评价区平均净生产能力预测值（g/m</w:t>
            </w:r>
            <w:r>
              <w:rPr>
                <w:rFonts w:cs="Times New Roman" w:eastAsiaTheme="minorEastAsia"/>
                <w:sz w:val="18"/>
                <w:szCs w:val="18"/>
                <w:vertAlign w:val="superscript"/>
              </w:rPr>
              <w:t>2</w:t>
            </w:r>
            <w:r>
              <w:rPr>
                <w:rFonts w:cs="Times New Roman" w:eastAsiaTheme="minorEastAsia"/>
                <w:sz w:val="18"/>
                <w:szCs w:val="18"/>
              </w:rPr>
              <w:t>·a）</w:t>
            </w:r>
          </w:p>
        </w:tc>
        <w:tc>
          <w:tcPr>
            <w:tcW w:w="1934" w:type="pct"/>
            <w:gridSpan w:val="2"/>
            <w:vAlign w:val="center"/>
          </w:tcPr>
          <w:p>
            <w:pPr>
              <w:tabs>
                <w:tab w:val="right" w:leader="dot" w:pos="8302"/>
              </w:tabs>
              <w:spacing w:line="240" w:lineRule="auto"/>
              <w:ind w:firstLine="0" w:firstLineChars="0"/>
              <w:jc w:val="center"/>
              <w:rPr>
                <w:rFonts w:cs="Times New Roman" w:eastAsiaTheme="minorEastAsia"/>
                <w:sz w:val="18"/>
                <w:szCs w:val="18"/>
              </w:rPr>
            </w:pPr>
            <w:r>
              <w:rPr>
                <w:rFonts w:cs="Times New Roman" w:eastAsiaTheme="minorEastAsia"/>
                <w:sz w:val="18"/>
                <w:szCs w:val="18"/>
              </w:rPr>
              <w:t>93.89</w:t>
            </w:r>
          </w:p>
        </w:tc>
      </w:tr>
    </w:tbl>
    <w:p>
      <w:pPr>
        <w:tabs>
          <w:tab w:val="right" w:leader="dot" w:pos="8302"/>
        </w:tabs>
        <w:spacing w:line="240" w:lineRule="auto"/>
        <w:ind w:firstLine="420"/>
        <w:rPr>
          <w:rFonts w:cs="Times New Roman"/>
          <w:sz w:val="21"/>
          <w:szCs w:val="21"/>
        </w:rPr>
      </w:pPr>
    </w:p>
    <w:p>
      <w:pPr>
        <w:pStyle w:val="62"/>
        <w:rPr>
          <w:rFonts w:cs="Times New Roman"/>
        </w:rPr>
      </w:pPr>
      <w:r>
        <w:rPr>
          <w:rFonts w:cs="Times New Roman"/>
        </w:rPr>
        <w:t>5.5.1.2 对评价区生态体系稳定性的影响</w:t>
      </w:r>
    </w:p>
    <w:p>
      <w:pPr>
        <w:tabs>
          <w:tab w:val="right" w:leader="dot" w:pos="8302"/>
        </w:tabs>
        <w:autoSpaceDE w:val="0"/>
        <w:autoSpaceDN w:val="0"/>
        <w:adjustRightInd w:val="0"/>
        <w:ind w:firstLine="480"/>
        <w:rPr>
          <w:rFonts w:cs="Times New Roman" w:eastAsiaTheme="minorEastAsia"/>
          <w:kern w:val="0"/>
          <w:szCs w:val="20"/>
        </w:rPr>
      </w:pPr>
      <w:r>
        <w:rPr>
          <w:rFonts w:cs="Times New Roman" w:eastAsiaTheme="minorEastAsia"/>
          <w:kern w:val="0"/>
          <w:szCs w:val="20"/>
        </w:rPr>
        <w:t>工程对自然体系稳定状况的度量从恢复稳定性和阻抗稳定性两个角度来度量。</w:t>
      </w:r>
    </w:p>
    <w:p>
      <w:pPr>
        <w:tabs>
          <w:tab w:val="right" w:leader="dot" w:pos="8302"/>
        </w:tabs>
        <w:autoSpaceDE w:val="0"/>
        <w:autoSpaceDN w:val="0"/>
        <w:adjustRightInd w:val="0"/>
        <w:ind w:firstLine="480"/>
        <w:rPr>
          <w:rFonts w:cs="Times New Roman" w:eastAsiaTheme="minorEastAsia"/>
          <w:kern w:val="0"/>
          <w:szCs w:val="20"/>
        </w:rPr>
      </w:pPr>
      <w:r>
        <w:rPr>
          <w:rFonts w:hint="eastAsia" w:ascii="宋体" w:hAnsi="宋体" w:cs="宋体"/>
          <w:kern w:val="0"/>
          <w:szCs w:val="20"/>
        </w:rPr>
        <w:t>①</w:t>
      </w:r>
      <w:r>
        <w:rPr>
          <w:rFonts w:cs="Times New Roman" w:eastAsiaTheme="minorEastAsia"/>
          <w:kern w:val="0"/>
          <w:szCs w:val="20"/>
        </w:rPr>
        <w:t>恢复稳定性的影响</w:t>
      </w:r>
    </w:p>
    <w:p>
      <w:pPr>
        <w:tabs>
          <w:tab w:val="right" w:leader="dot" w:pos="8302"/>
        </w:tabs>
        <w:autoSpaceDE w:val="0"/>
        <w:autoSpaceDN w:val="0"/>
        <w:adjustRightInd w:val="0"/>
        <w:ind w:firstLine="480"/>
        <w:rPr>
          <w:rFonts w:cs="Times New Roman" w:eastAsiaTheme="minorEastAsia"/>
          <w:kern w:val="0"/>
          <w:szCs w:val="32"/>
        </w:rPr>
      </w:pPr>
      <w:r>
        <w:rPr>
          <w:rFonts w:cs="Times New Roman" w:eastAsiaTheme="minorEastAsia"/>
          <w:kern w:val="0"/>
          <w:szCs w:val="32"/>
        </w:rPr>
        <w:t>对自然景观生态体系恢复稳定性的影响，是通过计算植物生物量变化来进行度量的。工程建设后，由于工程建设占地</w:t>
      </w:r>
      <w:r>
        <w:rPr>
          <w:rFonts w:hint="eastAsia" w:cs="Times New Roman" w:eastAsiaTheme="minorEastAsia"/>
          <w:kern w:val="0"/>
          <w:szCs w:val="32"/>
          <w:lang w:eastAsia="zh-CN"/>
        </w:rPr>
        <w:t>将</w:t>
      </w:r>
      <w:r>
        <w:rPr>
          <w:rFonts w:cs="Times New Roman" w:eastAsiaTheme="minorEastAsia"/>
          <w:kern w:val="0"/>
          <w:szCs w:val="32"/>
        </w:rPr>
        <w:t>影响一部分面积内植被的生产力水平，造成评价区自然体系的平均净生产力</w:t>
      </w:r>
      <w:r>
        <w:rPr>
          <w:rFonts w:hint="eastAsia" w:cs="Times New Roman" w:eastAsiaTheme="minorEastAsia"/>
          <w:kern w:val="0"/>
          <w:szCs w:val="32"/>
          <w:lang w:eastAsia="zh-CN"/>
        </w:rPr>
        <w:t>将</w:t>
      </w:r>
      <w:r>
        <w:rPr>
          <w:rFonts w:cs="Times New Roman" w:eastAsiaTheme="minorEastAsia"/>
          <w:kern w:val="0"/>
          <w:szCs w:val="32"/>
        </w:rPr>
        <w:t>略有减少，</w:t>
      </w:r>
      <w:r>
        <w:rPr>
          <w:rFonts w:cs="Times New Roman" w:eastAsiaTheme="minorEastAsia"/>
          <w:kern w:val="0"/>
          <w:szCs w:val="20"/>
        </w:rPr>
        <w:t>由现状年的</w:t>
      </w:r>
      <w:r>
        <w:rPr>
          <w:rFonts w:cs="Times New Roman" w:eastAsiaTheme="minorEastAsia"/>
          <w:kern w:val="0"/>
          <w:szCs w:val="24"/>
        </w:rPr>
        <w:t>94.41 g/m</w:t>
      </w:r>
      <w:r>
        <w:rPr>
          <w:rFonts w:cs="Times New Roman" w:eastAsiaTheme="minorEastAsia"/>
          <w:kern w:val="0"/>
          <w:szCs w:val="24"/>
          <w:vertAlign w:val="superscript"/>
        </w:rPr>
        <w:t>2</w:t>
      </w:r>
      <w:r>
        <w:rPr>
          <w:rFonts w:cs="Times New Roman" w:eastAsiaTheme="minorEastAsia"/>
          <w:kern w:val="0"/>
          <w:szCs w:val="24"/>
        </w:rPr>
        <w:t>·a（0.26 g/m</w:t>
      </w:r>
      <w:r>
        <w:rPr>
          <w:rFonts w:cs="Times New Roman" w:eastAsiaTheme="minorEastAsia"/>
          <w:kern w:val="0"/>
          <w:szCs w:val="24"/>
          <w:vertAlign w:val="superscript"/>
        </w:rPr>
        <w:t>2</w:t>
      </w:r>
      <w:r>
        <w:rPr>
          <w:rFonts w:cs="Times New Roman" w:eastAsiaTheme="minorEastAsia"/>
          <w:kern w:val="0"/>
          <w:szCs w:val="24"/>
        </w:rPr>
        <w:t>·d）减少为93.89 g/m</w:t>
      </w:r>
      <w:r>
        <w:rPr>
          <w:rFonts w:cs="Times New Roman" w:eastAsiaTheme="minorEastAsia"/>
          <w:kern w:val="0"/>
          <w:szCs w:val="24"/>
          <w:vertAlign w:val="superscript"/>
        </w:rPr>
        <w:t>2</w:t>
      </w:r>
      <w:r>
        <w:rPr>
          <w:rFonts w:cs="Times New Roman" w:eastAsiaTheme="minorEastAsia"/>
          <w:kern w:val="0"/>
          <w:szCs w:val="24"/>
        </w:rPr>
        <w:t>·a（0.28 g/m</w:t>
      </w:r>
      <w:r>
        <w:rPr>
          <w:rFonts w:cs="Times New Roman" w:eastAsiaTheme="minorEastAsia"/>
          <w:kern w:val="0"/>
          <w:szCs w:val="24"/>
          <w:vertAlign w:val="superscript"/>
        </w:rPr>
        <w:t>2</w:t>
      </w:r>
      <w:r>
        <w:rPr>
          <w:rFonts w:cs="Times New Roman" w:eastAsiaTheme="minorEastAsia"/>
          <w:kern w:val="0"/>
          <w:szCs w:val="24"/>
        </w:rPr>
        <w:t>·d）</w:t>
      </w:r>
      <w:r>
        <w:rPr>
          <w:rFonts w:cs="Times New Roman" w:eastAsiaTheme="minorEastAsia"/>
          <w:szCs w:val="24"/>
        </w:rPr>
        <w:t>，</w:t>
      </w:r>
      <w:r>
        <w:rPr>
          <w:rFonts w:cs="Times New Roman" w:eastAsiaTheme="minorEastAsia"/>
        </w:rPr>
        <w:t>减少0.52g/m</w:t>
      </w:r>
      <w:r>
        <w:rPr>
          <w:rFonts w:cs="Times New Roman" w:eastAsiaTheme="minorEastAsia"/>
          <w:vertAlign w:val="superscript"/>
        </w:rPr>
        <w:t>2</w:t>
      </w:r>
      <w:r>
        <w:rPr>
          <w:rFonts w:cs="Times New Roman" w:eastAsiaTheme="minorEastAsia"/>
        </w:rPr>
        <w:t>·a，变化极小，评价区生产力仍然保持在同等水平，因此工程建设对评价区生态体系恢复稳定性影响不大。</w:t>
      </w:r>
    </w:p>
    <w:p>
      <w:pPr>
        <w:tabs>
          <w:tab w:val="right" w:leader="dot" w:pos="8302"/>
        </w:tabs>
        <w:autoSpaceDE w:val="0"/>
        <w:autoSpaceDN w:val="0"/>
        <w:adjustRightInd w:val="0"/>
        <w:ind w:firstLine="480"/>
        <w:rPr>
          <w:rFonts w:cs="Times New Roman" w:eastAsiaTheme="minorEastAsia"/>
          <w:kern w:val="0"/>
          <w:szCs w:val="20"/>
        </w:rPr>
      </w:pPr>
      <w:r>
        <w:rPr>
          <w:rFonts w:hint="eastAsia" w:ascii="宋体" w:hAnsi="宋体" w:cs="宋体"/>
          <w:kern w:val="0"/>
          <w:szCs w:val="20"/>
        </w:rPr>
        <w:t>②</w:t>
      </w:r>
      <w:r>
        <w:rPr>
          <w:rFonts w:cs="Times New Roman" w:eastAsiaTheme="minorEastAsia"/>
          <w:kern w:val="0"/>
          <w:szCs w:val="20"/>
        </w:rPr>
        <w:t>对阻抗稳定性的影响</w:t>
      </w:r>
    </w:p>
    <w:p>
      <w:pPr>
        <w:tabs>
          <w:tab w:val="right" w:leader="dot" w:pos="8302"/>
        </w:tabs>
        <w:autoSpaceDE w:val="0"/>
        <w:autoSpaceDN w:val="0"/>
        <w:adjustRightInd w:val="0"/>
        <w:ind w:firstLine="480"/>
        <w:rPr>
          <w:rFonts w:cs="Times New Roman" w:eastAsiaTheme="minorEastAsia"/>
          <w:kern w:val="0"/>
          <w:szCs w:val="20"/>
        </w:rPr>
      </w:pPr>
      <w:r>
        <w:rPr>
          <w:rFonts w:cs="Times New Roman" w:eastAsiaTheme="minorEastAsia"/>
          <w:kern w:val="0"/>
          <w:szCs w:val="20"/>
        </w:rPr>
        <w:t>阻抗稳定性与高亚稳定性元素的数量、空间分布及其异质化程度相关切。异质性是指在一个区域里（景观或生态系统）对一个种或者更高级的生物组织的存在起决定作用的资源（或某种性状）在空间或时间上的变异程度（或强度）。</w:t>
      </w:r>
    </w:p>
    <w:p>
      <w:pPr>
        <w:tabs>
          <w:tab w:val="right" w:leader="dot" w:pos="8302"/>
        </w:tabs>
        <w:autoSpaceDE w:val="0"/>
        <w:autoSpaceDN w:val="0"/>
        <w:adjustRightInd w:val="0"/>
        <w:ind w:firstLine="480"/>
        <w:rPr>
          <w:rFonts w:cs="Times New Roman" w:eastAsiaTheme="minorEastAsia"/>
          <w:kern w:val="0"/>
          <w:szCs w:val="20"/>
        </w:rPr>
      </w:pPr>
      <w:r>
        <w:rPr>
          <w:rFonts w:cs="Times New Roman" w:eastAsiaTheme="minorEastAsia"/>
          <w:kern w:val="0"/>
          <w:szCs w:val="20"/>
        </w:rPr>
        <w:t>A.资源拼块变化分析</w:t>
      </w:r>
    </w:p>
    <w:p>
      <w:pPr>
        <w:tabs>
          <w:tab w:val="right" w:leader="dot" w:pos="8302"/>
        </w:tabs>
        <w:autoSpaceDE w:val="0"/>
        <w:autoSpaceDN w:val="0"/>
        <w:adjustRightInd w:val="0"/>
        <w:ind w:firstLine="480"/>
        <w:rPr>
          <w:rFonts w:cs="Times New Roman" w:eastAsiaTheme="minorEastAsia"/>
          <w:kern w:val="0"/>
          <w:szCs w:val="20"/>
        </w:rPr>
      </w:pPr>
      <w:r>
        <w:rPr>
          <w:rFonts w:cs="Times New Roman" w:eastAsiaTheme="minorEastAsia"/>
          <w:kern w:val="0"/>
          <w:szCs w:val="20"/>
        </w:rPr>
        <w:t>本工程建设</w:t>
      </w:r>
      <w:r>
        <w:rPr>
          <w:rFonts w:hint="eastAsia" w:cs="Times New Roman" w:eastAsiaTheme="minorEastAsia"/>
          <w:kern w:val="0"/>
          <w:szCs w:val="20"/>
          <w:lang w:eastAsia="zh-CN"/>
        </w:rPr>
        <w:t>将</w:t>
      </w:r>
      <w:r>
        <w:rPr>
          <w:rFonts w:cs="Times New Roman" w:eastAsiaTheme="minorEastAsia"/>
          <w:kern w:val="0"/>
          <w:szCs w:val="20"/>
        </w:rPr>
        <w:t>占用一定数量草地，使资源拼块面积减少。根据工程占地对各拼块的影响特点，工程建设征地所涉及的资源拼块面积较小，影响范围较小，对资源拼块的数量、空间分布不会产生明显的影响。因此，工程建设不会对评价范围内资源拼块的数量和空间分布产生明显影响。</w:t>
      </w:r>
    </w:p>
    <w:p>
      <w:pPr>
        <w:tabs>
          <w:tab w:val="right" w:leader="dot" w:pos="8302"/>
        </w:tabs>
        <w:autoSpaceDE w:val="0"/>
        <w:autoSpaceDN w:val="0"/>
        <w:adjustRightInd w:val="0"/>
        <w:ind w:firstLine="480"/>
        <w:rPr>
          <w:rFonts w:cs="Times New Roman" w:eastAsiaTheme="minorEastAsia"/>
          <w:kern w:val="0"/>
          <w:szCs w:val="20"/>
        </w:rPr>
      </w:pPr>
      <w:r>
        <w:rPr>
          <w:rFonts w:cs="Times New Roman" w:eastAsiaTheme="minorEastAsia"/>
          <w:kern w:val="0"/>
          <w:szCs w:val="20"/>
        </w:rPr>
        <w:t>B.景观异质性变化分析</w:t>
      </w:r>
    </w:p>
    <w:p>
      <w:pPr>
        <w:tabs>
          <w:tab w:val="right" w:leader="dot" w:pos="8302"/>
        </w:tabs>
        <w:autoSpaceDE w:val="0"/>
        <w:autoSpaceDN w:val="0"/>
        <w:adjustRightInd w:val="0"/>
        <w:ind w:firstLine="480"/>
        <w:rPr>
          <w:rFonts w:cs="Times New Roman" w:eastAsiaTheme="minorEastAsia"/>
          <w:kern w:val="0"/>
          <w:szCs w:val="20"/>
        </w:rPr>
      </w:pPr>
      <w:r>
        <w:rPr>
          <w:rFonts w:cs="Times New Roman" w:eastAsiaTheme="minorEastAsia"/>
          <w:kern w:val="0"/>
          <w:szCs w:val="20"/>
        </w:rPr>
        <w:t>工程建设对评价范围内景观异质性的影响主要表现为工程占地造成一部分草地被占用，改变了局部区域地面景观拼块类型以及相关拼块的连通性和嵌套关系。但是由于工程建设后仅改变了评价范围内不到1%面积的植被，评价范围内99%以上的植被面积没有发生变化，预计工程建设对区域景观异质性的影响较小。同时对于整个评价区来说，工程占用草地资源面积较小，不会影响景观生态的连通性，更不会造成</w:t>
      </w:r>
      <w:r>
        <w:rPr>
          <w:rFonts w:hint="eastAsia" w:cs="Times New Roman" w:eastAsiaTheme="minorEastAsia"/>
          <w:kern w:val="0"/>
          <w:szCs w:val="20"/>
          <w:lang w:eastAsia="zh-CN"/>
        </w:rPr>
        <w:t>生态环境</w:t>
      </w:r>
      <w:r>
        <w:rPr>
          <w:rFonts w:cs="Times New Roman" w:eastAsiaTheme="minorEastAsia"/>
          <w:kern w:val="0"/>
          <w:szCs w:val="20"/>
        </w:rPr>
        <w:t>的破碎化。</w:t>
      </w:r>
    </w:p>
    <w:p>
      <w:pPr>
        <w:tabs>
          <w:tab w:val="right" w:leader="dot" w:pos="8302"/>
        </w:tabs>
        <w:autoSpaceDE w:val="0"/>
        <w:autoSpaceDN w:val="0"/>
        <w:adjustRightInd w:val="0"/>
        <w:ind w:firstLine="480"/>
        <w:rPr>
          <w:rFonts w:cs="Times New Roman" w:eastAsiaTheme="minorEastAsia"/>
          <w:kern w:val="0"/>
          <w:szCs w:val="20"/>
        </w:rPr>
      </w:pPr>
      <w:r>
        <w:rPr>
          <w:rFonts w:cs="Times New Roman" w:eastAsiaTheme="minorEastAsia"/>
          <w:kern w:val="0"/>
          <w:szCs w:val="20"/>
        </w:rPr>
        <w:t>综合以上分析，代尔昆代水库工程的施工和运行，对评价范围内景观生态体系异质性的影响程度较小。</w:t>
      </w:r>
    </w:p>
    <w:p>
      <w:pPr>
        <w:tabs>
          <w:tab w:val="right" w:leader="dot" w:pos="8302"/>
        </w:tabs>
        <w:autoSpaceDE w:val="0"/>
        <w:autoSpaceDN w:val="0"/>
        <w:adjustRightInd w:val="0"/>
        <w:ind w:firstLine="480"/>
        <w:rPr>
          <w:rFonts w:cs="Times New Roman" w:eastAsiaTheme="minorEastAsia"/>
          <w:kern w:val="0"/>
          <w:szCs w:val="20"/>
        </w:rPr>
      </w:pPr>
      <w:r>
        <w:rPr>
          <w:rFonts w:cs="Times New Roman" w:eastAsiaTheme="minorEastAsia"/>
          <w:kern w:val="0"/>
          <w:szCs w:val="20"/>
        </w:rPr>
        <w:t>C.阻抗稳定性变化分析</w:t>
      </w:r>
    </w:p>
    <w:p>
      <w:pPr>
        <w:tabs>
          <w:tab w:val="right" w:leader="dot" w:pos="8302"/>
        </w:tabs>
        <w:ind w:firstLine="480"/>
        <w:rPr>
          <w:rFonts w:cs="Times New Roman" w:eastAsiaTheme="minorEastAsia"/>
        </w:rPr>
      </w:pPr>
      <w:r>
        <w:rPr>
          <w:rFonts w:cs="Times New Roman" w:eastAsiaTheme="minorEastAsia"/>
          <w:kern w:val="0"/>
          <w:szCs w:val="20"/>
        </w:rPr>
        <w:t>根据对工程评价区资源拼块变化分析与景观异质性变化分析，本工程的兴建不会对资源拼块的数量和空间分布状况造成明显影响，评价范围内景观生态体系的异质性也基本不会发生改变。在评价范围内，特别是建设征地范围内区域斑块比例和镶嵌格局的改变，不会影响评价范围内景观生态的稳定性，景观生态体系阻抗稳定性仍然维持原状。</w:t>
      </w:r>
    </w:p>
    <w:p>
      <w:pPr>
        <w:pStyle w:val="62"/>
        <w:rPr>
          <w:rFonts w:cs="Times New Roman"/>
        </w:rPr>
      </w:pPr>
      <w:r>
        <w:rPr>
          <w:rFonts w:cs="Times New Roman"/>
        </w:rPr>
        <w:t>5.5.1.3 对评价区生态体系综合质量的影响</w:t>
      </w:r>
    </w:p>
    <w:p>
      <w:pPr>
        <w:tabs>
          <w:tab w:val="right" w:leader="dot" w:pos="8302"/>
        </w:tabs>
        <w:autoSpaceDE w:val="0"/>
        <w:autoSpaceDN w:val="0"/>
        <w:ind w:firstLine="480"/>
        <w:rPr>
          <w:rFonts w:cs="Times New Roman" w:eastAsiaTheme="minorEastAsia"/>
          <w:kern w:val="0"/>
          <w:szCs w:val="20"/>
        </w:rPr>
      </w:pPr>
      <w:r>
        <w:rPr>
          <w:rFonts w:cs="Times New Roman" w:eastAsiaTheme="minorEastAsia"/>
          <w:kern w:val="0"/>
          <w:szCs w:val="20"/>
        </w:rPr>
        <w:t>工程建设前后评价区各土地利用类型的优势度值计算结果见表5.5-2。</w:t>
      </w:r>
    </w:p>
    <w:p>
      <w:pPr>
        <w:pStyle w:val="137"/>
        <w:spacing w:before="62"/>
      </w:pPr>
      <w:r>
        <w:t xml:space="preserve">表5.5-2               生态影响评价区域各类拼块优势度值 </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974"/>
        <w:gridCol w:w="974"/>
        <w:gridCol w:w="976"/>
        <w:gridCol w:w="978"/>
        <w:gridCol w:w="1025"/>
        <w:gridCol w:w="1023"/>
        <w:gridCol w:w="976"/>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20" w:type="pct"/>
            <w:vMerge w:val="restart"/>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拼块类型</w:t>
            </w:r>
          </w:p>
        </w:tc>
        <w:tc>
          <w:tcPr>
            <w:tcW w:w="1082" w:type="pct"/>
            <w:gridSpan w:val="2"/>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密度R</w:t>
            </w:r>
            <w:r>
              <w:rPr>
                <w:rFonts w:cs="Times New Roman"/>
                <w:kern w:val="0"/>
                <w:sz w:val="18"/>
                <w:szCs w:val="18"/>
                <w:vertAlign w:val="subscript"/>
              </w:rPr>
              <w:t>d</w:t>
            </w:r>
            <w:r>
              <w:rPr>
                <w:rFonts w:cs="Times New Roman"/>
                <w:kern w:val="0"/>
                <w:sz w:val="18"/>
                <w:szCs w:val="18"/>
              </w:rPr>
              <w:t>（%）</w:t>
            </w:r>
          </w:p>
        </w:tc>
        <w:tc>
          <w:tcPr>
            <w:tcW w:w="1085" w:type="pct"/>
            <w:gridSpan w:val="2"/>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频率R</w:t>
            </w:r>
            <w:r>
              <w:rPr>
                <w:rFonts w:cs="Times New Roman"/>
                <w:kern w:val="0"/>
                <w:sz w:val="18"/>
                <w:szCs w:val="18"/>
                <w:vertAlign w:val="subscript"/>
              </w:rPr>
              <w:t>f</w:t>
            </w:r>
            <w:r>
              <w:rPr>
                <w:rFonts w:cs="Times New Roman"/>
                <w:kern w:val="0"/>
                <w:sz w:val="18"/>
                <w:szCs w:val="18"/>
              </w:rPr>
              <w:t>（%）</w:t>
            </w:r>
          </w:p>
        </w:tc>
        <w:tc>
          <w:tcPr>
            <w:tcW w:w="1137" w:type="pct"/>
            <w:gridSpan w:val="2"/>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景观比例Lp（%）</w:t>
            </w:r>
          </w:p>
        </w:tc>
        <w:tc>
          <w:tcPr>
            <w:tcW w:w="1076" w:type="pct"/>
            <w:gridSpan w:val="2"/>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优势度Do（%）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tabs>
                <w:tab w:val="right" w:leader="dot" w:pos="8302"/>
              </w:tabs>
              <w:spacing w:line="240" w:lineRule="auto"/>
              <w:ind w:firstLine="0" w:firstLineChars="0"/>
              <w:jc w:val="center"/>
              <w:rPr>
                <w:rFonts w:cs="Times New Roman"/>
                <w:kern w:val="0"/>
                <w:sz w:val="18"/>
                <w:szCs w:val="18"/>
              </w:rPr>
            </w:pPr>
          </w:p>
        </w:tc>
        <w:tc>
          <w:tcPr>
            <w:tcW w:w="541" w:type="pct"/>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现状</w:t>
            </w:r>
          </w:p>
        </w:tc>
        <w:tc>
          <w:tcPr>
            <w:tcW w:w="541" w:type="pct"/>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预测</w:t>
            </w:r>
          </w:p>
        </w:tc>
        <w:tc>
          <w:tcPr>
            <w:tcW w:w="542" w:type="pct"/>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现状</w:t>
            </w:r>
          </w:p>
        </w:tc>
        <w:tc>
          <w:tcPr>
            <w:tcW w:w="543" w:type="pct"/>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预测</w:t>
            </w:r>
          </w:p>
        </w:tc>
        <w:tc>
          <w:tcPr>
            <w:tcW w:w="569" w:type="pct"/>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现状</w:t>
            </w:r>
          </w:p>
        </w:tc>
        <w:tc>
          <w:tcPr>
            <w:tcW w:w="568" w:type="pct"/>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预测</w:t>
            </w:r>
          </w:p>
        </w:tc>
        <w:tc>
          <w:tcPr>
            <w:tcW w:w="542" w:type="pct"/>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现状</w:t>
            </w:r>
          </w:p>
        </w:tc>
        <w:tc>
          <w:tcPr>
            <w:tcW w:w="534" w:type="pct"/>
            <w:tcBorders>
              <w:top w:val="single" w:color="auto" w:sz="4" w:space="0"/>
              <w:left w:val="single" w:color="auto" w:sz="4" w:space="0"/>
              <w:bottom w:val="single" w:color="auto" w:sz="4" w:space="0"/>
              <w:right w:val="single" w:color="auto" w:sz="4" w:space="0"/>
            </w:tcBorders>
            <w:noWrap/>
            <w:vAlign w:val="center"/>
          </w:tcPr>
          <w:p>
            <w:pPr>
              <w:widowControl/>
              <w:tabs>
                <w:tab w:val="right" w:leader="dot" w:pos="8302"/>
              </w:tabs>
              <w:autoSpaceDE w:val="0"/>
              <w:autoSpaceDN w:val="0"/>
              <w:spacing w:line="240" w:lineRule="auto"/>
              <w:ind w:firstLine="0" w:firstLineChars="0"/>
              <w:jc w:val="center"/>
              <w:rPr>
                <w:rFonts w:cs="Times New Roman"/>
                <w:kern w:val="0"/>
                <w:sz w:val="18"/>
                <w:szCs w:val="18"/>
              </w:rPr>
            </w:pPr>
            <w:r>
              <w:rPr>
                <w:rFonts w:cs="Times New Roman"/>
                <w:kern w:val="0"/>
                <w:sz w:val="18"/>
                <w:szCs w:val="18"/>
              </w:rPr>
              <w:t>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pct"/>
            <w:tcBorders>
              <w:top w:val="single" w:color="auto" w:sz="4" w:space="0"/>
              <w:left w:val="single" w:color="auto" w:sz="4" w:space="0"/>
              <w:bottom w:val="single" w:color="auto" w:sz="4" w:space="0"/>
              <w:right w:val="single" w:color="auto" w:sz="4" w:space="0"/>
            </w:tcBorders>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农田景观</w:t>
            </w:r>
          </w:p>
        </w:tc>
        <w:tc>
          <w:tcPr>
            <w:tcW w:w="541" w:type="pct"/>
            <w:tcBorders>
              <w:top w:val="single" w:color="auto" w:sz="4" w:space="0"/>
              <w:left w:val="nil"/>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3.16</w:t>
            </w:r>
          </w:p>
        </w:tc>
        <w:tc>
          <w:tcPr>
            <w:tcW w:w="541"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3.09</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1.80</w:t>
            </w:r>
          </w:p>
        </w:tc>
        <w:tc>
          <w:tcPr>
            <w:tcW w:w="543"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1.80</w:t>
            </w:r>
          </w:p>
        </w:tc>
        <w:tc>
          <w:tcPr>
            <w:tcW w:w="569"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0.39</w:t>
            </w:r>
          </w:p>
        </w:tc>
        <w:tc>
          <w:tcPr>
            <w:tcW w:w="568"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0.39</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1.43</w:t>
            </w:r>
          </w:p>
        </w:tc>
        <w:tc>
          <w:tcPr>
            <w:tcW w:w="534"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pct"/>
            <w:tcBorders>
              <w:top w:val="single" w:color="auto" w:sz="4" w:space="0"/>
              <w:left w:val="single" w:color="auto" w:sz="4" w:space="0"/>
              <w:bottom w:val="single" w:color="auto" w:sz="4" w:space="0"/>
              <w:right w:val="single" w:color="auto" w:sz="4" w:space="0"/>
            </w:tcBorders>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林地景观</w:t>
            </w:r>
          </w:p>
        </w:tc>
        <w:tc>
          <w:tcPr>
            <w:tcW w:w="541" w:type="pct"/>
            <w:tcBorders>
              <w:top w:val="single" w:color="auto" w:sz="4" w:space="0"/>
              <w:left w:val="nil"/>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4.21</w:t>
            </w:r>
          </w:p>
        </w:tc>
        <w:tc>
          <w:tcPr>
            <w:tcW w:w="541"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4.12</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3.15</w:t>
            </w:r>
          </w:p>
        </w:tc>
        <w:tc>
          <w:tcPr>
            <w:tcW w:w="543"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3.15</w:t>
            </w:r>
          </w:p>
        </w:tc>
        <w:tc>
          <w:tcPr>
            <w:tcW w:w="569"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0.65</w:t>
            </w:r>
          </w:p>
        </w:tc>
        <w:tc>
          <w:tcPr>
            <w:tcW w:w="568"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0.65</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2.17</w:t>
            </w:r>
          </w:p>
        </w:tc>
        <w:tc>
          <w:tcPr>
            <w:tcW w:w="534"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pct"/>
            <w:tcBorders>
              <w:top w:val="single" w:color="auto" w:sz="4" w:space="0"/>
              <w:left w:val="single" w:color="auto" w:sz="4" w:space="0"/>
              <w:bottom w:val="single" w:color="auto" w:sz="4" w:space="0"/>
              <w:right w:val="single" w:color="auto" w:sz="4" w:space="0"/>
            </w:tcBorders>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草地景观</w:t>
            </w:r>
          </w:p>
        </w:tc>
        <w:tc>
          <w:tcPr>
            <w:tcW w:w="541" w:type="pct"/>
            <w:tcBorders>
              <w:top w:val="single" w:color="auto" w:sz="4" w:space="0"/>
              <w:left w:val="nil"/>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26.32</w:t>
            </w:r>
          </w:p>
        </w:tc>
        <w:tc>
          <w:tcPr>
            <w:tcW w:w="541"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24.74</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57.52</w:t>
            </w:r>
          </w:p>
        </w:tc>
        <w:tc>
          <w:tcPr>
            <w:tcW w:w="543"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57.14</w:t>
            </w:r>
          </w:p>
        </w:tc>
        <w:tc>
          <w:tcPr>
            <w:tcW w:w="569"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53.41</w:t>
            </w:r>
          </w:p>
        </w:tc>
        <w:tc>
          <w:tcPr>
            <w:tcW w:w="568"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53.25</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47.67</w:t>
            </w:r>
          </w:p>
        </w:tc>
        <w:tc>
          <w:tcPr>
            <w:tcW w:w="534"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47.09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pct"/>
            <w:tcBorders>
              <w:top w:val="single" w:color="auto" w:sz="4" w:space="0"/>
              <w:left w:val="single" w:color="auto" w:sz="4" w:space="0"/>
              <w:bottom w:val="single" w:color="auto" w:sz="4" w:space="0"/>
              <w:right w:val="single" w:color="auto" w:sz="4" w:space="0"/>
            </w:tcBorders>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水域景观</w:t>
            </w:r>
          </w:p>
        </w:tc>
        <w:tc>
          <w:tcPr>
            <w:tcW w:w="541" w:type="pct"/>
            <w:tcBorders>
              <w:top w:val="single" w:color="auto" w:sz="4" w:space="0"/>
              <w:left w:val="nil"/>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14.74</w:t>
            </w:r>
          </w:p>
        </w:tc>
        <w:tc>
          <w:tcPr>
            <w:tcW w:w="541"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15.46</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25.11</w:t>
            </w:r>
          </w:p>
        </w:tc>
        <w:tc>
          <w:tcPr>
            <w:tcW w:w="543"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26.10</w:t>
            </w:r>
          </w:p>
        </w:tc>
        <w:tc>
          <w:tcPr>
            <w:tcW w:w="569"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32.51</w:t>
            </w:r>
          </w:p>
        </w:tc>
        <w:tc>
          <w:tcPr>
            <w:tcW w:w="568"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32.61</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26.21</w:t>
            </w:r>
          </w:p>
        </w:tc>
        <w:tc>
          <w:tcPr>
            <w:tcW w:w="534"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pct"/>
            <w:tcBorders>
              <w:top w:val="single" w:color="auto" w:sz="4" w:space="0"/>
              <w:left w:val="single" w:color="auto" w:sz="4" w:space="0"/>
              <w:bottom w:val="single" w:color="auto" w:sz="4" w:space="0"/>
              <w:right w:val="single" w:color="auto" w:sz="4" w:space="0"/>
            </w:tcBorders>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人居景观</w:t>
            </w:r>
          </w:p>
        </w:tc>
        <w:tc>
          <w:tcPr>
            <w:tcW w:w="541" w:type="pct"/>
            <w:tcBorders>
              <w:top w:val="single" w:color="auto" w:sz="4" w:space="0"/>
              <w:left w:val="nil"/>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9.47</w:t>
            </w:r>
          </w:p>
        </w:tc>
        <w:tc>
          <w:tcPr>
            <w:tcW w:w="541"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11.34</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8.55</w:t>
            </w:r>
          </w:p>
        </w:tc>
        <w:tc>
          <w:tcPr>
            <w:tcW w:w="543"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9.45</w:t>
            </w:r>
          </w:p>
        </w:tc>
        <w:tc>
          <w:tcPr>
            <w:tcW w:w="569"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0.76</w:t>
            </w:r>
          </w:p>
        </w:tc>
        <w:tc>
          <w:tcPr>
            <w:tcW w:w="568"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0.83</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4.89</w:t>
            </w:r>
          </w:p>
        </w:tc>
        <w:tc>
          <w:tcPr>
            <w:tcW w:w="534"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pct"/>
            <w:tcBorders>
              <w:top w:val="single" w:color="auto" w:sz="4" w:space="0"/>
              <w:left w:val="single" w:color="auto" w:sz="4" w:space="0"/>
              <w:bottom w:val="single" w:color="auto" w:sz="4" w:space="0"/>
              <w:right w:val="single" w:color="auto" w:sz="4" w:space="0"/>
            </w:tcBorders>
            <w:noWrap/>
          </w:tcPr>
          <w:p>
            <w:pPr>
              <w:tabs>
                <w:tab w:val="right" w:leader="dot" w:pos="8302"/>
              </w:tabs>
              <w:spacing w:line="240" w:lineRule="auto"/>
              <w:ind w:firstLine="0" w:firstLineChars="0"/>
              <w:jc w:val="center"/>
              <w:rPr>
                <w:rFonts w:cs="Times New Roman"/>
                <w:sz w:val="18"/>
                <w:szCs w:val="18"/>
              </w:rPr>
            </w:pPr>
            <w:r>
              <w:rPr>
                <w:rFonts w:cs="Times New Roman"/>
                <w:sz w:val="18"/>
                <w:szCs w:val="18"/>
              </w:rPr>
              <w:t>其它景观</w:t>
            </w:r>
          </w:p>
        </w:tc>
        <w:tc>
          <w:tcPr>
            <w:tcW w:w="541" w:type="pct"/>
            <w:tcBorders>
              <w:top w:val="single" w:color="auto" w:sz="4" w:space="0"/>
              <w:left w:val="nil"/>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42.11</w:t>
            </w:r>
          </w:p>
        </w:tc>
        <w:tc>
          <w:tcPr>
            <w:tcW w:w="541"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41.24</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15.10</w:t>
            </w:r>
          </w:p>
        </w:tc>
        <w:tc>
          <w:tcPr>
            <w:tcW w:w="543"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15.10</w:t>
            </w:r>
          </w:p>
        </w:tc>
        <w:tc>
          <w:tcPr>
            <w:tcW w:w="569"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12.27</w:t>
            </w:r>
          </w:p>
        </w:tc>
        <w:tc>
          <w:tcPr>
            <w:tcW w:w="568"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12.27</w:t>
            </w:r>
          </w:p>
        </w:tc>
        <w:tc>
          <w:tcPr>
            <w:tcW w:w="542" w:type="pct"/>
            <w:tcBorders>
              <w:top w:val="single" w:color="auto" w:sz="4" w:space="0"/>
              <w:left w:val="single" w:color="auto" w:sz="4" w:space="0"/>
              <w:bottom w:val="single" w:color="auto" w:sz="4" w:space="0"/>
              <w:right w:val="single" w:color="auto" w:sz="4" w:space="0"/>
            </w:tcBorders>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20.44</w:t>
            </w:r>
          </w:p>
        </w:tc>
        <w:tc>
          <w:tcPr>
            <w:tcW w:w="534" w:type="pct"/>
            <w:tcBorders>
              <w:top w:val="single" w:color="auto" w:sz="4" w:space="0"/>
              <w:left w:val="single" w:color="auto" w:sz="4" w:space="0"/>
              <w:bottom w:val="single" w:color="auto" w:sz="4" w:space="0"/>
              <w:right w:val="single" w:color="auto" w:sz="4" w:space="0"/>
            </w:tcBorders>
            <w:noWrap/>
            <w:vAlign w:val="center"/>
          </w:tcPr>
          <w:p>
            <w:pPr>
              <w:tabs>
                <w:tab w:val="right" w:leader="dot" w:pos="8302"/>
              </w:tabs>
              <w:spacing w:line="240" w:lineRule="auto"/>
              <w:ind w:firstLine="0" w:firstLineChars="0"/>
              <w:jc w:val="center"/>
              <w:rPr>
                <w:rFonts w:cs="Times New Roman"/>
                <w:sz w:val="18"/>
                <w:szCs w:val="18"/>
              </w:rPr>
            </w:pPr>
            <w:r>
              <w:rPr>
                <w:rFonts w:cs="Times New Roman"/>
                <w:sz w:val="18"/>
                <w:szCs w:val="18"/>
              </w:rPr>
              <w:t>20.22</w:t>
            </w:r>
          </w:p>
        </w:tc>
      </w:tr>
    </w:tbl>
    <w:p>
      <w:pPr>
        <w:tabs>
          <w:tab w:val="right" w:leader="dot" w:pos="8302"/>
        </w:tabs>
        <w:autoSpaceDE w:val="0"/>
        <w:autoSpaceDN w:val="0"/>
        <w:adjustRightInd w:val="0"/>
        <w:spacing w:line="240" w:lineRule="auto"/>
        <w:ind w:firstLine="420"/>
        <w:rPr>
          <w:rFonts w:cs="Times New Roman" w:eastAsiaTheme="minorEastAsia"/>
          <w:kern w:val="0"/>
          <w:sz w:val="21"/>
          <w:szCs w:val="21"/>
        </w:rPr>
      </w:pPr>
    </w:p>
    <w:p>
      <w:pPr>
        <w:tabs>
          <w:tab w:val="right" w:leader="dot" w:pos="8302"/>
        </w:tabs>
        <w:autoSpaceDE w:val="0"/>
        <w:autoSpaceDN w:val="0"/>
        <w:ind w:firstLine="480"/>
        <w:rPr>
          <w:rFonts w:cs="Times New Roman" w:eastAsiaTheme="minorEastAsia"/>
          <w:kern w:val="0"/>
          <w:szCs w:val="20"/>
        </w:rPr>
      </w:pPr>
      <w:r>
        <w:rPr>
          <w:rFonts w:cs="Times New Roman" w:eastAsiaTheme="minorEastAsia"/>
          <w:kern w:val="0"/>
          <w:szCs w:val="20"/>
        </w:rPr>
        <w:t>根据表5.5-2数据分析可知，工程建成后，受水库淹没、工程占地的影响，使得评价区范围内水域、人居景观优势度有所上升，分别从现状年的26.21%、4.89 %，上升至工程建成后的26.69%、5.61%；相应的，草地景观优势度值有所下降，从现状年的47.67%下降为建成后的47.09%。农田、林地、其它景观的优势度值受评价区总拼块数量增加影响略有降低，但变幅极小。</w:t>
      </w:r>
    </w:p>
    <w:p>
      <w:pPr>
        <w:tabs>
          <w:tab w:val="right" w:leader="dot" w:pos="8302"/>
        </w:tabs>
        <w:ind w:firstLine="480"/>
        <w:rPr>
          <w:rFonts w:cs="Times New Roman" w:eastAsiaTheme="minorEastAsia"/>
        </w:rPr>
      </w:pPr>
      <w:r>
        <w:rPr>
          <w:rFonts w:cs="Times New Roman" w:eastAsiaTheme="minorEastAsia"/>
          <w:kern w:val="0"/>
          <w:szCs w:val="20"/>
        </w:rPr>
        <w:t>综上所述，工程建设后，评价区域内各景观类型的优势度值发生了变化，但总体变幅均较小，草地景观作为模地的地位不变，受工程建设的影响，区域人居景观有所增加，但优势度仍然处于较低水平，说明人类干扰作用未明显增强。因此，总体来说，工程建成后对评价区域景观质量影响较小。</w:t>
      </w:r>
    </w:p>
    <w:p>
      <w:pPr>
        <w:pStyle w:val="4"/>
        <w:rPr>
          <w:rFonts w:cs="Times New Roman"/>
        </w:rPr>
      </w:pPr>
      <w:r>
        <w:rPr>
          <w:rFonts w:cs="Times New Roman"/>
        </w:rPr>
        <w:t>5.5.2 对生态系统结构与功能影响</w:t>
      </w:r>
    </w:p>
    <w:p>
      <w:pPr>
        <w:pStyle w:val="62"/>
        <w:rPr>
          <w:rFonts w:cs="Times New Roman"/>
        </w:rPr>
      </w:pPr>
      <w:r>
        <w:rPr>
          <w:rFonts w:cs="Times New Roman"/>
        </w:rPr>
        <w:t>5.5.2.1 生态系统结构变化</w:t>
      </w:r>
    </w:p>
    <w:p>
      <w:pPr>
        <w:ind w:firstLine="480"/>
        <w:rPr>
          <w:rFonts w:cs="Times New Roman" w:eastAsiaTheme="minorEastAsia"/>
        </w:rPr>
      </w:pPr>
      <w:r>
        <w:rPr>
          <w:rFonts w:cs="Times New Roman" w:eastAsiaTheme="minorEastAsia"/>
        </w:rPr>
        <w:t>规划实施前后评价区各类型生态系统面积情况见表5.5-3。</w:t>
      </w:r>
    </w:p>
    <w:p>
      <w:pPr>
        <w:pStyle w:val="137"/>
        <w:spacing w:before="62"/>
      </w:pPr>
      <w:r>
        <w:t>表5.5-3           工程建设前后各类型生态系统面积对比表       单位：hm</w:t>
      </w:r>
      <w:r>
        <w:rPr>
          <w:vertAlign w:val="superscript"/>
        </w:rPr>
        <w:t>2</w:t>
      </w:r>
    </w:p>
    <w:tbl>
      <w:tblPr>
        <w:tblStyle w:val="40"/>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40"/>
        <w:gridCol w:w="1692"/>
        <w:gridCol w:w="1469"/>
        <w:gridCol w:w="1176"/>
        <w:gridCol w:w="1324"/>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4" w:hRule="atLeast"/>
          <w:jc w:val="center"/>
        </w:trPr>
        <w:tc>
          <w:tcPr>
            <w:tcW w:w="856" w:type="pct"/>
            <w:vMerge w:val="restart"/>
            <w:vAlign w:val="center"/>
          </w:tcPr>
          <w:p>
            <w:pPr>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Ⅰ级分类</w:t>
            </w:r>
          </w:p>
        </w:tc>
        <w:tc>
          <w:tcPr>
            <w:tcW w:w="941" w:type="pct"/>
            <w:vMerge w:val="restart"/>
            <w:vAlign w:val="center"/>
          </w:tcPr>
          <w:p>
            <w:pPr>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Ⅱ级分类</w:t>
            </w:r>
          </w:p>
        </w:tc>
        <w:tc>
          <w:tcPr>
            <w:tcW w:w="817" w:type="pct"/>
            <w:vMerge w:val="restart"/>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现状面积</w:t>
            </w:r>
          </w:p>
        </w:tc>
        <w:tc>
          <w:tcPr>
            <w:tcW w:w="2386" w:type="pct"/>
            <w:gridSpan w:val="3"/>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工程建成后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1" w:hRule="atLeast"/>
          <w:jc w:val="center"/>
        </w:trPr>
        <w:tc>
          <w:tcPr>
            <w:tcW w:w="856" w:type="pct"/>
            <w:vMerge w:val="continue"/>
            <w:vAlign w:val="center"/>
          </w:tcPr>
          <w:p>
            <w:pPr>
              <w:widowControl/>
              <w:spacing w:line="240" w:lineRule="auto"/>
              <w:ind w:firstLine="0" w:firstLineChars="0"/>
              <w:jc w:val="center"/>
              <w:rPr>
                <w:rFonts w:cs="Times New Roman" w:eastAsiaTheme="minorEastAsia"/>
                <w:kern w:val="0"/>
                <w:sz w:val="18"/>
                <w:szCs w:val="18"/>
              </w:rPr>
            </w:pPr>
          </w:p>
        </w:tc>
        <w:tc>
          <w:tcPr>
            <w:tcW w:w="941" w:type="pct"/>
            <w:vMerge w:val="continue"/>
            <w:vAlign w:val="center"/>
          </w:tcPr>
          <w:p>
            <w:pPr>
              <w:widowControl/>
              <w:spacing w:line="240" w:lineRule="auto"/>
              <w:ind w:firstLine="0" w:firstLineChars="0"/>
              <w:jc w:val="center"/>
              <w:rPr>
                <w:rFonts w:cs="Times New Roman" w:eastAsiaTheme="minorEastAsia"/>
                <w:kern w:val="0"/>
                <w:sz w:val="18"/>
                <w:szCs w:val="18"/>
              </w:rPr>
            </w:pPr>
          </w:p>
        </w:tc>
        <w:tc>
          <w:tcPr>
            <w:tcW w:w="817" w:type="pct"/>
            <w:vMerge w:val="continue"/>
            <w:vAlign w:val="center"/>
          </w:tcPr>
          <w:p>
            <w:pPr>
              <w:widowControl/>
              <w:spacing w:line="240" w:lineRule="auto"/>
              <w:ind w:firstLine="0" w:firstLineChars="0"/>
              <w:jc w:val="center"/>
              <w:rPr>
                <w:rFonts w:cs="Times New Roman" w:eastAsiaTheme="minorEastAsia"/>
                <w:kern w:val="0"/>
                <w:sz w:val="18"/>
                <w:szCs w:val="18"/>
              </w:rPr>
            </w:pPr>
          </w:p>
        </w:tc>
        <w:tc>
          <w:tcPr>
            <w:tcW w:w="654" w:type="pct"/>
            <w:vAlign w:val="center"/>
          </w:tcPr>
          <w:p>
            <w:pPr>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面积</w:t>
            </w:r>
          </w:p>
        </w:tc>
        <w:tc>
          <w:tcPr>
            <w:tcW w:w="736" w:type="pct"/>
            <w:vAlign w:val="center"/>
          </w:tcPr>
          <w:p>
            <w:pPr>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变化（hm</w:t>
            </w:r>
            <w:r>
              <w:rPr>
                <w:rFonts w:cs="Times New Roman" w:eastAsiaTheme="minorEastAsia"/>
                <w:kern w:val="0"/>
                <w:sz w:val="18"/>
                <w:szCs w:val="18"/>
                <w:vertAlign w:val="superscript"/>
              </w:rPr>
              <w:t>2</w:t>
            </w:r>
            <w:r>
              <w:rPr>
                <w:rFonts w:cs="Times New Roman" w:eastAsiaTheme="minorEastAsia"/>
                <w:kern w:val="0"/>
                <w:sz w:val="18"/>
                <w:szCs w:val="18"/>
              </w:rPr>
              <w:t>）</w:t>
            </w:r>
          </w:p>
        </w:tc>
        <w:tc>
          <w:tcPr>
            <w:tcW w:w="996" w:type="pct"/>
            <w:vAlign w:val="center"/>
          </w:tcPr>
          <w:p>
            <w:pPr>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变化幅度（%）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856"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灌丛生态系统</w:t>
            </w:r>
          </w:p>
        </w:tc>
        <w:tc>
          <w:tcPr>
            <w:tcW w:w="941"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阔叶灌丛</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111.76</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111.76</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0.00</w:t>
            </w:r>
          </w:p>
        </w:tc>
        <w:tc>
          <w:tcPr>
            <w:tcW w:w="996" w:type="pct"/>
            <w:shd w:val="clear" w:color="auto" w:fill="auto"/>
            <w:vAlign w:val="center"/>
          </w:tcPr>
          <w:p>
            <w:pPr>
              <w:pStyle w:val="136"/>
              <w:rPr>
                <w:color w:val="FF0000"/>
              </w:rPr>
            </w:pPr>
            <w:r>
              <w:rPr>
                <w:color w:val="FF000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856"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农田生态系统</w:t>
            </w:r>
          </w:p>
        </w:tc>
        <w:tc>
          <w:tcPr>
            <w:tcW w:w="941"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水浇地</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66.67</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66.67</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0.00</w:t>
            </w:r>
          </w:p>
        </w:tc>
        <w:tc>
          <w:tcPr>
            <w:tcW w:w="996" w:type="pct"/>
            <w:shd w:val="clear" w:color="auto" w:fill="auto"/>
            <w:vAlign w:val="center"/>
          </w:tcPr>
          <w:p>
            <w:pPr>
              <w:pStyle w:val="136"/>
              <w:rPr>
                <w:color w:val="FF0000"/>
              </w:rPr>
            </w:pPr>
            <w:r>
              <w:rPr>
                <w:color w:val="FF000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 w:hRule="atLeast"/>
          <w:jc w:val="center"/>
        </w:trPr>
        <w:tc>
          <w:tcPr>
            <w:tcW w:w="856" w:type="pct"/>
            <w:vMerge w:val="restar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草地生态系统</w:t>
            </w:r>
          </w:p>
        </w:tc>
        <w:tc>
          <w:tcPr>
            <w:tcW w:w="941"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草原</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3471.52</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3443.28</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-28.24</w:t>
            </w:r>
          </w:p>
        </w:tc>
        <w:tc>
          <w:tcPr>
            <w:tcW w:w="996" w:type="pct"/>
            <w:shd w:val="clear" w:color="auto" w:fill="auto"/>
            <w:vAlign w:val="center"/>
          </w:tcPr>
          <w:p>
            <w:pPr>
              <w:pStyle w:val="136"/>
              <w:rPr>
                <w:color w:val="FF0000"/>
              </w:rPr>
            </w:pPr>
            <w:r>
              <w:rPr>
                <w:color w:val="FF0000"/>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 w:hRule="atLeast"/>
          <w:jc w:val="center"/>
        </w:trPr>
        <w:tc>
          <w:tcPr>
            <w:tcW w:w="856" w:type="pct"/>
            <w:vMerge w:val="continue"/>
            <w:vAlign w:val="center"/>
          </w:tcPr>
          <w:p>
            <w:pPr>
              <w:widowControl/>
              <w:spacing w:line="240" w:lineRule="auto"/>
              <w:ind w:firstLine="0" w:firstLineChars="0"/>
              <w:jc w:val="center"/>
              <w:rPr>
                <w:rFonts w:cs="Times New Roman" w:eastAsiaTheme="minorEastAsia"/>
                <w:kern w:val="0"/>
                <w:sz w:val="18"/>
                <w:szCs w:val="18"/>
              </w:rPr>
            </w:pPr>
          </w:p>
        </w:tc>
        <w:tc>
          <w:tcPr>
            <w:tcW w:w="941"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稀疏草地</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5660.45</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5660.45</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0.00</w:t>
            </w:r>
          </w:p>
        </w:tc>
        <w:tc>
          <w:tcPr>
            <w:tcW w:w="996" w:type="pct"/>
            <w:shd w:val="clear" w:color="auto" w:fill="auto"/>
            <w:vAlign w:val="center"/>
          </w:tcPr>
          <w:p>
            <w:pPr>
              <w:pStyle w:val="136"/>
              <w:rPr>
                <w:color w:val="FF0000"/>
              </w:rPr>
            </w:pPr>
            <w:r>
              <w:rPr>
                <w:color w:val="FF000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856" w:type="pct"/>
            <w:vMerge w:val="restar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湿地生态系统</w:t>
            </w:r>
          </w:p>
        </w:tc>
        <w:tc>
          <w:tcPr>
            <w:tcW w:w="941"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河流</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140.13</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140.13</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0.00</w:t>
            </w:r>
          </w:p>
        </w:tc>
        <w:tc>
          <w:tcPr>
            <w:tcW w:w="996" w:type="pct"/>
            <w:shd w:val="clear" w:color="auto" w:fill="auto"/>
            <w:vAlign w:val="center"/>
          </w:tcPr>
          <w:p>
            <w:pPr>
              <w:pStyle w:val="136"/>
              <w:rPr>
                <w:color w:val="FF0000"/>
              </w:rPr>
            </w:pPr>
            <w:r>
              <w:rPr>
                <w:color w:val="FF000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856" w:type="pct"/>
            <w:vMerge w:val="continue"/>
            <w:shd w:val="clear" w:color="auto" w:fill="auto"/>
            <w:vAlign w:val="center"/>
          </w:tcPr>
          <w:p>
            <w:pPr>
              <w:widowControl/>
              <w:spacing w:line="240" w:lineRule="auto"/>
              <w:ind w:firstLine="0" w:firstLineChars="0"/>
              <w:jc w:val="center"/>
              <w:rPr>
                <w:rFonts w:cs="Times New Roman" w:eastAsiaTheme="minorEastAsia"/>
                <w:kern w:val="0"/>
                <w:sz w:val="18"/>
                <w:szCs w:val="18"/>
              </w:rPr>
            </w:pPr>
          </w:p>
        </w:tc>
        <w:tc>
          <w:tcPr>
            <w:tcW w:w="941"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湖泊（水库）</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33.66</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50.67</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17.01</w:t>
            </w:r>
          </w:p>
        </w:tc>
        <w:tc>
          <w:tcPr>
            <w:tcW w:w="996" w:type="pct"/>
            <w:shd w:val="clear" w:color="auto" w:fill="auto"/>
            <w:vAlign w:val="center"/>
          </w:tcPr>
          <w:p>
            <w:pPr>
              <w:pStyle w:val="136"/>
              <w:rPr>
                <w:color w:val="FF0000"/>
              </w:rPr>
            </w:pPr>
            <w:r>
              <w:rPr>
                <w:color w:val="FF0000"/>
              </w:rPr>
              <w:t>50.53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856" w:type="pct"/>
            <w:vMerge w:val="restar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城镇生态系统</w:t>
            </w:r>
          </w:p>
        </w:tc>
        <w:tc>
          <w:tcPr>
            <w:tcW w:w="941"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居住地</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12.11</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12.11</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0.00</w:t>
            </w:r>
          </w:p>
        </w:tc>
        <w:tc>
          <w:tcPr>
            <w:tcW w:w="996" w:type="pct"/>
            <w:shd w:val="clear" w:color="auto" w:fill="auto"/>
            <w:vAlign w:val="center"/>
          </w:tcPr>
          <w:p>
            <w:pPr>
              <w:pStyle w:val="136"/>
              <w:rPr>
                <w:color w:val="FF0000"/>
              </w:rPr>
            </w:pPr>
            <w:r>
              <w:rPr>
                <w:color w:val="FF000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856" w:type="pct"/>
            <w:vMerge w:val="continue"/>
            <w:shd w:val="clear" w:color="auto" w:fill="auto"/>
            <w:vAlign w:val="center"/>
          </w:tcPr>
          <w:p>
            <w:pPr>
              <w:widowControl/>
              <w:spacing w:line="240" w:lineRule="auto"/>
              <w:ind w:firstLine="0" w:firstLineChars="0"/>
              <w:jc w:val="center"/>
              <w:rPr>
                <w:rFonts w:cs="Times New Roman" w:eastAsiaTheme="minorEastAsia"/>
                <w:kern w:val="0"/>
                <w:sz w:val="18"/>
                <w:szCs w:val="18"/>
              </w:rPr>
            </w:pPr>
          </w:p>
        </w:tc>
        <w:tc>
          <w:tcPr>
            <w:tcW w:w="941"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工矿交通</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118.45</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129.68</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11.23</w:t>
            </w:r>
          </w:p>
        </w:tc>
        <w:tc>
          <w:tcPr>
            <w:tcW w:w="996" w:type="pct"/>
            <w:shd w:val="clear" w:color="auto" w:fill="auto"/>
            <w:vAlign w:val="center"/>
          </w:tcPr>
          <w:p>
            <w:pPr>
              <w:pStyle w:val="136"/>
              <w:rPr>
                <w:color w:val="FF0000"/>
              </w:rPr>
            </w:pPr>
            <w:r>
              <w:rPr>
                <w:color w:val="FF0000"/>
              </w:rPr>
              <w:t>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856"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其他</w:t>
            </w:r>
          </w:p>
        </w:tc>
        <w:tc>
          <w:tcPr>
            <w:tcW w:w="941" w:type="pct"/>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裸地</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7482.46</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7482.46</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0.00</w:t>
            </w:r>
          </w:p>
        </w:tc>
        <w:tc>
          <w:tcPr>
            <w:tcW w:w="996" w:type="pct"/>
            <w:shd w:val="clear" w:color="auto" w:fill="auto"/>
            <w:vAlign w:val="center"/>
          </w:tcPr>
          <w:p>
            <w:pPr>
              <w:pStyle w:val="136"/>
              <w:rPr>
                <w:color w:val="FF0000"/>
              </w:rPr>
            </w:pPr>
            <w:r>
              <w:rPr>
                <w:color w:val="FF000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 w:hRule="atLeast"/>
          <w:jc w:val="center"/>
        </w:trPr>
        <w:tc>
          <w:tcPr>
            <w:tcW w:w="1797" w:type="pct"/>
            <w:gridSpan w:val="2"/>
            <w:shd w:val="clear" w:color="auto" w:fill="auto"/>
            <w:vAlign w:val="center"/>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合计</w:t>
            </w:r>
          </w:p>
        </w:tc>
        <w:tc>
          <w:tcPr>
            <w:tcW w:w="817"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17097.22</w:t>
            </w:r>
          </w:p>
        </w:tc>
        <w:tc>
          <w:tcPr>
            <w:tcW w:w="654"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17097.22</w:t>
            </w:r>
          </w:p>
        </w:tc>
        <w:tc>
          <w:tcPr>
            <w:tcW w:w="736" w:type="pct"/>
            <w:shd w:val="clear" w:color="auto" w:fill="auto"/>
          </w:tcPr>
          <w:p>
            <w:pPr>
              <w:widowControl/>
              <w:spacing w:line="240" w:lineRule="auto"/>
              <w:ind w:firstLine="0" w:firstLineChars="0"/>
              <w:jc w:val="center"/>
              <w:rPr>
                <w:rFonts w:cs="Times New Roman" w:eastAsiaTheme="minorEastAsia"/>
                <w:kern w:val="0"/>
                <w:sz w:val="18"/>
                <w:szCs w:val="18"/>
              </w:rPr>
            </w:pPr>
            <w:r>
              <w:rPr>
                <w:rFonts w:cs="Times New Roman" w:eastAsiaTheme="minorEastAsia"/>
                <w:kern w:val="0"/>
                <w:sz w:val="18"/>
                <w:szCs w:val="18"/>
              </w:rPr>
              <w:t>0.00</w:t>
            </w:r>
          </w:p>
        </w:tc>
        <w:tc>
          <w:tcPr>
            <w:tcW w:w="996" w:type="pct"/>
            <w:shd w:val="clear" w:color="auto" w:fill="auto"/>
          </w:tcPr>
          <w:p>
            <w:pPr>
              <w:pStyle w:val="136"/>
              <w:rPr>
                <w:rFonts w:eastAsiaTheme="minorEastAsia"/>
                <w:color w:val="FF0000"/>
                <w:kern w:val="0"/>
              </w:rPr>
            </w:pPr>
            <w:r>
              <w:rPr>
                <w:color w:val="FF0000"/>
              </w:rPr>
              <w:t>0.00</w:t>
            </w:r>
          </w:p>
        </w:tc>
      </w:tr>
    </w:tbl>
    <w:p>
      <w:pPr>
        <w:spacing w:line="240" w:lineRule="auto"/>
        <w:ind w:firstLine="420"/>
        <w:rPr>
          <w:rFonts w:cs="Times New Roman"/>
          <w:sz w:val="21"/>
          <w:szCs w:val="21"/>
        </w:rPr>
      </w:pPr>
    </w:p>
    <w:p>
      <w:pPr>
        <w:ind w:firstLine="480"/>
        <w:rPr>
          <w:rFonts w:cs="Times New Roman" w:eastAsiaTheme="minorEastAsia"/>
        </w:rPr>
      </w:pPr>
      <w:r>
        <w:rPr>
          <w:rFonts w:cs="Times New Roman" w:eastAsiaTheme="minorEastAsia"/>
        </w:rPr>
        <w:t>由表5.5-3可以看出，规划各</w:t>
      </w:r>
      <w:r>
        <w:rPr>
          <w:rFonts w:hint="eastAsia" w:cs="Times New Roman" w:eastAsiaTheme="minorEastAsia"/>
          <w:lang w:eastAsia="zh-CN"/>
        </w:rPr>
        <w:t>实施方案</w:t>
      </w:r>
      <w:r>
        <w:rPr>
          <w:rFonts w:cs="Times New Roman" w:eastAsiaTheme="minorEastAsia"/>
        </w:rPr>
        <w:t>以后，因规划工程淹没、占地导致湿地生态系统和城镇生态系统面积有所增加，草地生态系统面积略有减少，灌丛、农田、其他生态系统面积保持不变，评价区以草地生态系统为主导的格局并未发生变化，说明规划实施对评价区生态系统结构影响很小。</w:t>
      </w:r>
    </w:p>
    <w:p>
      <w:pPr>
        <w:pStyle w:val="62"/>
        <w:rPr>
          <w:rFonts w:cs="Times New Roman"/>
        </w:rPr>
      </w:pPr>
      <w:r>
        <w:rPr>
          <w:rFonts w:cs="Times New Roman"/>
        </w:rPr>
        <w:t>5.5.2.2 对生态系统功能影响</w:t>
      </w:r>
    </w:p>
    <w:p>
      <w:pPr>
        <w:tabs>
          <w:tab w:val="right" w:leader="dot" w:pos="8302"/>
        </w:tabs>
        <w:ind w:firstLine="480"/>
        <w:rPr>
          <w:rFonts w:cs="Times New Roman" w:eastAsiaTheme="minorEastAsia"/>
        </w:rPr>
      </w:pPr>
      <w:r>
        <w:rPr>
          <w:rFonts w:cs="Times New Roman" w:eastAsiaTheme="minorEastAsia"/>
        </w:rPr>
        <w:t>根据《全国生态功能区划（修编版）》，代尔昆代工程建设区涉及东天山水源涵养区。东天山水源涵养区生态功能定位为水源涵养。从生态系统结构可知，区域具有重要水源涵养功能的生态为草地生态系统和湿地生态系统，区域草地生态系统、湿地生态系统分布范围越大，区域生态系统服务功能越高，工程建设前后，评价区分布的草地生态系统分布范围有小幅减少，减幅仅为0.31 %，湿地生态系统受新增水库库区的影响，面积显著增大，对区域水源涵养功能的提升有利。总体上，规划实施对区域生态系统功能影响较小，水源涵养功能呈正向良性波动。</w:t>
      </w:r>
    </w:p>
    <w:p>
      <w:pPr>
        <w:pStyle w:val="4"/>
        <w:rPr>
          <w:rFonts w:cs="Times New Roman"/>
        </w:rPr>
      </w:pPr>
      <w:r>
        <w:rPr>
          <w:rFonts w:cs="Times New Roman"/>
        </w:rPr>
        <w:t>5.5.3 对陆生植物的影响分析</w:t>
      </w:r>
    </w:p>
    <w:p>
      <w:pPr>
        <w:pStyle w:val="62"/>
        <w:rPr>
          <w:rFonts w:cs="Times New Roman"/>
        </w:rPr>
      </w:pPr>
      <w:r>
        <w:rPr>
          <w:rFonts w:cs="Times New Roman"/>
        </w:rPr>
        <w:t>5.5.3.1 施工期对陆生植物的影响</w:t>
      </w:r>
    </w:p>
    <w:p>
      <w:pPr>
        <w:tabs>
          <w:tab w:val="right" w:leader="dot" w:pos="8302"/>
        </w:tabs>
        <w:ind w:firstLine="480"/>
        <w:rPr>
          <w:rFonts w:cs="Times New Roman"/>
        </w:rPr>
      </w:pPr>
      <w:r>
        <w:rPr>
          <w:rFonts w:cs="Times New Roman"/>
        </w:rPr>
        <w:t>（1）施工临时占地对植物的影响</w:t>
      </w:r>
    </w:p>
    <w:p>
      <w:pPr>
        <w:tabs>
          <w:tab w:val="right" w:leader="dot" w:pos="8302"/>
        </w:tabs>
        <w:ind w:firstLine="480"/>
        <w:rPr>
          <w:rFonts w:cs="Times New Roman"/>
        </w:rPr>
      </w:pPr>
      <w:r>
        <w:rPr>
          <w:rFonts w:cs="Times New Roman"/>
        </w:rPr>
        <w:t>工程施工临时占地总面积15.56hm</w:t>
      </w:r>
      <w:r>
        <w:rPr>
          <w:rFonts w:cs="Times New Roman"/>
          <w:vertAlign w:val="superscript"/>
        </w:rPr>
        <w:t>2</w:t>
      </w:r>
      <w:r>
        <w:rPr>
          <w:rFonts w:cs="Times New Roman"/>
        </w:rPr>
        <w:t>，主要包括料场、弃渣场、临时施工生产生活区、施工道路等临时占地，占地类型均为草地。经调查，工程临时</w:t>
      </w:r>
      <w:r>
        <w:rPr>
          <w:rFonts w:hint="eastAsia" w:cs="Times New Roman"/>
          <w:lang w:eastAsia="zh-CN"/>
        </w:rPr>
        <w:t>占用地区植被</w:t>
      </w:r>
      <w:r>
        <w:rPr>
          <w:rFonts w:cs="Times New Roman"/>
        </w:rPr>
        <w:t>以由驼绒藜群系构成的荒漠草原为主，植物物种有驼绒藜、鹅观草、短叶假木贼、地肤、沙生针茅、膜果麻黄等，群落</w:t>
      </w:r>
      <w:r>
        <w:rPr>
          <w:rFonts w:hint="eastAsia" w:cs="Times New Roman"/>
          <w:lang w:eastAsia="zh-CN"/>
        </w:rPr>
        <w:t>植盖度</w:t>
      </w:r>
      <w:r>
        <w:rPr>
          <w:rFonts w:cs="Times New Roman"/>
        </w:rPr>
        <w:t>约10～15%，无重点保护植物分布。施工临时占地对陆生植物的影响主要表现为工程施工过程中的开挖、施工车辆碾压和人员活动对地表的扰动，从而对</w:t>
      </w:r>
      <w:r>
        <w:rPr>
          <w:rFonts w:hint="eastAsia" w:cs="Times New Roman"/>
          <w:lang w:eastAsia="zh-CN"/>
        </w:rPr>
        <w:t>占用地区植被</w:t>
      </w:r>
      <w:r>
        <w:rPr>
          <w:rFonts w:cs="Times New Roman"/>
        </w:rPr>
        <w:t>造成破坏，由于临时占地面积有限，且分布植物以常见荒漠植物为主，周边区域广泛分布，因此不会对其种类产生明显影响，造成的损失较小。施工期间应严格限定施工范围，禁止随意扩大施工扰动范围；在工程施工结束后，随着施工人员、机械的撤离，临时占地区在采取土地平整等水土保持措施后</w:t>
      </w:r>
      <w:r>
        <w:rPr>
          <w:rFonts w:hint="eastAsia" w:cs="Times New Roman"/>
          <w:lang w:eastAsia="zh-CN"/>
        </w:rPr>
        <w:t>将</w:t>
      </w:r>
      <w:r>
        <w:rPr>
          <w:rFonts w:cs="Times New Roman"/>
        </w:rPr>
        <w:t>逐步自然恢复，施工临时占地对植被影响也随之消失。</w:t>
      </w:r>
    </w:p>
    <w:p>
      <w:pPr>
        <w:tabs>
          <w:tab w:val="right" w:leader="dot" w:pos="8302"/>
        </w:tabs>
        <w:ind w:firstLine="480"/>
        <w:rPr>
          <w:rFonts w:cs="Times New Roman"/>
        </w:rPr>
      </w:pPr>
      <w:r>
        <w:rPr>
          <w:rFonts w:cs="Times New Roman"/>
        </w:rPr>
        <w:t>（2）废污水排放对植被的影响</w:t>
      </w:r>
    </w:p>
    <w:p>
      <w:pPr>
        <w:tabs>
          <w:tab w:val="right" w:leader="dot" w:pos="8302"/>
        </w:tabs>
        <w:autoSpaceDE w:val="0"/>
        <w:autoSpaceDN w:val="0"/>
        <w:adjustRightInd w:val="0"/>
        <w:ind w:firstLine="480"/>
        <w:rPr>
          <w:rFonts w:cs="Times New Roman"/>
        </w:rPr>
      </w:pPr>
      <w:r>
        <w:rPr>
          <w:rFonts w:cs="Times New Roman"/>
        </w:rPr>
        <w:t>施工期</w:t>
      </w:r>
      <w:r>
        <w:rPr>
          <w:rFonts w:hint="eastAsia" w:cs="Times New Roman"/>
          <w:lang w:eastAsia="zh-CN"/>
        </w:rPr>
        <w:t>将</w:t>
      </w:r>
      <w:r>
        <w:rPr>
          <w:rFonts w:cs="Times New Roman"/>
        </w:rPr>
        <w:t>产生一定量的生产废水和生活污水。其中生产废水中污染物主要是悬浮物，混凝土拌和废水pH值较高，呈碱性，机械清洗废水中含少量的石油类物质；生活污水中BOD</w:t>
      </w:r>
      <w:r>
        <w:rPr>
          <w:rFonts w:cs="Times New Roman"/>
          <w:vertAlign w:val="subscript"/>
        </w:rPr>
        <w:t>5</w:t>
      </w:r>
      <w:r>
        <w:rPr>
          <w:rFonts w:cs="Times New Roman"/>
        </w:rPr>
        <w:t>、COD、粪大肠菌群等超标。</w:t>
      </w:r>
    </w:p>
    <w:p>
      <w:pPr>
        <w:tabs>
          <w:tab w:val="right" w:leader="dot" w:pos="8302"/>
        </w:tabs>
        <w:autoSpaceDE w:val="0"/>
        <w:autoSpaceDN w:val="0"/>
        <w:adjustRightInd w:val="0"/>
        <w:ind w:firstLine="480"/>
        <w:rPr>
          <w:rFonts w:cs="Times New Roman"/>
        </w:rPr>
      </w:pPr>
      <w:r>
        <w:rPr>
          <w:rFonts w:cs="Times New Roman"/>
        </w:rPr>
        <w:t>废污水排放对植被的影响表现为：首先污染土壤，生长于其上的植被在吸收土壤中污染物并逐渐富集于植物体内，当富集量超过其生理耐受量，植物就会中毒死亡。本工程生产、生活废水毒性指标较低，但混凝土拌和废水较高的pH值会超出植被的耐受能力，对地表植被恢复产生不利影响；砂石加工系统排放的废水SS含量很高，不经处理后直接排放，沉沙会盖压溶泄区植被，对其生长产生不利影响；机械含油废水中的油污粘结在地表，对表层土壤理化性质会产生影响，不利于地表植被恢复。因此，在施工过程需加强废污水管理，严格执行水环境保护措施，禁止随意排放。</w:t>
      </w:r>
    </w:p>
    <w:p>
      <w:pPr>
        <w:tabs>
          <w:tab w:val="right" w:leader="dot" w:pos="8302"/>
        </w:tabs>
        <w:ind w:firstLine="480"/>
        <w:rPr>
          <w:rFonts w:cs="Times New Roman"/>
        </w:rPr>
      </w:pPr>
      <w:r>
        <w:rPr>
          <w:rFonts w:cs="Times New Roman"/>
        </w:rPr>
        <w:t>（3）施工道路对陆生植物的影响</w:t>
      </w:r>
    </w:p>
    <w:p>
      <w:pPr>
        <w:tabs>
          <w:tab w:val="right" w:leader="dot" w:pos="8302"/>
        </w:tabs>
        <w:autoSpaceDE w:val="0"/>
        <w:autoSpaceDN w:val="0"/>
        <w:adjustRightInd w:val="0"/>
        <w:ind w:firstLine="480"/>
        <w:rPr>
          <w:rFonts w:cs="Times New Roman"/>
        </w:rPr>
      </w:pPr>
      <w:r>
        <w:rPr>
          <w:rFonts w:cs="Times New Roman"/>
          <w:szCs w:val="24"/>
        </w:rPr>
        <w:t>本工程修建1条进场道路，长7km；工程场内共布置施工道路9条，总长5.6km，分别衔接坝体区、各施工区和临时生产生活区、弃渣场、下游料场。施工道路占地较为分散，地表多为砾石覆盖，植被稀疏。区域植被以由驼绒藜群系构成的荒漠草原为主，植物物种有驼绒藜、短叶假木贼、地肤、沙生针茅、膜果麻黄等，群落</w:t>
      </w:r>
      <w:r>
        <w:rPr>
          <w:rFonts w:hint="eastAsia" w:cs="Times New Roman"/>
          <w:szCs w:val="24"/>
          <w:lang w:eastAsia="zh-CN"/>
        </w:rPr>
        <w:t>植盖度</w:t>
      </w:r>
      <w:r>
        <w:rPr>
          <w:rFonts w:cs="Times New Roman"/>
          <w:szCs w:val="24"/>
        </w:rPr>
        <w:t>10～15%。</w:t>
      </w:r>
      <w:r>
        <w:rPr>
          <w:rFonts w:cs="Times New Roman"/>
          <w:spacing w:val="4"/>
          <w:szCs w:val="24"/>
        </w:rPr>
        <w:t>道路建设</w:t>
      </w:r>
      <w:r>
        <w:rPr>
          <w:rFonts w:cs="Times New Roman"/>
          <w:szCs w:val="24"/>
        </w:rPr>
        <w:t>对陆生植物的影响主要表现为占地</w:t>
      </w:r>
      <w:r>
        <w:rPr>
          <w:rFonts w:cs="Times New Roman"/>
          <w:spacing w:val="4"/>
          <w:szCs w:val="24"/>
        </w:rPr>
        <w:t>对其造成的破坏，由于这些植物在区域广泛分布，因此不会对其种类产生较大的影响。在工程施工结束后，可通过植被恢复来减免不利影响。</w:t>
      </w:r>
      <w:r>
        <w:rPr>
          <w:rFonts w:cs="Times New Roman"/>
          <w:spacing w:val="4"/>
          <w:kern w:val="0"/>
          <w:szCs w:val="24"/>
        </w:rPr>
        <w:t>施工期加强施工人员教育，严禁超路面范围行驶，避免扩大施工扰动范围；施工结束后临时道路占地区应结合水土保持措施进行植被恢复，以减免对陆生植物的影响。</w:t>
      </w:r>
    </w:p>
    <w:p>
      <w:pPr>
        <w:pStyle w:val="62"/>
        <w:rPr>
          <w:rFonts w:cs="Times New Roman"/>
        </w:rPr>
      </w:pPr>
      <w:r>
        <w:rPr>
          <w:rFonts w:cs="Times New Roman"/>
        </w:rPr>
        <w:t>5.5.3.2 运行期对植物影响分析</w:t>
      </w:r>
    </w:p>
    <w:p>
      <w:pPr>
        <w:tabs>
          <w:tab w:val="right" w:leader="dot" w:pos="8302"/>
        </w:tabs>
        <w:autoSpaceDE w:val="0"/>
        <w:autoSpaceDN w:val="0"/>
        <w:ind w:firstLine="480"/>
        <w:rPr>
          <w:rFonts w:cs="Times New Roman" w:eastAsiaTheme="minorEastAsia"/>
        </w:rPr>
      </w:pPr>
      <w:r>
        <w:rPr>
          <w:rFonts w:cs="Times New Roman" w:eastAsiaTheme="minorEastAsia"/>
        </w:rPr>
        <w:t>（1）工程占地对植物的影响</w:t>
      </w:r>
    </w:p>
    <w:p>
      <w:pPr>
        <w:tabs>
          <w:tab w:val="right" w:leader="dot" w:pos="8302"/>
        </w:tabs>
        <w:autoSpaceDE w:val="0"/>
        <w:autoSpaceDN w:val="0"/>
        <w:ind w:firstLine="480"/>
        <w:rPr>
          <w:rFonts w:cs="Times New Roman" w:eastAsiaTheme="minorEastAsia"/>
        </w:rPr>
      </w:pPr>
      <w:r>
        <w:rPr>
          <w:rFonts w:cs="Times New Roman" w:eastAsiaTheme="minorEastAsia"/>
        </w:rPr>
        <w:t>工程永久占地总面积30.59hm</w:t>
      </w:r>
      <w:r>
        <w:rPr>
          <w:rFonts w:cs="Times New Roman" w:eastAsiaTheme="minorEastAsia"/>
          <w:vertAlign w:val="superscript"/>
        </w:rPr>
        <w:t>2</w:t>
      </w:r>
      <w:r>
        <w:rPr>
          <w:rFonts w:cs="Times New Roman" w:eastAsiaTheme="minorEastAsia"/>
        </w:rPr>
        <w:t>,包括水库淹没区19.36hm</w:t>
      </w:r>
      <w:r>
        <w:rPr>
          <w:rFonts w:cs="Times New Roman" w:eastAsiaTheme="minorEastAsia"/>
          <w:vertAlign w:val="superscript"/>
        </w:rPr>
        <w:t>2</w:t>
      </w:r>
      <w:r>
        <w:rPr>
          <w:rFonts w:cs="Times New Roman" w:eastAsiaTheme="minorEastAsia"/>
        </w:rPr>
        <w:t>，进库永久道路、弃渣场及管理站房11.23hm</w:t>
      </w:r>
      <w:r>
        <w:rPr>
          <w:rFonts w:cs="Times New Roman" w:eastAsiaTheme="minorEastAsia"/>
          <w:vertAlign w:val="superscript"/>
        </w:rPr>
        <w:t>2</w:t>
      </w:r>
      <w:r>
        <w:rPr>
          <w:rFonts w:cs="Times New Roman" w:eastAsiaTheme="minorEastAsia"/>
        </w:rPr>
        <w:t>，占地类型主要</w:t>
      </w:r>
      <w:r>
        <w:rPr>
          <w:rFonts w:hint="eastAsia" w:cs="Times New Roman" w:eastAsiaTheme="minorEastAsia"/>
          <w:lang w:eastAsia="zh-CN"/>
        </w:rPr>
        <w:t>为</w:t>
      </w:r>
      <w:r>
        <w:rPr>
          <w:rFonts w:cs="Times New Roman" w:eastAsiaTheme="minorEastAsia"/>
        </w:rPr>
        <w:t>草地，以及少量河流水面、滩涂。根据永久</w:t>
      </w:r>
      <w:r>
        <w:rPr>
          <w:rFonts w:hint="eastAsia" w:cs="Times New Roman" w:eastAsiaTheme="minorEastAsia"/>
          <w:lang w:eastAsia="zh-CN"/>
        </w:rPr>
        <w:t>占用地区植被</w:t>
      </w:r>
      <w:r>
        <w:rPr>
          <w:rFonts w:cs="Times New Roman" w:eastAsiaTheme="minorEastAsia"/>
        </w:rPr>
        <w:t>调查成果，区域植被以由羊茅群系构成的山地草原为主，植物物种以羊茅为建群种，伴生有芨芨草、冷蒿、早熟禾、骆驼刺、麻叶荨麻、白刺、柠条锦鸡儿、小蓬等，群落</w:t>
      </w:r>
      <w:r>
        <w:rPr>
          <w:rFonts w:hint="eastAsia" w:cs="Times New Roman" w:eastAsiaTheme="minorEastAsia"/>
          <w:lang w:eastAsia="zh-CN"/>
        </w:rPr>
        <w:t>植盖度</w:t>
      </w:r>
      <w:r>
        <w:rPr>
          <w:rFonts w:cs="Times New Roman" w:eastAsiaTheme="minorEastAsia"/>
        </w:rPr>
        <w:t>约10~30%，无重点保护植物分布。工程运行期对植物的影响主要表现为水库淹没、工程永久占地对植物的一次性破坏并由此产生一定的生物量损失，</w:t>
      </w:r>
      <w:r>
        <w:rPr>
          <w:rFonts w:hint="eastAsia" w:cs="Times New Roman" w:eastAsiaTheme="minorEastAsia"/>
          <w:lang w:eastAsia="zh-CN"/>
        </w:rPr>
        <w:t>占用地区植被将</w:t>
      </w:r>
      <w:r>
        <w:rPr>
          <w:rFonts w:cs="Times New Roman" w:eastAsiaTheme="minorEastAsia"/>
        </w:rPr>
        <w:t>被水库水面或永久建筑物所替代。由于工程永久占地面积有限，且分布植物以常见荒漠植物为主，周边区域广泛分布，因此不会对其种类产生明显影响，造成的损失较小。同时，随着运行期间管理区绿化措施的实施，</w:t>
      </w:r>
      <w:r>
        <w:rPr>
          <w:rFonts w:hint="eastAsia" w:cs="Times New Roman" w:eastAsiaTheme="minorEastAsia"/>
          <w:lang w:eastAsia="zh-CN"/>
        </w:rPr>
        <w:t>将</w:t>
      </w:r>
      <w:r>
        <w:rPr>
          <w:rFonts w:cs="Times New Roman" w:eastAsiaTheme="minorEastAsia"/>
        </w:rPr>
        <w:t>进一步减少工程运行对区域陆生植物的影响。</w:t>
      </w:r>
    </w:p>
    <w:p>
      <w:pPr>
        <w:tabs>
          <w:tab w:val="right" w:leader="dot" w:pos="8302"/>
        </w:tabs>
        <w:autoSpaceDE w:val="0"/>
        <w:autoSpaceDN w:val="0"/>
        <w:ind w:firstLine="480"/>
        <w:rPr>
          <w:rFonts w:cs="Times New Roman" w:eastAsiaTheme="minorEastAsia"/>
        </w:rPr>
      </w:pPr>
      <w:r>
        <w:rPr>
          <w:rFonts w:cs="Times New Roman" w:eastAsiaTheme="minorEastAsia"/>
        </w:rPr>
        <w:t>（2）水文情势变化对下游河段植被的影响</w:t>
      </w:r>
    </w:p>
    <w:p>
      <w:pPr>
        <w:tabs>
          <w:tab w:val="right" w:leader="dot" w:pos="8302"/>
        </w:tabs>
        <w:autoSpaceDE w:val="0"/>
        <w:autoSpaceDN w:val="0"/>
        <w:ind w:firstLine="480"/>
        <w:rPr>
          <w:rFonts w:cs="Times New Roman" w:eastAsiaTheme="minorEastAsia"/>
        </w:rPr>
      </w:pPr>
      <w:r>
        <w:rPr>
          <w:rFonts w:cs="Times New Roman" w:eastAsiaTheme="minorEastAsia"/>
          <w:kern w:val="0"/>
        </w:rPr>
        <w:fldChar w:fldCharType="begin"/>
      </w:r>
      <w:r>
        <w:rPr>
          <w:rFonts w:cs="Times New Roman" w:eastAsiaTheme="minorEastAsia"/>
          <w:kern w:val="0"/>
        </w:rPr>
        <w:instrText xml:space="preserve"> = 1 \* GB3 </w:instrText>
      </w:r>
      <w:r>
        <w:rPr>
          <w:rFonts w:cs="Times New Roman" w:eastAsiaTheme="minorEastAsia"/>
          <w:kern w:val="0"/>
        </w:rPr>
        <w:fldChar w:fldCharType="separate"/>
      </w:r>
      <w:r>
        <w:rPr>
          <w:rFonts w:hint="eastAsia" w:ascii="宋体" w:hAnsi="宋体" w:cs="宋体"/>
          <w:kern w:val="0"/>
        </w:rPr>
        <w:t>①</w:t>
      </w:r>
      <w:r>
        <w:rPr>
          <w:rFonts w:cs="Times New Roman" w:eastAsiaTheme="minorEastAsia"/>
          <w:kern w:val="0"/>
        </w:rPr>
        <w:fldChar w:fldCharType="end"/>
      </w:r>
      <w:r>
        <w:rPr>
          <w:rFonts w:cs="Times New Roman" w:eastAsiaTheme="minorEastAsia"/>
          <w:kern w:val="0"/>
        </w:rPr>
        <w:t>下游影响河段植被概况</w:t>
      </w:r>
    </w:p>
    <w:p>
      <w:pPr>
        <w:tabs>
          <w:tab w:val="right" w:leader="dot" w:pos="8302"/>
        </w:tabs>
        <w:autoSpaceDE w:val="0"/>
        <w:autoSpaceDN w:val="0"/>
        <w:ind w:firstLine="480"/>
        <w:rPr>
          <w:rFonts w:cs="Times New Roman" w:eastAsiaTheme="minorEastAsia"/>
        </w:rPr>
      </w:pPr>
      <w:r>
        <w:rPr>
          <w:rFonts w:cs="Times New Roman" w:eastAsiaTheme="minorEastAsia"/>
          <w:kern w:val="0"/>
        </w:rPr>
        <w:t>根据调查，坝址至出山口长约6km河段，河谷较开阔，</w:t>
      </w:r>
      <w:r>
        <w:rPr>
          <w:rFonts w:cs="Times New Roman" w:eastAsiaTheme="minorEastAsia"/>
          <w:kern w:val="0"/>
          <w:szCs w:val="20"/>
        </w:rPr>
        <w:t>基本呈“U”型谷，河漫滩略发育，地表多为卵砾石，两岸山体陡峭，多为基岩裸露，局部坡地发育有以驼绒藜群系为主的荒漠草地，植物物种主要有驼绒藜、鹅观草、短叶假木贼、地肤、沙生针茅、膜果麻黄等，群落</w:t>
      </w:r>
      <w:r>
        <w:rPr>
          <w:rFonts w:hint="eastAsia" w:cs="Times New Roman" w:eastAsiaTheme="minorEastAsia"/>
          <w:kern w:val="0"/>
          <w:szCs w:val="20"/>
          <w:lang w:eastAsia="zh-CN"/>
        </w:rPr>
        <w:t>植盖度</w:t>
      </w:r>
      <w:r>
        <w:rPr>
          <w:rFonts w:cs="Times New Roman" w:eastAsiaTheme="minorEastAsia"/>
          <w:kern w:val="0"/>
          <w:szCs w:val="20"/>
        </w:rPr>
        <w:t>10～25%。河谷区无高大乔木生长，由于代尔昆代河径流量较小，且河床下渗严重，通常情况下，坝址至出山口段除7、8月份有地表明流外，其余时间地表水基本下渗，处于断流状态，河道两岸植被生长主要依靠自然降水。出山口以下，河道进入山前倾斜平原，其间无支流汇入，处于径流损失区，河道常年无地表径流，河水以地下潜流形式向下游排泄，河道两岸以砾石戈壁为主，植被稀疏，零星生长有合头草、柽柳、戈壁藜、盐生草、霸王、中麻黄等荒漠植被，</w:t>
      </w:r>
      <w:r>
        <w:rPr>
          <w:rFonts w:hint="eastAsia" w:cs="Times New Roman" w:eastAsiaTheme="minorEastAsia"/>
          <w:kern w:val="0"/>
          <w:szCs w:val="20"/>
          <w:lang w:eastAsia="zh-CN"/>
        </w:rPr>
        <w:t>植被盖度</w:t>
      </w:r>
      <w:r>
        <w:rPr>
          <w:rFonts w:cs="Times New Roman" w:eastAsiaTheme="minorEastAsia"/>
          <w:kern w:val="0"/>
          <w:szCs w:val="20"/>
        </w:rPr>
        <w:t>不足10%，区域植被生长主要依靠自然降水。</w:t>
      </w:r>
    </w:p>
    <w:p>
      <w:pPr>
        <w:tabs>
          <w:tab w:val="right" w:leader="dot" w:pos="8302"/>
        </w:tabs>
        <w:autoSpaceDE w:val="0"/>
        <w:autoSpaceDN w:val="0"/>
        <w:ind w:firstLine="480"/>
        <w:rPr>
          <w:rFonts w:cs="Times New Roman" w:eastAsiaTheme="minorEastAsia"/>
        </w:rPr>
      </w:pPr>
      <w:r>
        <w:rPr>
          <w:rFonts w:cs="Times New Roman" w:eastAsiaTheme="minorEastAsia"/>
          <w:kern w:val="0"/>
        </w:rPr>
        <w:fldChar w:fldCharType="begin"/>
      </w:r>
      <w:r>
        <w:rPr>
          <w:rFonts w:cs="Times New Roman" w:eastAsiaTheme="minorEastAsia"/>
          <w:kern w:val="0"/>
        </w:rPr>
        <w:instrText xml:space="preserve"> = 2 \* GB3 </w:instrText>
      </w:r>
      <w:r>
        <w:rPr>
          <w:rFonts w:cs="Times New Roman" w:eastAsiaTheme="minorEastAsia"/>
          <w:kern w:val="0"/>
        </w:rPr>
        <w:fldChar w:fldCharType="separate"/>
      </w:r>
      <w:r>
        <w:rPr>
          <w:rFonts w:hint="eastAsia" w:ascii="宋体" w:hAnsi="宋体" w:cs="宋体"/>
          <w:kern w:val="0"/>
        </w:rPr>
        <w:t>②</w:t>
      </w:r>
      <w:r>
        <w:rPr>
          <w:rFonts w:cs="Times New Roman" w:eastAsiaTheme="minorEastAsia"/>
          <w:kern w:val="0"/>
        </w:rPr>
        <w:fldChar w:fldCharType="end"/>
      </w:r>
      <w:r>
        <w:rPr>
          <w:rFonts w:cs="Times New Roman" w:eastAsiaTheme="minorEastAsia"/>
          <w:kern w:val="0"/>
        </w:rPr>
        <w:t>对下游影响河段天然植被影响分析</w:t>
      </w:r>
    </w:p>
    <w:p>
      <w:pPr>
        <w:tabs>
          <w:tab w:val="right" w:leader="dot" w:pos="8302"/>
        </w:tabs>
        <w:autoSpaceDE w:val="0"/>
        <w:autoSpaceDN w:val="0"/>
        <w:ind w:firstLine="480"/>
        <w:rPr>
          <w:rFonts w:cs="Times New Roman" w:eastAsiaTheme="minorEastAsia"/>
          <w:kern w:val="0"/>
        </w:rPr>
      </w:pPr>
      <w:r>
        <w:rPr>
          <w:rFonts w:cs="Times New Roman" w:eastAsiaTheme="minorEastAsia"/>
          <w:kern w:val="0"/>
        </w:rPr>
        <w:t>工程运行</w:t>
      </w:r>
      <w:r>
        <w:rPr>
          <w:rFonts w:hint="eastAsia" w:cs="Times New Roman" w:eastAsiaTheme="minorEastAsia"/>
          <w:kern w:val="0"/>
          <w:lang w:eastAsia="zh-CN"/>
        </w:rPr>
        <w:t>将</w:t>
      </w:r>
      <w:r>
        <w:rPr>
          <w:rFonts w:cs="Times New Roman" w:eastAsiaTheme="minorEastAsia"/>
          <w:kern w:val="0"/>
        </w:rPr>
        <w:t>导致坝址下游河段水文情势产生变化，受水库供水及蒸发渗漏损失的影响，水库下泄水量</w:t>
      </w:r>
      <w:r>
        <w:rPr>
          <w:rFonts w:hint="eastAsia" w:cs="Times New Roman" w:eastAsiaTheme="minorEastAsia"/>
          <w:kern w:val="0"/>
          <w:lang w:eastAsia="zh-CN"/>
        </w:rPr>
        <w:t>将</w:t>
      </w:r>
      <w:r>
        <w:rPr>
          <w:rFonts w:cs="Times New Roman" w:eastAsiaTheme="minorEastAsia"/>
          <w:kern w:val="0"/>
        </w:rPr>
        <w:t>显著减少。根据下游影响河段植被调查成果可知，坝址下游无河谷林草植被分布，现状情况下，下游影响河段下渗严重，已经基本无地表明流，影响河段两岸分布的植被主要依靠自然降水，因此，工程运行后，坝址下游下泄水量减少对影响河段两岸分布的荒漠植被生境条件基本无影响。</w:t>
      </w:r>
    </w:p>
    <w:p>
      <w:pPr>
        <w:tabs>
          <w:tab w:val="right" w:leader="dot" w:pos="8302"/>
        </w:tabs>
        <w:autoSpaceDE w:val="0"/>
        <w:autoSpaceDN w:val="0"/>
        <w:ind w:firstLine="480"/>
        <w:rPr>
          <w:rFonts w:cs="Times New Roman" w:eastAsiaTheme="minorEastAsia"/>
        </w:rPr>
      </w:pPr>
      <w:r>
        <w:rPr>
          <w:rFonts w:cs="Times New Roman" w:eastAsiaTheme="minorEastAsia"/>
        </w:rPr>
        <w:t>（2）工程运行对下马崖乡泉水出露区天然植被的影响分析</w:t>
      </w:r>
    </w:p>
    <w:p>
      <w:pPr>
        <w:tabs>
          <w:tab w:val="right" w:leader="dot" w:pos="8302"/>
        </w:tabs>
        <w:autoSpaceDE w:val="0"/>
        <w:autoSpaceDN w:val="0"/>
        <w:ind w:firstLine="480"/>
        <w:rPr>
          <w:rFonts w:cs="Times New Roman" w:eastAsiaTheme="minorEastAsia"/>
        </w:rPr>
      </w:pPr>
      <w:r>
        <w:rPr>
          <w:rFonts w:cs="Times New Roman" w:eastAsiaTheme="minorEastAsia"/>
          <w:kern w:val="0"/>
        </w:rPr>
        <w:fldChar w:fldCharType="begin"/>
      </w:r>
      <w:r>
        <w:rPr>
          <w:rFonts w:cs="Times New Roman" w:eastAsiaTheme="minorEastAsia"/>
          <w:kern w:val="0"/>
        </w:rPr>
        <w:instrText xml:space="preserve"> = 1 \* GB3 </w:instrText>
      </w:r>
      <w:r>
        <w:rPr>
          <w:rFonts w:cs="Times New Roman" w:eastAsiaTheme="minorEastAsia"/>
          <w:kern w:val="0"/>
        </w:rPr>
        <w:fldChar w:fldCharType="separate"/>
      </w:r>
      <w:r>
        <w:rPr>
          <w:rFonts w:hint="eastAsia" w:ascii="宋体" w:hAnsi="宋体" w:cs="宋体"/>
          <w:kern w:val="0"/>
        </w:rPr>
        <w:t>①</w:t>
      </w:r>
      <w:r>
        <w:rPr>
          <w:rFonts w:cs="Times New Roman" w:eastAsiaTheme="minorEastAsia"/>
          <w:kern w:val="0"/>
        </w:rPr>
        <w:fldChar w:fldCharType="end"/>
      </w:r>
      <w:r>
        <w:rPr>
          <w:rFonts w:cs="Times New Roman" w:eastAsiaTheme="minorEastAsia"/>
          <w:kern w:val="0"/>
        </w:rPr>
        <w:t>马崖乡泉水出露区植被概况</w:t>
      </w:r>
    </w:p>
    <w:p>
      <w:pPr>
        <w:tabs>
          <w:tab w:val="right" w:leader="dot" w:pos="8302"/>
        </w:tabs>
        <w:autoSpaceDE w:val="0"/>
        <w:autoSpaceDN w:val="0"/>
        <w:ind w:firstLine="480"/>
        <w:rPr>
          <w:rFonts w:cs="Times New Roman" w:eastAsiaTheme="minorEastAsia"/>
        </w:rPr>
      </w:pPr>
      <w:r>
        <w:rPr>
          <w:rFonts w:cs="Times New Roman" w:eastAsiaTheme="minorEastAsia"/>
          <w:kern w:val="0"/>
        </w:rPr>
        <w:t>下马崖泉水出露带由于地下水埋深较浅，水分条件相对较好，在下马崖水库西南侧发育有以多枝柽柳群系为主的灌丛植被，以多枝柽柳为建群种，伴生有芦苇、苦豆子、花花柴、骆驼刺、大蓟等，郁闭度0.5左右。根据现场调查情况，下马崖乡泉水出露区灌丛植被生长主要依靠区域埋深较浅的地下水，现状长势</w:t>
      </w:r>
      <w:r>
        <w:rPr>
          <w:rFonts w:hint="eastAsia" w:cs="Times New Roman" w:eastAsiaTheme="minorEastAsia"/>
          <w:kern w:val="0"/>
          <w:lang w:eastAsia="zh-CN"/>
        </w:rPr>
        <w:t>良</w:t>
      </w:r>
      <w:r>
        <w:rPr>
          <w:rFonts w:cs="Times New Roman" w:eastAsiaTheme="minorEastAsia"/>
          <w:kern w:val="0"/>
        </w:rPr>
        <w:t>好，植被较为茂密。</w:t>
      </w:r>
    </w:p>
    <w:p>
      <w:pPr>
        <w:tabs>
          <w:tab w:val="right" w:leader="dot" w:pos="8302"/>
        </w:tabs>
        <w:autoSpaceDE w:val="0"/>
        <w:autoSpaceDN w:val="0"/>
        <w:ind w:firstLine="480"/>
        <w:rPr>
          <w:rFonts w:cs="Times New Roman" w:eastAsiaTheme="minorEastAsia"/>
        </w:rPr>
      </w:pPr>
      <w:r>
        <w:rPr>
          <w:rFonts w:cs="Times New Roman" w:eastAsiaTheme="minorEastAsia"/>
          <w:kern w:val="0"/>
        </w:rPr>
        <w:fldChar w:fldCharType="begin"/>
      </w:r>
      <w:r>
        <w:rPr>
          <w:rFonts w:cs="Times New Roman" w:eastAsiaTheme="minorEastAsia"/>
          <w:kern w:val="0"/>
        </w:rPr>
        <w:instrText xml:space="preserve"> = 2 \* GB3 </w:instrText>
      </w:r>
      <w:r>
        <w:rPr>
          <w:rFonts w:cs="Times New Roman" w:eastAsiaTheme="minorEastAsia"/>
          <w:kern w:val="0"/>
        </w:rPr>
        <w:fldChar w:fldCharType="separate"/>
      </w:r>
      <w:r>
        <w:rPr>
          <w:rFonts w:hint="eastAsia" w:ascii="宋体" w:hAnsi="宋体" w:cs="宋体"/>
          <w:kern w:val="0"/>
        </w:rPr>
        <w:t>②</w:t>
      </w:r>
      <w:r>
        <w:rPr>
          <w:rFonts w:cs="Times New Roman" w:eastAsiaTheme="minorEastAsia"/>
          <w:kern w:val="0"/>
        </w:rPr>
        <w:fldChar w:fldCharType="end"/>
      </w:r>
      <w:r>
        <w:rPr>
          <w:rFonts w:cs="Times New Roman" w:eastAsiaTheme="minorEastAsia"/>
          <w:kern w:val="0"/>
        </w:rPr>
        <w:t>工程运行对下马崖乡泉水出露区天然植被的影响</w:t>
      </w:r>
    </w:p>
    <w:p>
      <w:pPr>
        <w:tabs>
          <w:tab w:val="right" w:leader="dot" w:pos="8302"/>
        </w:tabs>
        <w:autoSpaceDE w:val="0"/>
        <w:autoSpaceDN w:val="0"/>
        <w:ind w:firstLine="480"/>
        <w:rPr>
          <w:rFonts w:cs="Times New Roman" w:eastAsiaTheme="minorEastAsia"/>
        </w:rPr>
      </w:pPr>
      <w:r>
        <w:rPr>
          <w:rFonts w:cs="Times New Roman" w:eastAsiaTheme="minorEastAsia"/>
          <w:kern w:val="0"/>
        </w:rPr>
        <w:t>哈尔里克山山前地下潜流在下马崖乡区域出露形成泉水，泉水引入下马崖水库用于农业灌溉。代尔昆代郭勒河发源于哈尔里克山，河流在出山口以下以地下潜流的型式向下游排泄，是下马崖乡泉水出露区的补给来源之一。工程运行后，受水库供水及蒸发渗漏损失的影响，水库下泄水量</w:t>
      </w:r>
      <w:r>
        <w:rPr>
          <w:rFonts w:hint="eastAsia" w:cs="Times New Roman" w:eastAsiaTheme="minorEastAsia"/>
          <w:kern w:val="0"/>
          <w:lang w:eastAsia="zh-CN"/>
        </w:rPr>
        <w:t>将</w:t>
      </w:r>
      <w:r>
        <w:rPr>
          <w:rFonts w:cs="Times New Roman" w:eastAsiaTheme="minorEastAsia"/>
          <w:kern w:val="0"/>
        </w:rPr>
        <w:t>显著减少，50%来水频率下，坝址下泄水量由现状的779.70m</w:t>
      </w:r>
      <w:r>
        <w:rPr>
          <w:rFonts w:cs="Times New Roman" w:eastAsiaTheme="minorEastAsia"/>
          <w:kern w:val="0"/>
          <w:vertAlign w:val="superscript"/>
        </w:rPr>
        <w:t>3</w:t>
      </w:r>
      <w:r>
        <w:rPr>
          <w:rFonts w:cs="Times New Roman" w:eastAsiaTheme="minorEastAsia"/>
          <w:kern w:val="0"/>
        </w:rPr>
        <w:t>减少至395.26m</w:t>
      </w:r>
      <w:r>
        <w:rPr>
          <w:rFonts w:cs="Times New Roman" w:eastAsiaTheme="minorEastAsia"/>
          <w:kern w:val="0"/>
          <w:vertAlign w:val="superscript"/>
        </w:rPr>
        <w:t>3</w:t>
      </w:r>
      <w:r>
        <w:rPr>
          <w:rFonts w:cs="Times New Roman" w:eastAsiaTheme="minorEastAsia"/>
          <w:kern w:val="0"/>
        </w:rPr>
        <w:t>，减少了384.44m</w:t>
      </w:r>
      <w:r>
        <w:rPr>
          <w:rFonts w:cs="Times New Roman" w:eastAsiaTheme="minorEastAsia"/>
          <w:kern w:val="0"/>
          <w:vertAlign w:val="superscript"/>
        </w:rPr>
        <w:t>3</w:t>
      </w:r>
      <w:r>
        <w:rPr>
          <w:rFonts w:cs="Times New Roman" w:eastAsiaTheme="minorEastAsia"/>
          <w:kern w:val="0"/>
        </w:rPr>
        <w:t>，相应的，代尔昆代郭勒河对下马崖乡泉水出露区地下水的补给</w:t>
      </w:r>
      <w:r>
        <w:rPr>
          <w:rFonts w:hint="eastAsia" w:cs="Times New Roman" w:eastAsiaTheme="minorEastAsia"/>
          <w:kern w:val="0"/>
          <w:lang w:eastAsia="zh-CN"/>
        </w:rPr>
        <w:t>将</w:t>
      </w:r>
      <w:r>
        <w:rPr>
          <w:rFonts w:cs="Times New Roman" w:eastAsiaTheme="minorEastAsia"/>
          <w:kern w:val="0"/>
        </w:rPr>
        <w:t>有所减少。根据地下水影响预测成果，代尔昆代水库工程的建设对下马崖乡一带地下水的影响有限，对地下水的影响范围为下马崖乡富水地段，工程建设运行不会导致下马崖乡泉水出露区地下水水位明显下降，该区域分布的以多枝柽柳群系为主的灌丛植被生境条件仍然能够得到维持，不会出现退化甚至衰败的现象。</w:t>
      </w:r>
    </w:p>
    <w:p>
      <w:pPr>
        <w:pStyle w:val="4"/>
        <w:rPr>
          <w:rFonts w:cs="Times New Roman"/>
        </w:rPr>
      </w:pPr>
      <w:r>
        <w:rPr>
          <w:rFonts w:cs="Times New Roman"/>
        </w:rPr>
        <w:t>5.5.4 对陆生动物的影响分析</w:t>
      </w:r>
    </w:p>
    <w:p>
      <w:pPr>
        <w:pStyle w:val="62"/>
        <w:rPr>
          <w:rFonts w:cs="Times New Roman"/>
        </w:rPr>
      </w:pPr>
      <w:r>
        <w:rPr>
          <w:rFonts w:cs="Times New Roman"/>
        </w:rPr>
        <w:t>5.5.4.1 工程施工对陆生动物的影响</w:t>
      </w:r>
    </w:p>
    <w:p>
      <w:pPr>
        <w:tabs>
          <w:tab w:val="right" w:leader="dot" w:pos="8302"/>
        </w:tabs>
        <w:autoSpaceDE w:val="0"/>
        <w:autoSpaceDN w:val="0"/>
        <w:ind w:firstLine="480"/>
        <w:rPr>
          <w:rFonts w:cs="Times New Roman" w:eastAsiaTheme="minorEastAsia"/>
          <w:kern w:val="0"/>
          <w:szCs w:val="20"/>
          <w:lang w:val="zh-CN"/>
        </w:rPr>
      </w:pPr>
      <w:r>
        <w:rPr>
          <w:rFonts w:cs="Times New Roman" w:eastAsiaTheme="minorEastAsia"/>
          <w:kern w:val="0"/>
          <w:szCs w:val="20"/>
        </w:rPr>
        <w:t>工程施工对陆生动物的</w:t>
      </w:r>
      <w:r>
        <w:rPr>
          <w:rFonts w:cs="Times New Roman" w:eastAsiaTheme="minorEastAsia"/>
          <w:kern w:val="0"/>
          <w:szCs w:val="20"/>
          <w:lang w:val="zh-CN"/>
        </w:rPr>
        <w:t>影响</w:t>
      </w:r>
      <w:r>
        <w:rPr>
          <w:rFonts w:cs="Times New Roman" w:eastAsiaTheme="minorEastAsia"/>
          <w:kern w:val="0"/>
          <w:szCs w:val="20"/>
        </w:rPr>
        <w:t>主要表现为工程占地、人员进驻、施工活动等对周围陆生动物栖息、觅食以及活动范围造成影响，但其影响仅限于施工区范围内。由于不同野生动物的活动能力、生活习性各有不同，工程施工对各类</w:t>
      </w:r>
      <w:r>
        <w:rPr>
          <w:rFonts w:cs="Times New Roman" w:eastAsiaTheme="minorEastAsia"/>
          <w:kern w:val="0"/>
          <w:szCs w:val="20"/>
          <w:lang w:val="zh-CN"/>
        </w:rPr>
        <w:t>陆生动物的影响程度亦有所不同，主要表现如下：</w:t>
      </w:r>
    </w:p>
    <w:p>
      <w:pPr>
        <w:tabs>
          <w:tab w:val="right" w:leader="dot" w:pos="8302"/>
        </w:tabs>
        <w:autoSpaceDE w:val="0"/>
        <w:autoSpaceDN w:val="0"/>
        <w:ind w:firstLine="480"/>
        <w:rPr>
          <w:rFonts w:cs="Times New Roman" w:eastAsiaTheme="minorEastAsia"/>
          <w:kern w:val="0"/>
          <w:szCs w:val="20"/>
        </w:rPr>
      </w:pPr>
      <w:r>
        <w:rPr>
          <w:rFonts w:cs="Times New Roman" w:eastAsiaTheme="minorEastAsia"/>
          <w:kern w:val="0"/>
          <w:szCs w:val="20"/>
          <w:lang w:val="zh-CN"/>
        </w:rPr>
        <w:t>（1）对两栖、爬行动物的影响</w:t>
      </w:r>
    </w:p>
    <w:p>
      <w:pPr>
        <w:tabs>
          <w:tab w:val="right" w:leader="dot" w:pos="8302"/>
        </w:tabs>
        <w:autoSpaceDE w:val="0"/>
        <w:autoSpaceDN w:val="0"/>
        <w:ind w:firstLine="480"/>
        <w:rPr>
          <w:rFonts w:cs="Times New Roman" w:eastAsiaTheme="minorEastAsia"/>
          <w:kern w:val="0"/>
          <w:szCs w:val="20"/>
          <w:lang w:val="zh-CN"/>
        </w:rPr>
      </w:pPr>
      <w:r>
        <w:rPr>
          <w:rFonts w:cs="Times New Roman" w:eastAsiaTheme="minorEastAsia"/>
          <w:kern w:val="0"/>
          <w:szCs w:val="20"/>
        </w:rPr>
        <w:t>根据调查，工程区附近无两栖类动物绿蟾蜍分布。</w:t>
      </w:r>
      <w:r>
        <w:rPr>
          <w:rFonts w:cs="Times New Roman" w:eastAsiaTheme="minorEastAsia"/>
          <w:kern w:val="0"/>
          <w:szCs w:val="24"/>
        </w:rPr>
        <w:t>爬行类常见种有快步麻蜥、密点麻蜥等喜温耐旱荒漠种类。</w:t>
      </w:r>
      <w:r>
        <w:rPr>
          <w:rFonts w:cs="Times New Roman" w:eastAsiaTheme="minorEastAsia"/>
          <w:kern w:val="0"/>
          <w:szCs w:val="20"/>
          <w:lang w:val="zh-CN"/>
        </w:rPr>
        <w:t>虽然爬行动物的迁徙能力较强，但工程占地仍会对该地区的爬行动物的生存和种群繁衍造成不同程度的影响。</w:t>
      </w:r>
      <w:r>
        <w:rPr>
          <w:rFonts w:cs="Times New Roman" w:eastAsiaTheme="minorEastAsia"/>
          <w:kern w:val="0"/>
          <w:szCs w:val="24"/>
        </w:rPr>
        <w:t>快步麻蜥、密点麻蜥</w:t>
      </w:r>
      <w:r>
        <w:rPr>
          <w:rFonts w:cs="Times New Roman" w:eastAsiaTheme="minorEastAsia"/>
          <w:kern w:val="0"/>
          <w:szCs w:val="20"/>
          <w:lang w:val="zh-CN"/>
        </w:rPr>
        <w:t>分布区域较广，适宜生存的生境较多，因此对于整个区域的种群数量影响不明显。需要注意的是，施工过程中的开挖、占压和植被破坏对于</w:t>
      </w:r>
      <w:r>
        <w:rPr>
          <w:rFonts w:cs="Times New Roman" w:eastAsiaTheme="minorEastAsia"/>
          <w:kern w:val="0"/>
          <w:szCs w:val="24"/>
        </w:rPr>
        <w:t>爬行类</w:t>
      </w:r>
      <w:r>
        <w:rPr>
          <w:rFonts w:cs="Times New Roman" w:eastAsiaTheme="minorEastAsia"/>
          <w:kern w:val="0"/>
          <w:szCs w:val="20"/>
          <w:lang w:val="zh-CN"/>
        </w:rPr>
        <w:t>的个体影响较大，尽管这种影响是短期的，但建议尽量减少施工现场的占压和开挖面积，把影响减少到最低程度。</w:t>
      </w:r>
    </w:p>
    <w:p>
      <w:pPr>
        <w:tabs>
          <w:tab w:val="right" w:leader="dot" w:pos="8302"/>
        </w:tabs>
        <w:autoSpaceDE w:val="0"/>
        <w:autoSpaceDN w:val="0"/>
        <w:ind w:firstLine="480"/>
        <w:rPr>
          <w:rFonts w:cs="Times New Roman" w:eastAsiaTheme="minorEastAsia"/>
          <w:kern w:val="0"/>
          <w:szCs w:val="20"/>
          <w:lang w:val="zh-CN"/>
        </w:rPr>
      </w:pPr>
      <w:r>
        <w:rPr>
          <w:rFonts w:cs="Times New Roman" w:eastAsiaTheme="minorEastAsia"/>
          <w:kern w:val="0"/>
          <w:szCs w:val="20"/>
          <w:lang w:val="zh-CN"/>
        </w:rPr>
        <w:t>（2）对鸟类的影响</w:t>
      </w:r>
    </w:p>
    <w:p>
      <w:pPr>
        <w:tabs>
          <w:tab w:val="right" w:leader="dot" w:pos="8302"/>
        </w:tabs>
        <w:autoSpaceDE w:val="0"/>
        <w:autoSpaceDN w:val="0"/>
        <w:ind w:firstLine="480"/>
        <w:rPr>
          <w:rFonts w:cs="Times New Roman" w:eastAsiaTheme="minorEastAsia"/>
          <w:kern w:val="0"/>
          <w:szCs w:val="20"/>
        </w:rPr>
      </w:pPr>
      <w:r>
        <w:rPr>
          <w:rFonts w:cs="Times New Roman" w:eastAsiaTheme="minorEastAsia"/>
          <w:kern w:val="0"/>
          <w:szCs w:val="20"/>
        </w:rPr>
        <w:t>施工临时占地区多为稀疏的山地草原植被，无高大乔木，自然条件较差，鸟类数量不多，以活动范围较为广泛的隼形目和雀形目为主，代表物种有鸢、白尾鹞、燕隼、灰背隼、红隼、岩鸽、斑鸠、杜鹃、楼燕、戴胜、伯劳、蓝胸佛法僧、喜鹊、树麻雀、黑胸麻雀等。其中鸢、苍鹰、白尾鹞、燕隼、灰背隼、红隼属于国家二级保护动物，工程淹没、占地区未见到保护鸟类营巢，偶有觅食个体出现。在工程施工过程中，工程永久及临时占地、迹地开挖等导致原有植被破坏，使部分珍稀鸟类觅食场所相应减少，由于工程占地面积相对较小，因此，对鸟类觅食的影响也不大。另外，施工机械、车辆的往来以及大量施工人员进驻等，对一些听觉和视觉灵敏的鸟类在一定程度上会起到驱赶作用，部分鸟类</w:t>
      </w:r>
      <w:r>
        <w:rPr>
          <w:rFonts w:hint="eastAsia" w:cs="Times New Roman" w:eastAsiaTheme="minorEastAsia"/>
          <w:kern w:val="0"/>
          <w:szCs w:val="20"/>
          <w:lang w:eastAsia="zh-CN"/>
        </w:rPr>
        <w:t>将</w:t>
      </w:r>
      <w:r>
        <w:rPr>
          <w:rFonts w:cs="Times New Roman" w:eastAsiaTheme="minorEastAsia"/>
          <w:kern w:val="0"/>
          <w:szCs w:val="20"/>
        </w:rPr>
        <w:t>不会再出现在该区域，而转向其它区域予以回避，但不会造成种群数量的改变，而且这种影响会随着施工的结束而消失。</w:t>
      </w:r>
    </w:p>
    <w:p>
      <w:pPr>
        <w:tabs>
          <w:tab w:val="right" w:leader="dot" w:pos="8302"/>
        </w:tabs>
        <w:autoSpaceDE w:val="0"/>
        <w:autoSpaceDN w:val="0"/>
        <w:ind w:firstLine="480"/>
        <w:rPr>
          <w:rFonts w:cs="Times New Roman" w:eastAsiaTheme="minorEastAsia"/>
          <w:kern w:val="0"/>
          <w:szCs w:val="20"/>
        </w:rPr>
      </w:pPr>
      <w:r>
        <w:rPr>
          <w:rFonts w:cs="Times New Roman" w:eastAsiaTheme="minorEastAsia"/>
          <w:kern w:val="0"/>
          <w:szCs w:val="20"/>
        </w:rPr>
        <w:t>（3）对兽类的影响</w:t>
      </w:r>
    </w:p>
    <w:p>
      <w:pPr>
        <w:tabs>
          <w:tab w:val="right" w:leader="dot" w:pos="8302"/>
        </w:tabs>
        <w:autoSpaceDE w:val="0"/>
        <w:autoSpaceDN w:val="0"/>
        <w:ind w:firstLine="480"/>
        <w:rPr>
          <w:rFonts w:cs="Times New Roman" w:eastAsiaTheme="minorEastAsia"/>
          <w:kern w:val="0"/>
          <w:szCs w:val="24"/>
        </w:rPr>
      </w:pPr>
      <w:r>
        <w:rPr>
          <w:rFonts w:cs="Times New Roman" w:eastAsiaTheme="minorEastAsia"/>
          <w:kern w:val="0"/>
          <w:szCs w:val="24"/>
        </w:rPr>
        <w:t>工程区所处河段地处低山区，植被条件较差，生境恶劣，因此工程区可见的野生动物主要是一些小型啮齿类动物，赤狐、北山羊等大型兽类非常罕见，主要活动于中、高山无人区域，工程区并非这类保护动物的重要觅食、栖息场所。</w:t>
      </w:r>
    </w:p>
    <w:p>
      <w:pPr>
        <w:tabs>
          <w:tab w:val="right" w:leader="dot" w:pos="8302"/>
        </w:tabs>
        <w:autoSpaceDE w:val="0"/>
        <w:autoSpaceDN w:val="0"/>
        <w:ind w:firstLine="480"/>
        <w:rPr>
          <w:rFonts w:cs="Times New Roman" w:eastAsiaTheme="minorEastAsia"/>
          <w:kern w:val="0"/>
          <w:szCs w:val="20"/>
        </w:rPr>
      </w:pPr>
      <w:r>
        <w:rPr>
          <w:rFonts w:cs="Times New Roman" w:eastAsiaTheme="minorEastAsia"/>
          <w:kern w:val="0"/>
          <w:szCs w:val="20"/>
          <w:lang w:val="zh-CN"/>
        </w:rPr>
        <w:t>工程建设区由于施工期间对部分小型兽类栖息地的破坏，</w:t>
      </w:r>
      <w:r>
        <w:rPr>
          <w:rFonts w:hint="eastAsia" w:cs="Times New Roman" w:eastAsiaTheme="minorEastAsia"/>
          <w:kern w:val="0"/>
          <w:szCs w:val="20"/>
          <w:lang w:val="zh-CN"/>
        </w:rPr>
        <w:t>将</w:t>
      </w:r>
      <w:r>
        <w:rPr>
          <w:rFonts w:cs="Times New Roman" w:eastAsiaTheme="minorEastAsia"/>
          <w:kern w:val="0"/>
          <w:szCs w:val="20"/>
          <w:lang w:val="zh-CN"/>
        </w:rPr>
        <w:t>造成其迁移和种群数量的减少；而伴随人类生活的鼠类，其种群数量会增加；与此相应，主要以鼠类为食的小型兽类</w:t>
      </w:r>
      <w:r>
        <w:rPr>
          <w:rFonts w:cs="Times New Roman" w:eastAsiaTheme="minorEastAsia"/>
          <w:kern w:val="0"/>
          <w:szCs w:val="20"/>
        </w:rPr>
        <w:t>种群数量会增加</w:t>
      </w:r>
      <w:r>
        <w:rPr>
          <w:rFonts w:cs="Times New Roman" w:eastAsiaTheme="minorEastAsia"/>
          <w:kern w:val="0"/>
          <w:szCs w:val="20"/>
          <w:lang w:val="zh-CN"/>
        </w:rPr>
        <w:t>。此外，工程</w:t>
      </w:r>
      <w:r>
        <w:rPr>
          <w:rFonts w:cs="Times New Roman" w:eastAsiaTheme="minorEastAsia"/>
          <w:kern w:val="0"/>
          <w:szCs w:val="20"/>
        </w:rPr>
        <w:t>施工期间爆破、施工机械、运输车辆噪声等也</w:t>
      </w:r>
      <w:r>
        <w:rPr>
          <w:rFonts w:hint="eastAsia" w:cs="Times New Roman" w:eastAsiaTheme="minorEastAsia"/>
          <w:kern w:val="0"/>
          <w:szCs w:val="20"/>
          <w:lang w:eastAsia="zh-CN"/>
        </w:rPr>
        <w:t>将</w:t>
      </w:r>
      <w:r>
        <w:rPr>
          <w:rFonts w:cs="Times New Roman" w:eastAsiaTheme="minorEastAsia"/>
          <w:kern w:val="0"/>
          <w:szCs w:val="20"/>
        </w:rPr>
        <w:t>导致当地或附近小型兽类向施工地带以外迁移。</w:t>
      </w:r>
      <w:r>
        <w:rPr>
          <w:rFonts w:cs="Times New Roman" w:eastAsiaTheme="minorEastAsia"/>
          <w:kern w:val="0"/>
          <w:szCs w:val="20"/>
          <w:lang w:val="zh-CN"/>
        </w:rPr>
        <w:t>综上所述，工程施工期对施工影响区内野生动物会产生一定影响，但影响程度及范围均较小，不会对野生动物的种群及数量产生较大影响，而且这种影响会随着施工的结束而消失。</w:t>
      </w:r>
    </w:p>
    <w:p>
      <w:pPr>
        <w:pStyle w:val="62"/>
        <w:rPr>
          <w:rFonts w:cs="Times New Roman"/>
        </w:rPr>
      </w:pPr>
      <w:r>
        <w:rPr>
          <w:rFonts w:cs="Times New Roman"/>
        </w:rPr>
        <w:t>5.5.4.2 工程运行对陆生动物的影响</w:t>
      </w:r>
    </w:p>
    <w:p>
      <w:pPr>
        <w:tabs>
          <w:tab w:val="right" w:leader="dot" w:pos="8302"/>
        </w:tabs>
        <w:autoSpaceDE w:val="0"/>
        <w:autoSpaceDN w:val="0"/>
        <w:adjustRightInd w:val="0"/>
        <w:ind w:firstLine="480"/>
        <w:rPr>
          <w:rFonts w:cs="Times New Roman" w:eastAsiaTheme="minorEastAsia"/>
          <w:kern w:val="0"/>
          <w:szCs w:val="20"/>
          <w:lang w:val="zh-CN"/>
        </w:rPr>
      </w:pPr>
      <w:r>
        <w:rPr>
          <w:rFonts w:cs="Times New Roman" w:eastAsiaTheme="minorEastAsia"/>
          <w:kern w:val="0"/>
          <w:szCs w:val="20"/>
          <w:lang w:val="zh-CN"/>
        </w:rPr>
        <w:t>工程永久建筑物附近分布的陆栖野生动物主要为常见于荒漠草原中的小型兽类、爬行类，如鼠类、</w:t>
      </w:r>
      <w:r>
        <w:rPr>
          <w:rFonts w:cs="Times New Roman" w:eastAsiaTheme="minorEastAsia"/>
          <w:kern w:val="0"/>
          <w:szCs w:val="24"/>
        </w:rPr>
        <w:t>蜥蜴类</w:t>
      </w:r>
      <w:r>
        <w:rPr>
          <w:rFonts w:cs="Times New Roman" w:eastAsiaTheme="minorEastAsia"/>
          <w:kern w:val="0"/>
          <w:szCs w:val="20"/>
          <w:lang w:val="zh-CN"/>
        </w:rPr>
        <w:t>等；重点保护动物主要是一些在建筑物周围区域觅食或经过的鸟类，如</w:t>
      </w:r>
      <w:r>
        <w:rPr>
          <w:rFonts w:cs="Times New Roman" w:eastAsiaTheme="minorEastAsia"/>
          <w:kern w:val="0"/>
          <w:szCs w:val="24"/>
        </w:rPr>
        <w:t>燕隼、灰背隼、鸢</w:t>
      </w:r>
      <w:r>
        <w:rPr>
          <w:rFonts w:cs="Times New Roman" w:eastAsiaTheme="minorEastAsia"/>
          <w:kern w:val="0"/>
          <w:szCs w:val="20"/>
          <w:lang w:val="zh-CN"/>
        </w:rPr>
        <w:t>等。工程运行后对陆栖野生动物的影响一方面表现为工程占地占用部分爬行类和小型兽类的栖息地，由于其迁移能力较强，工程周边类似生境分布广泛，工程建设对其基本无影响。另一方面，随着水库蓄水，淹没区内部分干旱的山谷</w:t>
      </w:r>
      <w:r>
        <w:rPr>
          <w:rFonts w:hint="eastAsia" w:cs="Times New Roman" w:eastAsiaTheme="minorEastAsia"/>
          <w:kern w:val="0"/>
          <w:szCs w:val="20"/>
          <w:lang w:val="zh-CN"/>
        </w:rPr>
        <w:t>将</w:t>
      </w:r>
      <w:r>
        <w:rPr>
          <w:rFonts w:cs="Times New Roman" w:eastAsiaTheme="minorEastAsia"/>
          <w:kern w:val="0"/>
          <w:szCs w:val="20"/>
          <w:lang w:val="zh-CN"/>
        </w:rPr>
        <w:t>部分被淹没，这些河谷上部未淹没的区段和淹没区的两侧，可因河谷季节性积水水汽条件得以改善，有利于植被的生长，可为水鸟栖息和繁殖创造适宜的栖息地，同时也为动物觅食、饮水亦创造了新的场所。</w:t>
      </w:r>
    </w:p>
    <w:p>
      <w:pPr>
        <w:ind w:firstLine="480"/>
        <w:rPr>
          <w:rFonts w:cs="Times New Roman" w:eastAsiaTheme="minorEastAsia"/>
          <w:lang w:val="zh-CN"/>
        </w:rPr>
      </w:pPr>
      <w:r>
        <w:rPr>
          <w:rFonts w:cs="Times New Roman" w:eastAsiaTheme="minorEastAsia"/>
        </w:rPr>
        <w:t>但在工程运行期间，工作人员入驻</w:t>
      </w:r>
      <w:r>
        <w:rPr>
          <w:rFonts w:hint="eastAsia" w:cs="Times New Roman" w:eastAsiaTheme="minorEastAsia"/>
          <w:lang w:eastAsia="zh-CN"/>
        </w:rPr>
        <w:t>将</w:t>
      </w:r>
      <w:r>
        <w:rPr>
          <w:rFonts w:cs="Times New Roman" w:eastAsiaTheme="minorEastAsia"/>
        </w:rPr>
        <w:t>使加剧区域人类活动干扰，</w:t>
      </w:r>
      <w:r>
        <w:rPr>
          <w:rFonts w:cs="Times New Roman" w:eastAsiaTheme="minorEastAsia"/>
          <w:lang w:val="zh-CN"/>
        </w:rPr>
        <w:t>会对野生保护动物产生潜在的威胁，因此，水库管理单位应加强对工作人员环境保护宣传教育工作，重视野生保护动物普法宣传，严禁工作人员猎捕野生动物的行为。</w:t>
      </w:r>
    </w:p>
    <w:p>
      <w:pPr>
        <w:pStyle w:val="4"/>
        <w:rPr>
          <w:rFonts w:cs="Times New Roman"/>
        </w:rPr>
      </w:pPr>
      <w:r>
        <w:rPr>
          <w:rFonts w:cs="Times New Roman"/>
        </w:rPr>
        <w:t>5.5.5 对生物多样性的影响</w:t>
      </w:r>
    </w:p>
    <w:p>
      <w:pPr>
        <w:ind w:firstLine="482" w:firstLineChars="0"/>
        <w:rPr>
          <w:rFonts w:cs="Times New Roman" w:eastAsiaTheme="minorEastAsia"/>
          <w:szCs w:val="24"/>
        </w:rPr>
      </w:pPr>
      <w:r>
        <w:rPr>
          <w:rFonts w:cs="Times New Roman" w:eastAsiaTheme="minorEastAsia"/>
          <w:szCs w:val="24"/>
        </w:rPr>
        <w:t>（1）对陆生植物生物多样性的影响</w:t>
      </w:r>
    </w:p>
    <w:p>
      <w:pPr>
        <w:ind w:firstLine="482" w:firstLineChars="0"/>
        <w:rPr>
          <w:rFonts w:cs="Times New Roman" w:eastAsiaTheme="minorEastAsia"/>
          <w:szCs w:val="24"/>
        </w:rPr>
      </w:pPr>
      <w:r>
        <w:rPr>
          <w:rFonts w:cs="Times New Roman" w:eastAsiaTheme="minorEastAsia"/>
          <w:szCs w:val="24"/>
        </w:rPr>
        <w:t>工程建设区植被主要为稀疏的山地草原，淹没区河谷林草植被不发育，工程建设不会造成集中大面积天然植被的消失。水库淹没及工程占地范围内的天然植被以当地常见的羊茅、芨芨草、冷蒿、早熟禾、骆驼刺、麻叶荨麻、白刺、柠条锦鸡儿、小蓬等，无重点保护植物分布，工程淹没、占地不会导致某物种在评价区内消失，对区域物种多样性影响小。因此，工程建成后，区域植物物种种类不会发生变化，植物生物多样性维持现状。</w:t>
      </w:r>
    </w:p>
    <w:p>
      <w:pPr>
        <w:ind w:firstLine="482" w:firstLineChars="0"/>
        <w:rPr>
          <w:rFonts w:cs="Times New Roman" w:eastAsiaTheme="minorEastAsia"/>
          <w:szCs w:val="24"/>
        </w:rPr>
      </w:pPr>
      <w:r>
        <w:rPr>
          <w:rFonts w:cs="Times New Roman" w:eastAsiaTheme="minorEastAsia"/>
          <w:szCs w:val="24"/>
        </w:rPr>
        <w:t>（2）对陆生动物多样性影响</w:t>
      </w:r>
    </w:p>
    <w:p>
      <w:pPr>
        <w:ind w:firstLine="482" w:firstLineChars="0"/>
        <w:rPr>
          <w:rFonts w:cs="Times New Roman" w:eastAsiaTheme="minorEastAsia"/>
          <w:szCs w:val="24"/>
        </w:rPr>
      </w:pPr>
      <w:r>
        <w:rPr>
          <w:rFonts w:cs="Times New Roman" w:eastAsiaTheme="minorEastAsia"/>
          <w:szCs w:val="24"/>
        </w:rPr>
        <w:t>工程建设区所处河段地处低山区，植被条件较差，以稀疏的山地草原为主生境恶劣，因此工程区可见的野生动物主要是一些小型啮齿类动物和爬行类和活动范围广泛的鸟类。</w:t>
      </w:r>
    </w:p>
    <w:p>
      <w:pPr>
        <w:ind w:firstLine="482" w:firstLineChars="0"/>
        <w:rPr>
          <w:rFonts w:cs="Times New Roman" w:eastAsiaTheme="minorEastAsia"/>
          <w:szCs w:val="24"/>
        </w:rPr>
      </w:pPr>
      <w:r>
        <w:rPr>
          <w:rFonts w:cs="Times New Roman" w:eastAsiaTheme="minorEastAsia"/>
          <w:szCs w:val="24"/>
        </w:rPr>
        <w:t>工程建设</w:t>
      </w:r>
      <w:r>
        <w:rPr>
          <w:rFonts w:hint="eastAsia" w:cs="Times New Roman" w:eastAsiaTheme="minorEastAsia"/>
          <w:szCs w:val="24"/>
          <w:lang w:eastAsia="zh-CN"/>
        </w:rPr>
        <w:t>将</w:t>
      </w:r>
      <w:r>
        <w:rPr>
          <w:rFonts w:cs="Times New Roman" w:eastAsiaTheme="minorEastAsia"/>
          <w:szCs w:val="24"/>
        </w:rPr>
        <w:t>占用区内部分鼠类、爬行类的洞穴，迫使其外迁，工程施工活动及施工人员</w:t>
      </w:r>
      <w:r>
        <w:rPr>
          <w:rFonts w:hint="eastAsia" w:cs="Times New Roman" w:eastAsiaTheme="minorEastAsia"/>
          <w:szCs w:val="24"/>
          <w:lang w:eastAsia="zh-CN"/>
        </w:rPr>
        <w:t>将</w:t>
      </w:r>
      <w:r>
        <w:rPr>
          <w:rFonts w:cs="Times New Roman" w:eastAsiaTheme="minorEastAsia"/>
          <w:szCs w:val="24"/>
        </w:rPr>
        <w:t>对鸟类、其它兽类野生动物造成惊扰和驱赶，工程占地类型大部分为山地草原，工程区周围类似生境广泛，工程建设影响程度及范围均较小，不会对野生动物的种群及数量产生较大影响。工程运行期间，新形成的水库淹没区</w:t>
      </w:r>
      <w:r>
        <w:rPr>
          <w:rFonts w:hint="eastAsia" w:cs="Times New Roman" w:eastAsiaTheme="minorEastAsia"/>
          <w:szCs w:val="24"/>
          <w:lang w:eastAsia="zh-CN"/>
        </w:rPr>
        <w:t>将</w:t>
      </w:r>
      <w:r>
        <w:rPr>
          <w:rFonts w:cs="Times New Roman" w:eastAsiaTheme="minorEastAsia"/>
          <w:szCs w:val="24"/>
        </w:rPr>
        <w:t>为一些涉禽提供栖息地，同时也为动物觅食、饮水亦创造了新的场所。</w:t>
      </w:r>
    </w:p>
    <w:p>
      <w:pPr>
        <w:ind w:firstLine="482" w:firstLineChars="0"/>
        <w:rPr>
          <w:rFonts w:cs="Times New Roman" w:eastAsiaTheme="minorEastAsia"/>
          <w:szCs w:val="24"/>
        </w:rPr>
      </w:pPr>
      <w:r>
        <w:rPr>
          <w:rFonts w:cs="Times New Roman" w:eastAsiaTheme="minorEastAsia"/>
          <w:szCs w:val="24"/>
        </w:rPr>
        <w:t>施工期的影响是暂时性的，随着施工期的结束生境恢复，野生动物会重新找到栖息地，并逐渐恢复其种群数量，动物群落结构不会发生变化。</w:t>
      </w:r>
    </w:p>
    <w:p>
      <w:pPr>
        <w:ind w:firstLine="482" w:firstLineChars="0"/>
        <w:rPr>
          <w:rFonts w:cs="Times New Roman" w:eastAsiaTheme="minorEastAsia"/>
          <w:szCs w:val="24"/>
        </w:rPr>
      </w:pPr>
      <w:r>
        <w:rPr>
          <w:rFonts w:cs="Times New Roman" w:eastAsiaTheme="minorEastAsia"/>
          <w:szCs w:val="24"/>
        </w:rPr>
        <w:t>因此工程建成运行后，区域陆生动物种类不会发生变化，陆生动物生物多样性维持现状。</w:t>
      </w:r>
    </w:p>
    <w:p>
      <w:pPr>
        <w:pStyle w:val="4"/>
        <w:rPr>
          <w:rFonts w:cs="Times New Roman"/>
        </w:rPr>
      </w:pPr>
      <w:r>
        <w:rPr>
          <w:rFonts w:cs="Times New Roman"/>
        </w:rPr>
        <w:t>5.5.6 对现有陆生生态问题的影响分析</w:t>
      </w:r>
    </w:p>
    <w:p>
      <w:pPr>
        <w:ind w:firstLine="482" w:firstLineChars="0"/>
        <w:rPr>
          <w:rFonts w:cs="Times New Roman" w:eastAsiaTheme="minorEastAsia"/>
          <w:szCs w:val="24"/>
        </w:rPr>
      </w:pPr>
      <w:r>
        <w:rPr>
          <w:rFonts w:cs="Times New Roman" w:eastAsiaTheme="minorEastAsia"/>
          <w:szCs w:val="24"/>
        </w:rPr>
        <w:t>工程所处区域现有陆生生态问题主要为区域生态环境脆弱、存在因草场过牧导致的草场退化问题。根据工程建设对植物的影响分析可知，</w:t>
      </w:r>
      <w:r>
        <w:rPr>
          <w:rFonts w:cs="Times New Roman" w:eastAsiaTheme="minorEastAsia"/>
          <w:kern w:val="0"/>
          <w:szCs w:val="20"/>
        </w:rPr>
        <w:t>工程淹没、占地</w:t>
      </w:r>
      <w:r>
        <w:rPr>
          <w:rFonts w:hint="eastAsia" w:cs="Times New Roman" w:eastAsiaTheme="minorEastAsia"/>
          <w:kern w:val="0"/>
          <w:szCs w:val="20"/>
          <w:lang w:eastAsia="zh-CN"/>
        </w:rPr>
        <w:t>将</w:t>
      </w:r>
      <w:r>
        <w:rPr>
          <w:rFonts w:cs="Times New Roman" w:eastAsiaTheme="minorEastAsia"/>
          <w:kern w:val="0"/>
          <w:szCs w:val="20"/>
        </w:rPr>
        <w:t>占用部分草地，从而对其造成一次性破坏以及由此产生的生物量损失，由于工程淹没、占地占压、破坏草地面积较小，按评价区草场总面积的比例分析，工程影响面积占比小于1%，工程建设对区域草地资源的影响及其有限，同时，</w:t>
      </w:r>
      <w:r>
        <w:rPr>
          <w:rFonts w:cs="Times New Roman" w:eastAsiaTheme="minorEastAsia"/>
        </w:rPr>
        <w:t>本次环评要求工程施工结束后，需结合水土保持方案中的植物措施进行植被恢复和绿化措施，最大限度</w:t>
      </w:r>
      <w:r>
        <w:rPr>
          <w:rFonts w:cs="Times New Roman" w:eastAsiaTheme="minorEastAsia"/>
          <w:kern w:val="0"/>
          <w:szCs w:val="20"/>
        </w:rPr>
        <w:t>减少对区域天然植被的不利影响，因此，经分析认为，工程建设不会加剧区域草场退化的问题。</w:t>
      </w:r>
      <w:r>
        <w:rPr>
          <w:rFonts w:cs="Times New Roman" w:eastAsiaTheme="minorEastAsia"/>
          <w:szCs w:val="24"/>
        </w:rPr>
        <w:t>考虑随着工程的实施，人类活动对区域生态环境的影响</w:t>
      </w:r>
      <w:r>
        <w:rPr>
          <w:rFonts w:hint="eastAsia" w:cs="Times New Roman" w:eastAsiaTheme="minorEastAsia"/>
          <w:szCs w:val="24"/>
          <w:lang w:eastAsia="zh-CN"/>
        </w:rPr>
        <w:t>将</w:t>
      </w:r>
      <w:r>
        <w:rPr>
          <w:rFonts w:cs="Times New Roman" w:eastAsiaTheme="minorEastAsia"/>
          <w:szCs w:val="24"/>
        </w:rPr>
        <w:t>日趋明显，</w:t>
      </w:r>
      <w:r>
        <w:rPr>
          <w:rFonts w:hint="eastAsia" w:cs="Times New Roman" w:eastAsiaTheme="minorEastAsia"/>
          <w:szCs w:val="24"/>
          <w:lang w:eastAsia="zh-CN"/>
        </w:rPr>
        <w:t>将</w:t>
      </w:r>
      <w:r>
        <w:rPr>
          <w:rFonts w:cs="Times New Roman" w:eastAsiaTheme="minorEastAsia"/>
          <w:szCs w:val="24"/>
        </w:rPr>
        <w:t>对区域的生态环境质量构成威胁，因此，在工程建设、运行期间，必须做好工程的生态环境保护与监督管理工作，增强工程施工及工作人员的环境保护意识，避免因工程建设而加剧区域草场的退化。</w:t>
      </w:r>
    </w:p>
    <w:p>
      <w:pPr>
        <w:ind w:firstLine="482" w:firstLineChars="0"/>
        <w:rPr>
          <w:rFonts w:cs="Times New Roman" w:eastAsiaTheme="minorEastAsia"/>
          <w:szCs w:val="24"/>
        </w:rPr>
      </w:pPr>
    </w:p>
    <w:p>
      <w:pPr>
        <w:pStyle w:val="3"/>
        <w:rPr>
          <w:rFonts w:cs="Times New Roman"/>
        </w:rPr>
      </w:pPr>
      <w:bookmarkStart w:id="123" w:name="_Toc181381618"/>
      <w:r>
        <w:rPr>
          <w:rFonts w:cs="Times New Roman"/>
        </w:rPr>
        <w:t>5.6 对生态保护红线的影响分析</w:t>
      </w:r>
      <w:bookmarkEnd w:id="123"/>
    </w:p>
    <w:p>
      <w:pPr>
        <w:ind w:firstLine="480"/>
        <w:rPr>
          <w:rFonts w:cs="Times New Roman"/>
        </w:rPr>
      </w:pPr>
      <w:r>
        <w:rPr>
          <w:rFonts w:cs="Times New Roman"/>
        </w:rPr>
        <w:t>经叠图分析，代尔昆代水库工程枢纽及淹没区位于东天山水源涵养与生物多样性维护生态保护红线区，淹没、占用生态保护红线约9.35hm</w:t>
      </w:r>
      <w:r>
        <w:rPr>
          <w:rFonts w:cs="Times New Roman"/>
          <w:vertAlign w:val="superscript"/>
        </w:rPr>
        <w:t>2</w:t>
      </w:r>
      <w:r>
        <w:rPr>
          <w:rFonts w:cs="Times New Roman"/>
        </w:rPr>
        <w:t>，占评价区分布生态保护红线总面积的0.87%。</w:t>
      </w:r>
    </w:p>
    <w:p>
      <w:pPr>
        <w:ind w:firstLine="480"/>
        <w:rPr>
          <w:rFonts w:cs="Times New Roman"/>
          <w:szCs w:val="24"/>
        </w:rPr>
      </w:pPr>
      <w:r>
        <w:rPr>
          <w:rFonts w:cs="Times New Roman"/>
          <w:szCs w:val="24"/>
        </w:rPr>
        <w:t>工程可研阶段在详细地质勘察的基础上，从地形、地质条件、施工条件、运行管理安全及经济性等方面进行了充分比选，最终推荐了中坝址方案，由于工程所处代尔昆代郭勒河上游山区基本被划入了东天山水源涵养与生物多样性维护生态保护红线区，受地形、地质等因素的限制，推荐坝址无法完全避让生态红线。对于工程淹没、占压涉及的东天山水源涵养与生物多样性维护生态保护红线而言，其主要生态功能为水源涵养，区域分布的</w:t>
      </w:r>
      <w:r>
        <w:rPr>
          <w:rFonts w:hint="eastAsia" w:cs="Times New Roman"/>
          <w:szCs w:val="24"/>
          <w:lang w:eastAsia="zh-CN"/>
        </w:rPr>
        <w:t>植盖度</w:t>
      </w:r>
      <w:r>
        <w:rPr>
          <w:rFonts w:cs="Times New Roman"/>
          <w:szCs w:val="24"/>
        </w:rPr>
        <w:t>较高的山地森林、草原植被具有较好的水源涵养功能。代尔昆代水库淹没</w:t>
      </w:r>
      <w:r>
        <w:rPr>
          <w:rFonts w:hint="eastAsia" w:cs="Times New Roman"/>
          <w:szCs w:val="24"/>
          <w:lang w:eastAsia="zh-CN"/>
        </w:rPr>
        <w:t>将</w:t>
      </w:r>
      <w:r>
        <w:rPr>
          <w:rFonts w:cs="Times New Roman"/>
          <w:szCs w:val="24"/>
        </w:rPr>
        <w:t>占压部分草地，</w:t>
      </w:r>
      <w:r>
        <w:rPr>
          <w:rFonts w:hint="eastAsia" w:cs="Times New Roman"/>
          <w:szCs w:val="24"/>
          <w:lang w:eastAsia="zh-CN"/>
        </w:rPr>
        <w:t>将</w:t>
      </w:r>
      <w:r>
        <w:rPr>
          <w:rFonts w:cs="Times New Roman"/>
          <w:szCs w:val="24"/>
        </w:rPr>
        <w:t>使部分草地等转变为水库水面，但仍可维持区域的水源涵养功能；对于枢纽工程占地对山地草原植被的破坏，其占地面积有限，根据植被调查情况，</w:t>
      </w:r>
      <w:r>
        <w:rPr>
          <w:rFonts w:hint="eastAsia" w:cs="Times New Roman"/>
          <w:szCs w:val="24"/>
          <w:lang w:eastAsia="zh-CN"/>
        </w:rPr>
        <w:t>占用地区植被</w:t>
      </w:r>
      <w:r>
        <w:rPr>
          <w:rFonts w:cs="Times New Roman"/>
          <w:szCs w:val="24"/>
        </w:rPr>
        <w:t>稀疏，无山地森林分布，可通过施工结束后植被恢复及绿化措施缓解，在此基础上，本工程的建设不会导致生态保护红线区水源涵养功能降低。</w:t>
      </w:r>
    </w:p>
    <w:p>
      <w:pPr>
        <w:ind w:firstLine="480"/>
        <w:rPr>
          <w:rFonts w:cs="Times New Roman"/>
          <w:szCs w:val="24"/>
        </w:rPr>
      </w:pPr>
      <w:r>
        <w:rPr>
          <w:rFonts w:cs="Times New Roman"/>
          <w:szCs w:val="24"/>
        </w:rPr>
        <w:t>针对工程建设淹没、占压生态红线的情况，本次环评提出：建设单位应根据生态保护红线的相关规定，进行红线不可避让论证说明，取得主管部门的同意后，依法办理征占地等相关手续；施工过程中，提高环境保护要求，禁止在红线区内布置渣场、料场、临时生产生活区等各类临建设施，严格落实生态保护与恢复责任，维护生态红线区主导生态功能。</w:t>
      </w:r>
    </w:p>
    <w:p>
      <w:pPr>
        <w:ind w:firstLine="480"/>
        <w:rPr>
          <w:rFonts w:cs="Times New Roman"/>
          <w:color w:val="FF0000"/>
          <w:szCs w:val="24"/>
        </w:rPr>
      </w:pPr>
    </w:p>
    <w:p>
      <w:pPr>
        <w:pStyle w:val="3"/>
        <w:rPr>
          <w:rFonts w:cs="Times New Roman"/>
        </w:rPr>
      </w:pPr>
      <w:bookmarkStart w:id="124" w:name="_Toc181381619"/>
      <w:r>
        <w:rPr>
          <w:rFonts w:cs="Times New Roman"/>
        </w:rPr>
        <w:t>5.7 对水生生态环境</w:t>
      </w:r>
      <w:bookmarkEnd w:id="122"/>
      <w:r>
        <w:rPr>
          <w:rFonts w:cs="Times New Roman"/>
        </w:rPr>
        <w:t>影响预测</w:t>
      </w:r>
      <w:bookmarkEnd w:id="124"/>
    </w:p>
    <w:p>
      <w:pPr>
        <w:ind w:firstLine="480"/>
        <w:rPr>
          <w:rFonts w:cs="Times New Roman"/>
        </w:rPr>
      </w:pPr>
      <w:r>
        <w:rPr>
          <w:rFonts w:cs="Times New Roman"/>
        </w:rPr>
        <w:t>根据水生生态现状调查，代尔昆代郭勒河无鱼类分析，因此，本次评价对水生生态的影响分析，仅预测工程建设对水生生物的影响。</w:t>
      </w:r>
    </w:p>
    <w:p>
      <w:pPr>
        <w:pStyle w:val="4"/>
        <w:rPr>
          <w:rFonts w:cs="Times New Roman"/>
        </w:rPr>
      </w:pPr>
      <w:r>
        <w:rPr>
          <w:rFonts w:cs="Times New Roman"/>
        </w:rPr>
        <w:t>5.7.1 施工期对水生生态的影响</w:t>
      </w:r>
    </w:p>
    <w:p>
      <w:pPr>
        <w:ind w:firstLine="480"/>
        <w:rPr>
          <w:rFonts w:cs="Times New Roman"/>
        </w:rPr>
      </w:pPr>
      <w:r>
        <w:rPr>
          <w:rFonts w:cs="Times New Roman"/>
        </w:rPr>
        <w:t>根据工程特点及施工布置，分析认为本工程施工对水生生态的直接影响范围主要在拦河坝坝址附近水域。</w:t>
      </w:r>
    </w:p>
    <w:p>
      <w:pPr>
        <w:ind w:firstLine="480"/>
        <w:rPr>
          <w:rFonts w:cs="Times New Roman"/>
        </w:rPr>
      </w:pPr>
      <w:r>
        <w:rPr>
          <w:rFonts w:cs="Times New Roman"/>
        </w:rPr>
        <w:t>施工期间废水若不加处理直排河道，</w:t>
      </w:r>
      <w:r>
        <w:rPr>
          <w:rFonts w:hint="eastAsia" w:cs="Times New Roman"/>
          <w:lang w:eastAsia="zh-CN"/>
        </w:rPr>
        <w:t>将</w:t>
      </w:r>
      <w:r>
        <w:rPr>
          <w:rFonts w:cs="Times New Roman"/>
        </w:rPr>
        <w:t>会对河道水质产生影响，从而对水生生态生存环境产生不利影响，可能导致工程河段适应在较洁净水体栖息的底栖生物物种的减少。但上述影响仅局限于施工期，在施工结束后</w:t>
      </w:r>
      <w:r>
        <w:rPr>
          <w:rFonts w:hint="eastAsia" w:cs="Times New Roman"/>
          <w:lang w:eastAsia="zh-CN"/>
        </w:rPr>
        <w:t>将</w:t>
      </w:r>
      <w:r>
        <w:rPr>
          <w:rFonts w:cs="Times New Roman"/>
        </w:rPr>
        <w:t>自动消失。</w:t>
      </w:r>
    </w:p>
    <w:p>
      <w:pPr>
        <w:pStyle w:val="4"/>
        <w:rPr>
          <w:rFonts w:cs="Times New Roman"/>
        </w:rPr>
      </w:pPr>
      <w:r>
        <w:rPr>
          <w:rFonts w:cs="Times New Roman"/>
        </w:rPr>
        <w:t>5.7.2 运行期对水生生态的影响</w:t>
      </w:r>
    </w:p>
    <w:p>
      <w:pPr>
        <w:ind w:firstLine="480"/>
        <w:rPr>
          <w:rFonts w:cs="Times New Roman"/>
        </w:rPr>
      </w:pPr>
      <w:r>
        <w:rPr>
          <w:rFonts w:cs="Times New Roman"/>
        </w:rPr>
        <w:t>代尔昆代郭勒河水生生物主要以喜溪流、冷水性种类为主，其中浮游植物以硅藻门种类占绝对优势；浮游动物以原生动物、轮虫为常见种；底栖动物以蜉蚴目幼虫、毛翅目幼虫等为主。基本无水生植物分布。</w:t>
      </w:r>
    </w:p>
    <w:p>
      <w:pPr>
        <w:ind w:firstLine="480"/>
        <w:rPr>
          <w:rFonts w:cs="Times New Roman"/>
        </w:rPr>
      </w:pPr>
      <w:r>
        <w:rPr>
          <w:rFonts w:cs="Times New Roman"/>
        </w:rPr>
        <w:t>（1）库区上游河段水生生物的影响</w:t>
      </w:r>
    </w:p>
    <w:p>
      <w:pPr>
        <w:ind w:firstLine="480"/>
        <w:rPr>
          <w:rFonts w:cs="Times New Roman"/>
        </w:rPr>
      </w:pPr>
      <w:r>
        <w:rPr>
          <w:rFonts w:cs="Times New Roman"/>
        </w:rPr>
        <w:t>工程建设后，代尔昆代水库库尾以上河段水文情势、河道形态均未发生变化，因此，工程建设对该河段水生生物无影响。</w:t>
      </w:r>
    </w:p>
    <w:p>
      <w:pPr>
        <w:ind w:firstLine="480"/>
        <w:rPr>
          <w:rFonts w:cs="Times New Roman"/>
        </w:rPr>
      </w:pPr>
      <w:r>
        <w:rPr>
          <w:rFonts w:cs="Times New Roman"/>
        </w:rPr>
        <w:t>水库蓄水后，库区河段</w:t>
      </w:r>
      <w:r>
        <w:rPr>
          <w:rFonts w:hint="eastAsia" w:cs="Times New Roman"/>
          <w:lang w:eastAsia="zh-CN"/>
        </w:rPr>
        <w:t>将</w:t>
      </w:r>
      <w:r>
        <w:rPr>
          <w:rFonts w:cs="Times New Roman"/>
        </w:rPr>
        <w:t>由河流形态转变成湖泊、水库形态，随着河流形态改变，水文情势相应发生变化，总体表现为水面积增加，水深增大，流速变缓等；由此使得库区透明度和营养盐浓度增加，为浮游植物的繁衍提供了较好的条件，库区中特别是在水库靠近大坝的水域，静水种类的浮游植物</w:t>
      </w:r>
      <w:r>
        <w:rPr>
          <w:rFonts w:hint="eastAsia" w:cs="Times New Roman"/>
          <w:lang w:eastAsia="zh-CN"/>
        </w:rPr>
        <w:t>将</w:t>
      </w:r>
      <w:r>
        <w:rPr>
          <w:rFonts w:cs="Times New Roman"/>
        </w:rPr>
        <w:t>会大量繁殖；而喜溪流性种类则</w:t>
      </w:r>
      <w:r>
        <w:rPr>
          <w:rFonts w:hint="eastAsia" w:cs="Times New Roman"/>
          <w:lang w:eastAsia="zh-CN"/>
        </w:rPr>
        <w:t>将</w:t>
      </w:r>
      <w:r>
        <w:rPr>
          <w:rFonts w:cs="Times New Roman"/>
        </w:rPr>
        <w:t>逐渐减少，并逐渐退缩至库尾及以上河段水域。由于库区水体流速降低和悬浮物质的减少，改变了浮游动物的繁殖条件，加之水体中浮游植物数量增加、腐生性细菌以及有机质腐屑大量出现，为浮游动物提供了充足的饵料，从而</w:t>
      </w:r>
      <w:r>
        <w:rPr>
          <w:rFonts w:hint="eastAsia" w:cs="Times New Roman"/>
          <w:lang w:eastAsia="zh-CN"/>
        </w:rPr>
        <w:t>将</w:t>
      </w:r>
      <w:r>
        <w:rPr>
          <w:rFonts w:cs="Times New Roman"/>
        </w:rPr>
        <w:t>使浮游动物总量较原河道有较大幅度的增长。库尾由于水流相对较快，浮游动物数量较少，且以喜流性种类为主；总体上从库尾向下，越接近坝址浮游动物的数量越多，在种类组成上，优势逐渐转向喜静水的枝角类和桡足类。</w:t>
      </w:r>
    </w:p>
    <w:p>
      <w:pPr>
        <w:ind w:firstLine="480"/>
        <w:rPr>
          <w:rFonts w:cs="Times New Roman"/>
        </w:rPr>
      </w:pPr>
      <w:r>
        <w:rPr>
          <w:rFonts w:cs="Times New Roman"/>
        </w:rPr>
        <w:t>由于饵料生物（主要是浮游生物）的增多，工程库区底栖动物现存量</w:t>
      </w:r>
      <w:r>
        <w:rPr>
          <w:rFonts w:hint="eastAsia" w:cs="Times New Roman"/>
          <w:lang w:eastAsia="zh-CN"/>
        </w:rPr>
        <w:t>将</w:t>
      </w:r>
      <w:r>
        <w:rPr>
          <w:rFonts w:cs="Times New Roman"/>
        </w:rPr>
        <w:t>增加，优势种类</w:t>
      </w:r>
      <w:r>
        <w:rPr>
          <w:rFonts w:hint="eastAsia" w:cs="Times New Roman"/>
          <w:lang w:eastAsia="zh-CN"/>
        </w:rPr>
        <w:t>将</w:t>
      </w:r>
      <w:r>
        <w:rPr>
          <w:rFonts w:cs="Times New Roman"/>
        </w:rPr>
        <w:t>发生演替，主要优势种群从适应河道的蜉蚴目幼虫、毛翅目幼虫等向适应静水环境的寡毛类和双翅目摇蚊幼虫演变，底栖动物种类也</w:t>
      </w:r>
      <w:r>
        <w:rPr>
          <w:rFonts w:hint="eastAsia" w:cs="Times New Roman"/>
          <w:lang w:eastAsia="zh-CN"/>
        </w:rPr>
        <w:t>将</w:t>
      </w:r>
      <w:r>
        <w:rPr>
          <w:rFonts w:cs="Times New Roman"/>
        </w:rPr>
        <w:t>增加。</w:t>
      </w:r>
    </w:p>
    <w:p>
      <w:pPr>
        <w:ind w:firstLine="480"/>
        <w:rPr>
          <w:rFonts w:cs="Times New Roman"/>
        </w:rPr>
      </w:pPr>
      <w:r>
        <w:rPr>
          <w:rFonts w:cs="Times New Roman"/>
        </w:rPr>
        <w:t>工程库区河段原本无水生植物分布，建库后，由于水库水位波动变化以及库岸地质等原因，很难形成有规模的水生植物群落，预计水生植物的增加量非常有限。</w:t>
      </w:r>
    </w:p>
    <w:p>
      <w:pPr>
        <w:ind w:firstLine="480"/>
        <w:rPr>
          <w:rFonts w:cs="Times New Roman"/>
        </w:rPr>
      </w:pPr>
      <w:r>
        <w:rPr>
          <w:rFonts w:cs="Times New Roman"/>
        </w:rPr>
        <w:t>（2）对代尔昆代水库坝址下游河段水生生物的影响</w:t>
      </w:r>
    </w:p>
    <w:p>
      <w:pPr>
        <w:ind w:firstLine="480"/>
        <w:rPr>
          <w:rFonts w:cs="Times New Roman"/>
        </w:rPr>
      </w:pPr>
      <w:r>
        <w:rPr>
          <w:rFonts w:cs="Times New Roman"/>
        </w:rPr>
        <w:t>代尔昆代水库坝址位于代尔昆代郭勒河出山口以上约6.5km处，坝址断面年均径流量834万m</w:t>
      </w:r>
      <w:r>
        <w:rPr>
          <w:rFonts w:cs="Times New Roman"/>
          <w:vertAlign w:val="superscript"/>
        </w:rPr>
        <w:t>3</w:t>
      </w:r>
      <w:r>
        <w:rPr>
          <w:rFonts w:cs="Times New Roman"/>
        </w:rPr>
        <w:t>、年均流量0.26m</w:t>
      </w:r>
      <w:r>
        <w:rPr>
          <w:rFonts w:cs="Times New Roman"/>
          <w:vertAlign w:val="superscript"/>
        </w:rPr>
        <w:t>3</w:t>
      </w:r>
      <w:r>
        <w:rPr>
          <w:rFonts w:cs="Times New Roman"/>
        </w:rPr>
        <w:t>/s；河流水量小且不稳定，加之河床下渗严重，山区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这种径流条件及沿程分布情况，代尔昆代水库坝址及坝下河段基本无水生生物适宜生境，不会形成稳定的种群。</w:t>
      </w:r>
    </w:p>
    <w:p>
      <w:pPr>
        <w:ind w:firstLine="480"/>
        <w:rPr>
          <w:rFonts w:cs="Times New Roman"/>
        </w:rPr>
      </w:pPr>
      <w:r>
        <w:rPr>
          <w:rFonts w:cs="Times New Roman"/>
        </w:rPr>
        <w:t>代尔昆代水库建成后，受水库调蓄及供水的影响，坝下河段水量减少，预计不会形成较长的明流河段，因此，基本同现状条件，代尔昆代水库坝下河段仍然不具有水生生物适宜生境，不会形成稳定的水生生物种群。</w:t>
      </w:r>
    </w:p>
    <w:p>
      <w:pPr>
        <w:ind w:firstLine="480"/>
        <w:rPr>
          <w:rFonts w:cs="Times New Roman"/>
        </w:rPr>
      </w:pPr>
    </w:p>
    <w:p>
      <w:pPr>
        <w:pStyle w:val="3"/>
        <w:rPr>
          <w:rFonts w:cs="Times New Roman"/>
        </w:rPr>
      </w:pPr>
      <w:bookmarkStart w:id="125" w:name="_Toc181381620"/>
      <w:r>
        <w:rPr>
          <w:rFonts w:cs="Times New Roman"/>
        </w:rPr>
        <w:t>5.8 土壤环境影响</w:t>
      </w:r>
      <w:bookmarkEnd w:id="125"/>
    </w:p>
    <w:p>
      <w:pPr>
        <w:pStyle w:val="4"/>
        <w:rPr>
          <w:rFonts w:cs="Times New Roman"/>
        </w:rPr>
      </w:pPr>
      <w:r>
        <w:rPr>
          <w:rFonts w:cs="Times New Roman"/>
        </w:rPr>
        <w:t>5.7.1工程建设对发生土壤潜育化、沼泽化、次生盐碱（渍）化的影响</w:t>
      </w:r>
    </w:p>
    <w:p>
      <w:pPr>
        <w:ind w:firstLine="480"/>
        <w:rPr>
          <w:rFonts w:cs="Times New Roman"/>
        </w:rPr>
      </w:pPr>
      <w:r>
        <w:rPr>
          <w:rFonts w:cs="Times New Roman"/>
        </w:rPr>
        <w:t>代尔昆代水库总库容296.68万m</w:t>
      </w:r>
      <w:r>
        <w:rPr>
          <w:rFonts w:cs="Times New Roman"/>
          <w:vertAlign w:val="superscript"/>
        </w:rPr>
        <w:t>3</w:t>
      </w:r>
      <w:r>
        <w:rPr>
          <w:rFonts w:cs="Times New Roman"/>
        </w:rPr>
        <w:t>，正常蓄水位1981.85m，淹没影响土地总面积为19.36hm</w:t>
      </w:r>
      <w:r>
        <w:rPr>
          <w:rFonts w:cs="Times New Roman"/>
          <w:vertAlign w:val="superscript"/>
        </w:rPr>
        <w:t>2</w:t>
      </w:r>
      <w:r>
        <w:rPr>
          <w:rFonts w:cs="Times New Roman"/>
        </w:rPr>
        <w:t>，为荒漠草场及水域，受水库淹没的影响，淹没范围内土壤环境彻底丧失，被水域所替代。根据工程地质勘察报告，本工程蓄水后，只是对库区两岸草场和水库回水尾部河床两岸草场存在极少量的浸没损失。水库下游第四系地层为卵、砾石土，渗透性较强，建库后不会产生浸没影响，工程建设不会引起周边土壤潜育化发展。库区地下水主要为第四系松散层中的孔隙潜水和基岩裂隙水。孔隙潜水主要赋存于第四系冲积、冲洪积卵石混合土以及洪积碎石混合土中，分布于河(沟)床、漫滩以及I阶地，季节变化明显。基岩裂隙水主要埋藏于库区两岸山体内，含水量较少，地下水水位埋深与河水位基本持平，地下水位较深，不会产生大面积浸没所引起沼泽化。水库兴建后通过管道供水，减少下渗，因此，水库兴建对地下水有一定的影响，但是从总水量情况来看，影响不大。</w:t>
      </w:r>
    </w:p>
    <w:p>
      <w:pPr>
        <w:pStyle w:val="4"/>
        <w:rPr>
          <w:rFonts w:cs="Times New Roman"/>
        </w:rPr>
      </w:pPr>
      <w:r>
        <w:rPr>
          <w:rFonts w:cs="Times New Roman"/>
        </w:rPr>
        <w:t>5.7.2工程建设对土壤环境的影响</w:t>
      </w:r>
    </w:p>
    <w:p>
      <w:pPr>
        <w:pStyle w:val="62"/>
        <w:rPr>
          <w:rFonts w:cs="Times New Roman"/>
        </w:rPr>
      </w:pPr>
      <w:r>
        <w:rPr>
          <w:rFonts w:cs="Times New Roman"/>
        </w:rPr>
        <w:t>5.7.2.1施工期影响</w:t>
      </w:r>
    </w:p>
    <w:p>
      <w:pPr>
        <w:ind w:firstLine="480"/>
        <w:rPr>
          <w:rFonts w:cs="Times New Roman"/>
        </w:rPr>
      </w:pPr>
      <w:r>
        <w:rPr>
          <w:rFonts w:cs="Times New Roman"/>
        </w:rPr>
        <w:t>（1）施工扰动影响</w:t>
      </w:r>
    </w:p>
    <w:p>
      <w:pPr>
        <w:ind w:firstLine="480"/>
        <w:rPr>
          <w:rFonts w:cs="Times New Roman"/>
        </w:rPr>
      </w:pPr>
      <w:r>
        <w:rPr>
          <w:rFonts w:cs="Times New Roman"/>
        </w:rPr>
        <w:t>工程施工扰动对土壤的影响主要发生在工程永久占地和临时占地范围内。工程永久占地范围，建筑物永久占压和部分区域地面硬化，</w:t>
      </w:r>
      <w:r>
        <w:rPr>
          <w:rFonts w:hint="eastAsia" w:cs="Times New Roman"/>
          <w:lang w:eastAsia="zh-CN"/>
        </w:rPr>
        <w:t>将</w:t>
      </w:r>
      <w:r>
        <w:rPr>
          <w:rFonts w:cs="Times New Roman"/>
        </w:rPr>
        <w:t>使土壤永久失去其固有的生产能力。工程临时占地范围内，主要占地类型均为天然草场。</w:t>
      </w:r>
    </w:p>
    <w:p>
      <w:pPr>
        <w:ind w:firstLine="480"/>
        <w:rPr>
          <w:rFonts w:cs="Times New Roman"/>
        </w:rPr>
      </w:pPr>
      <w:r>
        <w:rPr>
          <w:rFonts w:cs="Times New Roman"/>
        </w:rPr>
        <w:t>该部分占地内的土壤类型以栗钙土和草甸土为主。施工期由于场地平整，建（构）筑物地基开挖及回填，供排水管线开挖及供电线路架设，道路的修建，土料临时堆放和回填、弃渣场挡渣墙等施工活动，对原地貌和地表植被进行扰动和破坏，降低或丧失了原有的水土保持功能，改变了外营力与土体低抗力之间形成的自然相对平衡，导致原地貌土壤侵蚀的发生和发展。同时，施工机械对地表的碾压、土石方动迁以等施工活动，土壤受到长时间的碾压，土壤结构变得密实、板结、容重增加、渗透能力变差、持水能力降低，影响了生物与土壤间的物质交换，使土壤自然富集过程受阻，土壤肥力下降，受施工活动影响的土壤</w:t>
      </w:r>
      <w:r>
        <w:rPr>
          <w:rFonts w:hint="eastAsia" w:cs="Times New Roman"/>
          <w:lang w:eastAsia="zh-CN"/>
        </w:rPr>
        <w:t>将</w:t>
      </w:r>
      <w:r>
        <w:rPr>
          <w:rFonts w:cs="Times New Roman"/>
        </w:rPr>
        <w:t>产生退化。而土壤上层的团粒结构一旦受到破坏，</w:t>
      </w:r>
      <w:r>
        <w:rPr>
          <w:rFonts w:hint="eastAsia" w:cs="Times New Roman"/>
          <w:lang w:eastAsia="zh-CN"/>
        </w:rPr>
        <w:t>将</w:t>
      </w:r>
      <w:r>
        <w:rPr>
          <w:rFonts w:cs="Times New Roman"/>
        </w:rPr>
        <w:t>需要较长的时间培育才能得到恢复。因此，在工程施工期间，必须进行土地整治，布设水土保持措施，后期恢复植被，减少水土的流失和冲刷。施工期施工作业产生的表土扰动、弃渣等</w:t>
      </w:r>
      <w:r>
        <w:rPr>
          <w:rFonts w:hint="eastAsia" w:cs="Times New Roman"/>
          <w:lang w:eastAsia="zh-CN"/>
        </w:rPr>
        <w:t>将</w:t>
      </w:r>
      <w:r>
        <w:rPr>
          <w:rFonts w:cs="Times New Roman"/>
        </w:rPr>
        <w:t>造成扰动区表层土壤环境的破坏，对其产生不利影响，因此，应对扰动区表土进行收集并单独存放，在施工结束后用于扰动区的植被恢复，减缓施工活动对土壤环境产生的影响。</w:t>
      </w:r>
    </w:p>
    <w:p>
      <w:pPr>
        <w:ind w:firstLine="480"/>
        <w:rPr>
          <w:rFonts w:cs="Times New Roman"/>
        </w:rPr>
      </w:pPr>
      <w:r>
        <w:rPr>
          <w:rFonts w:cs="Times New Roman"/>
        </w:rPr>
        <w:t>（2）施工废污水排放及垃圾堆放对土壤环境的影响</w:t>
      </w:r>
    </w:p>
    <w:p>
      <w:pPr>
        <w:ind w:firstLine="480"/>
        <w:rPr>
          <w:rFonts w:cs="Times New Roman"/>
        </w:rPr>
      </w:pPr>
      <w:r>
        <w:rPr>
          <w:rFonts w:cs="Times New Roman"/>
        </w:rPr>
        <w:t>工程施工期废污水主要包含生产废水及生活污水。其中，生产用水主要供给于砼拌和浇筑及养护、建筑物基础的碾压及填筑、机械清洗及砂石料加工等方面，大部分在生产过程中被消耗，外排生产废水主要来自砂石料筛分、机械保养等工序，生产废水中主要污染物为COD</w:t>
      </w:r>
      <w:r>
        <w:rPr>
          <w:rFonts w:cs="Times New Roman"/>
          <w:vertAlign w:val="subscript"/>
        </w:rPr>
        <w:t>Cr</w:t>
      </w:r>
      <w:r>
        <w:rPr>
          <w:rFonts w:cs="Times New Roman"/>
        </w:rPr>
        <w:t>、悬浮物和石油类污染物；生活污水主要来自临时生活区，主要污染物为人体排泄物、食物残渣等有机物，阴离子洗涤剂及其它溶解性物质，主要污染指标为BOD</w:t>
      </w:r>
      <w:r>
        <w:rPr>
          <w:rFonts w:cs="Times New Roman"/>
          <w:vertAlign w:val="subscript"/>
        </w:rPr>
        <w:t>5</w:t>
      </w:r>
      <w:r>
        <w:rPr>
          <w:rFonts w:cs="Times New Roman"/>
        </w:rPr>
        <w:t>、COD</w:t>
      </w:r>
      <w:r>
        <w:rPr>
          <w:rFonts w:cs="Times New Roman"/>
          <w:vertAlign w:val="subscript"/>
        </w:rPr>
        <w:t>Cr</w:t>
      </w:r>
      <w:r>
        <w:rPr>
          <w:rFonts w:cs="Times New Roman"/>
        </w:rPr>
        <w:t>、粪大肠菌群等。工程施工期各类污废水均处理后回用，</w:t>
      </w:r>
      <w:r>
        <w:rPr>
          <w:rFonts w:hint="eastAsia" w:cs="Times New Roman"/>
          <w:lang w:eastAsia="zh-CN"/>
        </w:rPr>
        <w:t>将</w:t>
      </w:r>
      <w:r>
        <w:rPr>
          <w:rFonts w:cs="Times New Roman"/>
        </w:rPr>
        <w:t>生活垃圾运至垃圾填埋场处置，在采取上述措施后，施工期各类污染物对工程区土壤环境污染影响很小。</w:t>
      </w:r>
    </w:p>
    <w:p>
      <w:pPr>
        <w:pStyle w:val="62"/>
        <w:rPr>
          <w:rFonts w:cs="Times New Roman"/>
        </w:rPr>
      </w:pPr>
      <w:r>
        <w:rPr>
          <w:rFonts w:cs="Times New Roman"/>
        </w:rPr>
        <w:t>5.7.2.2运行期影响</w:t>
      </w:r>
    </w:p>
    <w:p>
      <w:pPr>
        <w:ind w:firstLine="480"/>
        <w:rPr>
          <w:rFonts w:cs="Times New Roman"/>
        </w:rPr>
      </w:pPr>
      <w:r>
        <w:rPr>
          <w:rFonts w:hint="eastAsia" w:cs="Times New Roman"/>
        </w:rPr>
        <w:t>代尔昆代水库正常蓄水位</w:t>
      </w:r>
      <w:r>
        <w:rPr>
          <w:rFonts w:cs="Times New Roman"/>
        </w:rPr>
        <w:t>1981.85</w:t>
      </w:r>
      <w:r>
        <w:rPr>
          <w:rFonts w:hint="eastAsia" w:cs="Times New Roman"/>
        </w:rPr>
        <w:t>m时，最大回水长度为</w:t>
      </w:r>
      <w:r>
        <w:rPr>
          <w:rFonts w:cs="Times New Roman"/>
        </w:rPr>
        <w:t>1.46</w:t>
      </w:r>
      <w:r>
        <w:rPr>
          <w:rFonts w:hint="eastAsia" w:cs="Times New Roman"/>
        </w:rPr>
        <w:t>km，淹没区面积为</w:t>
      </w:r>
      <w:r>
        <w:rPr>
          <w:rFonts w:cs="Times New Roman"/>
        </w:rPr>
        <w:t>19.36</w:t>
      </w:r>
      <w:r>
        <w:rPr>
          <w:rFonts w:hint="eastAsia" w:cs="Times New Roman"/>
        </w:rPr>
        <w:t>hm</w:t>
      </w:r>
      <w:r>
        <w:rPr>
          <w:rFonts w:hint="eastAsia" w:cs="Times New Roman"/>
          <w:vertAlign w:val="superscript"/>
        </w:rPr>
        <w:t>2</w:t>
      </w:r>
      <w:r>
        <w:rPr>
          <w:rFonts w:hint="eastAsia" w:cs="Times New Roman"/>
        </w:rPr>
        <w:t>，水库最大壅高水位</w:t>
      </w:r>
      <w:r>
        <w:rPr>
          <w:rFonts w:cs="Times New Roman"/>
        </w:rPr>
        <w:t>31.85</w:t>
      </w:r>
      <w:r>
        <w:rPr>
          <w:rFonts w:hint="eastAsia" w:cs="Times New Roman"/>
        </w:rPr>
        <w:t>m。代尔昆代水库库区位于中低山山谷区，河谷狭窄，两岸山体雄厚，山势挺拔，大面积基岩裸露，库区岩体坚硬完整，山体雄厚，岩体透水性不强，不存在永久渗漏问题；库区相邻谷较远，无可溶性岩体，分水岭较高，亦不存在浸没问题。因此，代尔昆代水库淹没不会造成周围区域地下水水位明显抬升，不会产生因地下水水位上升导致的土壤盐渍化、沼泽化等问题。</w:t>
      </w:r>
    </w:p>
    <w:p>
      <w:pPr>
        <w:ind w:firstLine="480"/>
        <w:rPr>
          <w:rFonts w:cs="Times New Roman"/>
        </w:rPr>
      </w:pPr>
    </w:p>
    <w:p>
      <w:pPr>
        <w:pStyle w:val="3"/>
        <w:rPr>
          <w:rFonts w:cs="Times New Roman"/>
        </w:rPr>
      </w:pPr>
      <w:bookmarkStart w:id="126" w:name="_Toc136263309"/>
      <w:bookmarkStart w:id="127" w:name="_Toc181381621"/>
      <w:r>
        <w:rPr>
          <w:rFonts w:cs="Times New Roman"/>
        </w:rPr>
        <w:t>5.9 工程施工对环境的影响</w:t>
      </w:r>
      <w:bookmarkEnd w:id="126"/>
      <w:bookmarkEnd w:id="127"/>
    </w:p>
    <w:p>
      <w:pPr>
        <w:pStyle w:val="4"/>
        <w:rPr>
          <w:rFonts w:cs="Times New Roman"/>
        </w:rPr>
      </w:pPr>
      <w:r>
        <w:rPr>
          <w:rFonts w:cs="Times New Roman"/>
        </w:rPr>
        <w:t>5.9.1 水环境</w:t>
      </w:r>
    </w:p>
    <w:p>
      <w:pPr>
        <w:ind w:firstLine="480"/>
        <w:rPr>
          <w:rFonts w:cs="Times New Roman"/>
        </w:rPr>
      </w:pPr>
      <w:r>
        <w:rPr>
          <w:rFonts w:cs="Times New Roman"/>
        </w:rPr>
        <w:t>工程施工期生产废水主要来源于砂石料加工系统废水、混凝土拌和系统冲洗废水、机械保养含油废水等，主要污染因子为SS、COD</w:t>
      </w:r>
      <w:r>
        <w:rPr>
          <w:rFonts w:cs="Times New Roman"/>
          <w:vertAlign w:val="subscript"/>
        </w:rPr>
        <w:t>Cr</w:t>
      </w:r>
      <w:r>
        <w:rPr>
          <w:rFonts w:cs="Times New Roman"/>
        </w:rPr>
        <w:t>、石油类等。生活污水排放集中在施工生活区和施工管理区，主要污染指标为BOD</w:t>
      </w:r>
      <w:r>
        <w:rPr>
          <w:rFonts w:cs="Times New Roman"/>
          <w:vertAlign w:val="subscript"/>
        </w:rPr>
        <w:t>5</w:t>
      </w:r>
      <w:r>
        <w:rPr>
          <w:rFonts w:cs="Times New Roman"/>
        </w:rPr>
        <w:t>、COD</w:t>
      </w:r>
      <w:r>
        <w:rPr>
          <w:rFonts w:cs="Times New Roman"/>
          <w:vertAlign w:val="subscript"/>
        </w:rPr>
        <w:t>Cr</w:t>
      </w:r>
      <w:r>
        <w:rPr>
          <w:rFonts w:cs="Times New Roman"/>
        </w:rPr>
        <w:t>、粪大肠菌群等。</w:t>
      </w:r>
    </w:p>
    <w:p>
      <w:pPr>
        <w:pStyle w:val="62"/>
        <w:rPr>
          <w:rFonts w:cs="Times New Roman"/>
        </w:rPr>
      </w:pPr>
      <w:r>
        <w:rPr>
          <w:rFonts w:cs="Times New Roman"/>
        </w:rPr>
        <w:t>5.9.1.1 生产废水</w:t>
      </w:r>
    </w:p>
    <w:p>
      <w:pPr>
        <w:ind w:firstLine="480"/>
        <w:rPr>
          <w:rFonts w:cs="Times New Roman"/>
        </w:rPr>
      </w:pPr>
      <w:r>
        <w:rPr>
          <w:rFonts w:cs="Times New Roman"/>
        </w:rPr>
        <w:t>（1）砂石料加工系统废水</w:t>
      </w:r>
    </w:p>
    <w:p>
      <w:pPr>
        <w:ind w:firstLine="480"/>
        <w:rPr>
          <w:rFonts w:cs="Times New Roman"/>
        </w:rPr>
      </w:pPr>
      <w:r>
        <w:rPr>
          <w:rFonts w:cs="Times New Roman"/>
        </w:rPr>
        <w:t>本工程布设1处砂石料加工系统，位于坝址下游的C2料场左岸阶地，距坝址0.85km，废水排放情况见表5.9-1。结合工程砂石料源特性和砂石加工方法分析，废水中主要污染物为SS，浓度可达50000mg/L，但基本不含其它有毒、有害指标。</w:t>
      </w:r>
    </w:p>
    <w:p>
      <w:pPr>
        <w:pStyle w:val="137"/>
        <w:spacing w:before="62"/>
      </w:pPr>
      <w:r>
        <w:t>表5.9-1                   砂石料加工系统废水排放情况表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1"/>
        <w:gridCol w:w="1989"/>
        <w:gridCol w:w="992"/>
        <w:gridCol w:w="889"/>
        <w:gridCol w:w="910"/>
        <w:gridCol w:w="1411"/>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3" w:type="pct"/>
            <w:noWrap/>
            <w:vAlign w:val="center"/>
          </w:tcPr>
          <w:p>
            <w:pPr>
              <w:pStyle w:val="136"/>
            </w:pPr>
            <w:r>
              <w:t>名称</w:t>
            </w:r>
          </w:p>
        </w:tc>
        <w:tc>
          <w:tcPr>
            <w:tcW w:w="1130" w:type="pct"/>
            <w:vAlign w:val="center"/>
          </w:tcPr>
          <w:p>
            <w:pPr>
              <w:pStyle w:val="136"/>
            </w:pPr>
            <w:r>
              <w:t>位置</w:t>
            </w:r>
          </w:p>
        </w:tc>
        <w:tc>
          <w:tcPr>
            <w:tcW w:w="564" w:type="pct"/>
            <w:vAlign w:val="center"/>
          </w:tcPr>
          <w:p>
            <w:pPr>
              <w:pStyle w:val="136"/>
            </w:pPr>
            <w:r>
              <w:t>系统</w:t>
            </w:r>
          </w:p>
          <w:p>
            <w:pPr>
              <w:pStyle w:val="136"/>
            </w:pPr>
            <w:r>
              <w:t>耗水量（m</w:t>
            </w:r>
            <w:r>
              <w:rPr>
                <w:vertAlign w:val="superscript"/>
              </w:rPr>
              <w:t>3</w:t>
            </w:r>
            <w:r>
              <w:t>/h）</w:t>
            </w:r>
          </w:p>
        </w:tc>
        <w:tc>
          <w:tcPr>
            <w:tcW w:w="505" w:type="pct"/>
            <w:vAlign w:val="center"/>
          </w:tcPr>
          <w:p>
            <w:pPr>
              <w:pStyle w:val="136"/>
            </w:pPr>
            <w:r>
              <w:t>废水</w:t>
            </w:r>
          </w:p>
          <w:p>
            <w:pPr>
              <w:pStyle w:val="136"/>
            </w:pPr>
            <w:r>
              <w:t>排放率（%）</w:t>
            </w:r>
          </w:p>
        </w:tc>
        <w:tc>
          <w:tcPr>
            <w:tcW w:w="517" w:type="pct"/>
            <w:vAlign w:val="center"/>
          </w:tcPr>
          <w:p>
            <w:pPr>
              <w:pStyle w:val="136"/>
            </w:pPr>
            <w:r>
              <w:t>废水排放量</w:t>
            </w:r>
          </w:p>
          <w:p>
            <w:pPr>
              <w:pStyle w:val="136"/>
            </w:pPr>
            <w:r>
              <w:t>（m</w:t>
            </w:r>
            <w:r>
              <w:rPr>
                <w:vertAlign w:val="superscript"/>
              </w:rPr>
              <w:t>3</w:t>
            </w:r>
            <w:r>
              <w:t>/h）</w:t>
            </w:r>
          </w:p>
        </w:tc>
        <w:tc>
          <w:tcPr>
            <w:tcW w:w="802" w:type="pct"/>
            <w:vAlign w:val="center"/>
          </w:tcPr>
          <w:p>
            <w:pPr>
              <w:pStyle w:val="136"/>
            </w:pPr>
            <w:r>
              <w:t>高峰日废水排放量（m</w:t>
            </w:r>
            <w:r>
              <w:rPr>
                <w:vertAlign w:val="superscript"/>
              </w:rPr>
              <w:t>3</w:t>
            </w:r>
            <w:r>
              <w:t>/d）</w:t>
            </w:r>
          </w:p>
        </w:tc>
        <w:tc>
          <w:tcPr>
            <w:tcW w:w="918" w:type="pct"/>
            <w:vAlign w:val="center"/>
          </w:tcPr>
          <w:p>
            <w:pPr>
              <w:pStyle w:val="136"/>
            </w:pPr>
            <w:r>
              <w:t>主要污染物及排放浓度（mg/L）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3" w:type="pct"/>
            <w:noWrap/>
            <w:vAlign w:val="center"/>
          </w:tcPr>
          <w:p>
            <w:pPr>
              <w:pStyle w:val="136"/>
            </w:pPr>
            <w:r>
              <w:t>砂石料加工系统</w:t>
            </w:r>
          </w:p>
        </w:tc>
        <w:tc>
          <w:tcPr>
            <w:tcW w:w="1130" w:type="pct"/>
            <w:vAlign w:val="center"/>
          </w:tcPr>
          <w:p>
            <w:pPr>
              <w:pStyle w:val="136"/>
            </w:pPr>
            <w:r>
              <w:t>坝址下游左岸阶地，距坝址约0.85km，与河道最近直线距离约110m。</w:t>
            </w:r>
          </w:p>
        </w:tc>
        <w:tc>
          <w:tcPr>
            <w:tcW w:w="564" w:type="pct"/>
            <w:vAlign w:val="center"/>
          </w:tcPr>
          <w:p>
            <w:pPr>
              <w:pStyle w:val="136"/>
            </w:pPr>
            <w:r>
              <w:t>30</w:t>
            </w:r>
          </w:p>
        </w:tc>
        <w:tc>
          <w:tcPr>
            <w:tcW w:w="505" w:type="pct"/>
            <w:vAlign w:val="center"/>
          </w:tcPr>
          <w:p>
            <w:pPr>
              <w:pStyle w:val="136"/>
            </w:pPr>
            <w:r>
              <w:t>80</w:t>
            </w:r>
          </w:p>
        </w:tc>
        <w:tc>
          <w:tcPr>
            <w:tcW w:w="517" w:type="pct"/>
            <w:vAlign w:val="center"/>
          </w:tcPr>
          <w:p>
            <w:pPr>
              <w:pStyle w:val="136"/>
            </w:pPr>
            <w:r>
              <w:t>24</w:t>
            </w:r>
          </w:p>
        </w:tc>
        <w:tc>
          <w:tcPr>
            <w:tcW w:w="802" w:type="pct"/>
            <w:vAlign w:val="center"/>
          </w:tcPr>
          <w:p>
            <w:pPr>
              <w:pStyle w:val="136"/>
            </w:pPr>
            <w:r>
              <w:t>336</w:t>
            </w:r>
          </w:p>
          <w:p>
            <w:pPr>
              <w:pStyle w:val="136"/>
            </w:pPr>
            <w:r>
              <w:t>（14h）</w:t>
            </w:r>
          </w:p>
        </w:tc>
        <w:tc>
          <w:tcPr>
            <w:tcW w:w="918" w:type="pct"/>
            <w:vAlign w:val="center"/>
          </w:tcPr>
          <w:p>
            <w:pPr>
              <w:pStyle w:val="136"/>
            </w:pPr>
            <w:r>
              <w:t>SS，50000</w:t>
            </w:r>
          </w:p>
        </w:tc>
      </w:tr>
    </w:tbl>
    <w:p>
      <w:pPr>
        <w:pStyle w:val="113"/>
        <w:ind w:firstLine="180"/>
      </w:pPr>
      <w:r>
        <w:t>注：“（）”内代表系统运行时间。</w:t>
      </w:r>
    </w:p>
    <w:p>
      <w:pPr>
        <w:ind w:firstLine="480"/>
        <w:rPr>
          <w:rFonts w:cs="Times New Roman"/>
        </w:rPr>
      </w:pPr>
    </w:p>
    <w:p>
      <w:pPr>
        <w:ind w:firstLine="480"/>
        <w:rPr>
          <w:rFonts w:cs="Times New Roman"/>
        </w:rPr>
      </w:pPr>
      <w:r>
        <w:rPr>
          <w:rFonts w:cs="Times New Roman"/>
        </w:rPr>
        <w:t>工程砂石料加工系统生产废水若就地任意排放，沉积的泥沙会盖压容泄区植被，水分蒸发渗漏后，悬浮物干结在地表，成为沙源。此外，从本工程砂石料加工系统所处位置和地形来看，其距代尔昆代郭勒河距离较近，砂石加工系统废水存在顺地势直接进入或遭雨水冲刷汇流进入河道污染河流水质的可能，</w:t>
      </w:r>
      <w:r>
        <w:rPr>
          <w:rFonts w:hint="eastAsia" w:cs="Times New Roman"/>
          <w:lang w:eastAsia="zh-CN"/>
        </w:rPr>
        <w:t>将</w:t>
      </w:r>
      <w:r>
        <w:rPr>
          <w:rFonts w:cs="Times New Roman"/>
        </w:rPr>
        <w:t>造成河段水体悬浮物增加，水质变浑浊，需较长距离的沉降才可消减，还可能影响工程生活用水取水水质。</w:t>
      </w:r>
    </w:p>
    <w:p>
      <w:pPr>
        <w:ind w:firstLine="480"/>
        <w:rPr>
          <w:rFonts w:cs="Times New Roman"/>
        </w:rPr>
      </w:pPr>
      <w:r>
        <w:rPr>
          <w:rFonts w:cs="Times New Roman"/>
        </w:rPr>
        <w:t>工程所处代尔昆代郭勒河为Ⅱ类水体，禁止排污。从节约利用水资源的角度，本次评价提出工程施工期砂石料加工废水须处理后回用于生产环节或洒水降尘。</w:t>
      </w:r>
    </w:p>
    <w:p>
      <w:pPr>
        <w:ind w:firstLine="480"/>
        <w:rPr>
          <w:rFonts w:cs="Times New Roman"/>
        </w:rPr>
      </w:pPr>
      <w:r>
        <w:rPr>
          <w:rFonts w:cs="Times New Roman"/>
        </w:rPr>
        <w:t>（2）混凝土拌和系统冲洗废水</w:t>
      </w:r>
    </w:p>
    <w:p>
      <w:pPr>
        <w:ind w:firstLine="480"/>
        <w:rPr>
          <w:rFonts w:cs="Times New Roman"/>
        </w:rPr>
      </w:pPr>
      <w:r>
        <w:rPr>
          <w:rFonts w:cs="Times New Roman"/>
        </w:rPr>
        <w:t>本工程在施工区共布设2套混凝土拌和系统，布置在本工程坝址下游左岸Ⅰ级阶地上，距代尔昆代水库坝址约0.75km。混凝土拌和废水在每班末冲洗过程中排水量较大，拌和过程会有少量洒落，具有间歇式排放特点，每套混凝土拌和系统转筒冲洗废水产生量为4m</w:t>
      </w:r>
      <w:r>
        <w:rPr>
          <w:rFonts w:cs="Times New Roman"/>
          <w:vertAlign w:val="superscript"/>
        </w:rPr>
        <w:t>3</w:t>
      </w:r>
      <w:r>
        <w:rPr>
          <w:rFonts w:cs="Times New Roman"/>
        </w:rPr>
        <w:t>/d，污染物主要是SS，浓度约为5000mg/L，pH值在12左右，呈碱性。施工期混凝土拌和系统废水排放情况见表5.9-2。</w:t>
      </w:r>
    </w:p>
    <w:p>
      <w:pPr>
        <w:pStyle w:val="137"/>
        <w:spacing w:before="62"/>
      </w:pPr>
      <w:r>
        <w:t>表5.9-2              混凝土拌和站废水排放情况表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739"/>
        <w:gridCol w:w="1549"/>
        <w:gridCol w:w="1675"/>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vAlign w:val="center"/>
          </w:tcPr>
          <w:p>
            <w:pPr>
              <w:pStyle w:val="136"/>
            </w:pPr>
            <w:r>
              <w:t>名称</w:t>
            </w:r>
          </w:p>
        </w:tc>
        <w:tc>
          <w:tcPr>
            <w:tcW w:w="1521" w:type="pct"/>
            <w:vAlign w:val="center"/>
          </w:tcPr>
          <w:p>
            <w:pPr>
              <w:pStyle w:val="136"/>
            </w:pPr>
            <w:r>
              <w:t>位置</w:t>
            </w:r>
          </w:p>
        </w:tc>
        <w:tc>
          <w:tcPr>
            <w:tcW w:w="860" w:type="pct"/>
            <w:vAlign w:val="center"/>
          </w:tcPr>
          <w:p>
            <w:pPr>
              <w:pStyle w:val="136"/>
            </w:pPr>
            <w:r>
              <w:t>生产能力（m</w:t>
            </w:r>
            <w:r>
              <w:rPr>
                <w:vertAlign w:val="superscript"/>
              </w:rPr>
              <w:t>3</w:t>
            </w:r>
            <w:r>
              <w:t>/h）</w:t>
            </w:r>
          </w:p>
        </w:tc>
        <w:tc>
          <w:tcPr>
            <w:tcW w:w="930" w:type="pct"/>
            <w:vAlign w:val="center"/>
          </w:tcPr>
          <w:p>
            <w:pPr>
              <w:pStyle w:val="136"/>
            </w:pPr>
            <w:r>
              <w:t>高峰日废水排放量（m</w:t>
            </w:r>
            <w:r>
              <w:rPr>
                <w:vertAlign w:val="superscript"/>
              </w:rPr>
              <w:t>3</w:t>
            </w:r>
            <w:r>
              <w:t>/d）</w:t>
            </w:r>
          </w:p>
        </w:tc>
        <w:tc>
          <w:tcPr>
            <w:tcW w:w="965" w:type="pct"/>
            <w:vAlign w:val="center"/>
          </w:tcPr>
          <w:p>
            <w:pPr>
              <w:pStyle w:val="136"/>
            </w:pPr>
            <w: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vAlign w:val="center"/>
          </w:tcPr>
          <w:p>
            <w:pPr>
              <w:pStyle w:val="136"/>
            </w:pPr>
            <w:r>
              <w:t>常态混凝土拌和系统</w:t>
            </w:r>
          </w:p>
        </w:tc>
        <w:tc>
          <w:tcPr>
            <w:tcW w:w="1521" w:type="pct"/>
            <w:vAlign w:val="center"/>
          </w:tcPr>
          <w:p>
            <w:pPr>
              <w:pStyle w:val="136"/>
            </w:pPr>
            <w:r>
              <w:t>砂石料加工系统西南侧，距坝址约0.75km，与河道最近直线距离约105m。</w:t>
            </w:r>
          </w:p>
        </w:tc>
        <w:tc>
          <w:tcPr>
            <w:tcW w:w="860" w:type="pct"/>
            <w:vAlign w:val="center"/>
          </w:tcPr>
          <w:p>
            <w:pPr>
              <w:pStyle w:val="136"/>
            </w:pPr>
            <w:r>
              <w:t>90</w:t>
            </w:r>
          </w:p>
        </w:tc>
        <w:tc>
          <w:tcPr>
            <w:tcW w:w="930" w:type="pct"/>
            <w:vAlign w:val="center"/>
          </w:tcPr>
          <w:p>
            <w:pPr>
              <w:pStyle w:val="136"/>
            </w:pPr>
            <w:r>
              <w:t>8</w:t>
            </w:r>
          </w:p>
        </w:tc>
        <w:tc>
          <w:tcPr>
            <w:tcW w:w="965" w:type="pct"/>
            <w:vAlign w:val="center"/>
          </w:tcPr>
          <w:p>
            <w:pPr>
              <w:pStyle w:val="136"/>
            </w:pPr>
            <w:r>
              <w:t>SS：5000mg/L</w:t>
            </w:r>
          </w:p>
          <w:p>
            <w:pPr>
              <w:pStyle w:val="136"/>
            </w:pPr>
            <w:r>
              <w:t>pH：12左右</w:t>
            </w:r>
          </w:p>
        </w:tc>
      </w:tr>
    </w:tbl>
    <w:p>
      <w:pPr>
        <w:ind w:firstLine="480"/>
        <w:rPr>
          <w:rFonts w:cs="Times New Roman"/>
        </w:rPr>
      </w:pPr>
    </w:p>
    <w:p>
      <w:pPr>
        <w:ind w:firstLine="480"/>
        <w:rPr>
          <w:rFonts w:cs="Times New Roman"/>
        </w:rPr>
      </w:pPr>
      <w:r>
        <w:rPr>
          <w:rFonts w:cs="Times New Roman"/>
        </w:rPr>
        <w:t>根据混凝土拌和站所处位置和地形来看，系统距离河道较近，约105m，若不注意收集处理，废水任意排放，可能会进入河道，同时</w:t>
      </w:r>
      <w:r>
        <w:rPr>
          <w:rFonts w:hint="eastAsia" w:cs="Times New Roman"/>
          <w:lang w:eastAsia="zh-CN"/>
        </w:rPr>
        <w:t>将</w:t>
      </w:r>
      <w:r>
        <w:rPr>
          <w:rFonts w:cs="Times New Roman"/>
        </w:rPr>
        <w:t>使得周边土壤逐渐碱化，不利于施工后期的迹地恢复，同时沉积物若随降水汇入河道还</w:t>
      </w:r>
      <w:r>
        <w:rPr>
          <w:rFonts w:hint="eastAsia" w:cs="Times New Roman"/>
          <w:lang w:eastAsia="zh-CN"/>
        </w:rPr>
        <w:t>将</w:t>
      </w:r>
      <w:r>
        <w:rPr>
          <w:rFonts w:cs="Times New Roman"/>
        </w:rPr>
        <w:t>影响河流水质。工程所处代尔昆代郭勒河为Ⅱ类水体，禁止排污，同时考虑到工程施工期用水量较大，从节约水资源和降低处理成本及便于管理角度考虑，提出对混凝土拌和系统废水收集处理达标后回用，禁止排放。</w:t>
      </w:r>
    </w:p>
    <w:p>
      <w:pPr>
        <w:ind w:firstLine="480"/>
        <w:rPr>
          <w:rFonts w:cs="Times New Roman"/>
        </w:rPr>
      </w:pPr>
      <w:r>
        <w:rPr>
          <w:rFonts w:cs="Times New Roman"/>
        </w:rPr>
        <w:t>（3）机械清洗保养含油废水</w:t>
      </w:r>
    </w:p>
    <w:p>
      <w:pPr>
        <w:ind w:firstLine="480"/>
        <w:rPr>
          <w:rFonts w:cs="Times New Roman"/>
        </w:rPr>
      </w:pPr>
      <w:r>
        <w:rPr>
          <w:rFonts w:cs="Times New Roman"/>
        </w:rPr>
        <w:t>根据施工组织设计，工地内设置1处机械修配保养场，机械保养冲洗过程中产生的含油废水排放特点是废水量相对较少、间歇排放，COD</w:t>
      </w:r>
      <w:r>
        <w:rPr>
          <w:rFonts w:cs="Times New Roman"/>
          <w:vertAlign w:val="subscript"/>
        </w:rPr>
        <w:t>Cr</w:t>
      </w:r>
      <w:r>
        <w:rPr>
          <w:rFonts w:cs="Times New Roman"/>
        </w:rPr>
        <w:t>、SS和石油类含量较高，其浓度分别为25～200mg/L、500～4000mg/L和100mg/L。根据施工经验，机械修配厂高峰用水量约5m</w:t>
      </w:r>
      <w:r>
        <w:rPr>
          <w:rFonts w:cs="Times New Roman"/>
          <w:vertAlign w:val="superscript"/>
        </w:rPr>
        <w:t>3</w:t>
      </w:r>
      <w:r>
        <w:rPr>
          <w:rFonts w:cs="Times New Roman"/>
        </w:rPr>
        <w:t>/d，含油废水排放率均为80%，则含油废水排放量为4m</w:t>
      </w:r>
      <w:r>
        <w:rPr>
          <w:rFonts w:cs="Times New Roman"/>
          <w:vertAlign w:val="superscript"/>
        </w:rPr>
        <w:t>3</w:t>
      </w:r>
      <w:r>
        <w:rPr>
          <w:rFonts w:cs="Times New Roman"/>
        </w:rPr>
        <w:t>/d。若该部分废水就地排放，流经区域</w:t>
      </w:r>
      <w:r>
        <w:rPr>
          <w:rFonts w:hint="eastAsia" w:cs="Times New Roman"/>
          <w:lang w:eastAsia="zh-CN"/>
        </w:rPr>
        <w:t>将</w:t>
      </w:r>
      <w:r>
        <w:rPr>
          <w:rFonts w:cs="Times New Roman"/>
        </w:rPr>
        <w:t>会在地表形成一层干结的黑色油污，土壤理化性质改变、肥力降低，不利于迹地恢复，且影响地表景观；另外含油废水散发机油气味，还</w:t>
      </w:r>
      <w:r>
        <w:rPr>
          <w:rFonts w:hint="eastAsia" w:cs="Times New Roman"/>
          <w:lang w:eastAsia="zh-CN"/>
        </w:rPr>
        <w:t>将</w:t>
      </w:r>
      <w:r>
        <w:rPr>
          <w:rFonts w:cs="Times New Roman"/>
        </w:rPr>
        <w:t>对施工作业区和周边环境造成影响。因此，须建设隔油处理设施，对该部分废水进行处理后，用于车辆清洗或洒水降尘。隔油池内废油、底泥均为危险废物，应按危险废物相关要求进行收集、贮存和处置。</w:t>
      </w:r>
    </w:p>
    <w:p>
      <w:pPr>
        <w:ind w:firstLine="480"/>
        <w:rPr>
          <w:rFonts w:cs="Times New Roman"/>
        </w:rPr>
      </w:pPr>
      <w:r>
        <w:rPr>
          <w:rFonts w:cs="Times New Roman"/>
        </w:rPr>
        <w:t>（4）炸药残留物</w:t>
      </w:r>
    </w:p>
    <w:p>
      <w:pPr>
        <w:ind w:firstLine="480"/>
        <w:rPr>
          <w:rFonts w:cs="Times New Roman"/>
        </w:rPr>
      </w:pPr>
      <w:r>
        <w:rPr>
          <w:rFonts w:cs="Times New Roman"/>
        </w:rPr>
        <w:t>工程导流兼泄洪冲沙洞开挖、爆破料场开采均需使用炸药，如果在条件具备的情况下，尽量选用安全、环保、高效的乳化炸药，可大大降低爆破施工对人体和水体的危害。乳化炸药主要含无机氧化剂70～85%、水分9～13%、碳氢燃料3～6%、乳化剂0.4～1.5%和密度调节剂0.1～5%，其中无机氧化剂由硝酸铵75～90%、硝酸钠10～25%、硝酸钙0～10%、尿素0～5%和高氯酸盐0～5%组成。当乳化炸药爆炸后，其残留物主要为无机硝酸盐类，对人体和水体无毒害作用。</w:t>
      </w:r>
    </w:p>
    <w:p>
      <w:pPr>
        <w:pStyle w:val="62"/>
        <w:rPr>
          <w:rFonts w:cs="Times New Roman"/>
        </w:rPr>
      </w:pPr>
      <w:r>
        <w:rPr>
          <w:rFonts w:cs="Times New Roman"/>
        </w:rPr>
        <w:t>5.9.1.1 生活污水</w:t>
      </w:r>
    </w:p>
    <w:p>
      <w:pPr>
        <w:ind w:firstLine="480"/>
        <w:rPr>
          <w:rFonts w:cs="Times New Roman"/>
        </w:rPr>
      </w:pPr>
      <w:r>
        <w:rPr>
          <w:rFonts w:cs="Times New Roman"/>
        </w:rPr>
        <w:t>施工期生活污水主要来自施工临时生活区，主要污染物为人体排泄物、食物残渣、阴离子洗涤剂及其它溶解性物质，主要污染指标为BOD</w:t>
      </w:r>
      <w:r>
        <w:rPr>
          <w:rFonts w:cs="Times New Roman"/>
          <w:vertAlign w:val="subscript"/>
        </w:rPr>
        <w:t>5</w:t>
      </w:r>
      <w:r>
        <w:rPr>
          <w:rFonts w:cs="Times New Roman"/>
        </w:rPr>
        <w:t>、CODcr、粪大肠菌群等。据同类工程监测资料，生活污水中BOD</w:t>
      </w:r>
      <w:r>
        <w:rPr>
          <w:rFonts w:cs="Times New Roman"/>
          <w:vertAlign w:val="subscript"/>
        </w:rPr>
        <w:t>5</w:t>
      </w:r>
      <w:r>
        <w:rPr>
          <w:rFonts w:cs="Times New Roman"/>
        </w:rPr>
        <w:t>浓度为200mg/L、CODcr浓度为400mg/L左右。</w:t>
      </w:r>
    </w:p>
    <w:p>
      <w:pPr>
        <w:ind w:firstLine="480"/>
        <w:rPr>
          <w:rFonts w:cs="Times New Roman"/>
        </w:rPr>
      </w:pPr>
      <w:r>
        <w:rPr>
          <w:rFonts w:cs="Times New Roman"/>
        </w:rPr>
        <w:t>本工程共布置1处施工临时生活区，布置在本工程坝址下游左岸III级阶地上，距代尔昆代水库坝址约1km。施工高峰期总人数为310人，各施工生活区高峰期生活污水排放量见前文表3.4-4。</w:t>
      </w:r>
    </w:p>
    <w:p>
      <w:pPr>
        <w:ind w:firstLine="480"/>
        <w:rPr>
          <w:rFonts w:cs="Times New Roman"/>
        </w:rPr>
      </w:pPr>
      <w:r>
        <w:rPr>
          <w:rFonts w:cs="Times New Roman"/>
        </w:rPr>
        <w:t>依据施工临时生活区所处位置和地形来看，左岸临时生活区与河道最近直线距离均约330m，施工临时生活区生活污水存在顺地势直接进入或经雨水冲刷混流进入河道污染河流水质的可能。工程涉及河段为Ⅱ类水体，禁止排污；另外，若生活污水就地任意排放，</w:t>
      </w:r>
      <w:r>
        <w:rPr>
          <w:rFonts w:hint="eastAsia" w:cs="Times New Roman"/>
          <w:lang w:eastAsia="zh-CN"/>
        </w:rPr>
        <w:t>将</w:t>
      </w:r>
      <w:r>
        <w:rPr>
          <w:rFonts w:cs="Times New Roman"/>
        </w:rPr>
        <w:t>污染土壤，还可能孳生蚊蝇、传播细菌，对施工人员生活环境卫生及人群健康都构成威胁。施工生活污水可经收集处理后用于施工生活区绿化灌溉，冬储夏灌。</w:t>
      </w:r>
    </w:p>
    <w:p>
      <w:pPr>
        <w:pStyle w:val="4"/>
        <w:rPr>
          <w:rFonts w:cs="Times New Roman"/>
        </w:rPr>
      </w:pPr>
      <w:r>
        <w:rPr>
          <w:rFonts w:cs="Times New Roman"/>
        </w:rPr>
        <w:t>5.9.2 环境空气</w:t>
      </w:r>
    </w:p>
    <w:p>
      <w:pPr>
        <w:ind w:firstLine="480"/>
        <w:rPr>
          <w:rFonts w:cs="Times New Roman"/>
        </w:rPr>
      </w:pPr>
      <w:r>
        <w:rPr>
          <w:rFonts w:cs="Times New Roman"/>
        </w:rPr>
        <w:t>工程施工期环境空气污染物主要来源于施工作业面扬尘、炸药爆破粉尘、道路运输扬尘、砂石料加工系统和混凝土拌和粉尘，以及机动车辆和施工机械排放的燃油尾气，主要污染物有TSP及NOx等。根据同类工程施工经验，施工各环节产生的TSP对环境空气质量的影响最为突出，其次是动力机械尾气。</w:t>
      </w:r>
    </w:p>
    <w:p>
      <w:pPr>
        <w:pStyle w:val="62"/>
        <w:rPr>
          <w:rFonts w:cs="Times New Roman"/>
        </w:rPr>
      </w:pPr>
      <w:r>
        <w:rPr>
          <w:rFonts w:cs="Times New Roman"/>
        </w:rPr>
        <w:t>5.9.2.1施工扬尘、粉尘污染影响</w:t>
      </w:r>
    </w:p>
    <w:p>
      <w:pPr>
        <w:ind w:firstLine="480"/>
        <w:rPr>
          <w:rFonts w:cs="Times New Roman"/>
        </w:rPr>
      </w:pPr>
      <w:r>
        <w:rPr>
          <w:rFonts w:cs="Times New Roman"/>
        </w:rPr>
        <w:t>（1）施工作业面扬尘</w:t>
      </w:r>
    </w:p>
    <w:p>
      <w:pPr>
        <w:ind w:firstLine="480"/>
        <w:rPr>
          <w:rFonts w:cs="Times New Roman"/>
        </w:rPr>
      </w:pPr>
      <w:r>
        <w:rPr>
          <w:rFonts w:cs="Times New Roman"/>
        </w:rPr>
        <w:t>工程大坝坝肩开挖、洞室等开挖面及料场、弃渣场等施工作业面均会产生扬尘，扬尘产生量与天气干燥程度及风力、作业面大小、施工机械、施工方法，及采取的抑尘措施等有关。类比同类工程，在不采取抑尘措施时，土石方施工区TSP浓度可达100mg/m</w:t>
      </w:r>
      <w:r>
        <w:rPr>
          <w:rFonts w:cs="Times New Roman"/>
          <w:vertAlign w:val="superscript"/>
        </w:rPr>
        <w:t>3</w:t>
      </w:r>
      <w:r>
        <w:rPr>
          <w:rFonts w:cs="Times New Roman"/>
        </w:rPr>
        <w:t>以上，属于严重超标。本工程枢纽施工区附近无居民区等大气环境敏感点，施工区粉尘主要是对施工人员产生不利影响。根据施工组织设计，大气污染源具有流动性和间歇性，且源强不大。</w:t>
      </w:r>
    </w:p>
    <w:p>
      <w:pPr>
        <w:ind w:firstLine="480"/>
        <w:rPr>
          <w:rFonts w:cs="Times New Roman"/>
        </w:rPr>
      </w:pPr>
      <w:r>
        <w:rPr>
          <w:rFonts w:cs="Times New Roman"/>
        </w:rPr>
        <w:t>（2）主体工程爆破粉尘</w:t>
      </w:r>
    </w:p>
    <w:p>
      <w:pPr>
        <w:ind w:firstLine="480"/>
        <w:rPr>
          <w:rFonts w:cs="Times New Roman"/>
        </w:rPr>
      </w:pPr>
      <w:r>
        <w:rPr>
          <w:rFonts w:cs="Times New Roman"/>
        </w:rPr>
        <w:t>大坝坝肩开挖爆破、洞室开挖爆破共需炸药53.4t，类比同类工程，爆破过程中TSP产生量约10.79t。爆破粉尘在施工期内为分时段、炸药引爆后瞬时集中排放，不会对施工区域环境空气质量产生长时段影响。爆破施工区及粉尘影响范围内无环境空气敏感对象分布，施工期间受爆破粉尘影响的对象主要为现场施工人员，尤其是溢导流放水隧洞爆破施工段，因洞室空间相对封闭，不利于粉尘扩散，若不注重通风和及时除尘，</w:t>
      </w:r>
      <w:r>
        <w:rPr>
          <w:rFonts w:hint="eastAsia" w:cs="Times New Roman"/>
          <w:lang w:eastAsia="zh-CN"/>
        </w:rPr>
        <w:t>将</w:t>
      </w:r>
      <w:r>
        <w:rPr>
          <w:rFonts w:cs="Times New Roman"/>
        </w:rPr>
        <w:t>使得洞内粉尘浓度长时间保持在较高水平，</w:t>
      </w:r>
      <w:r>
        <w:rPr>
          <w:rFonts w:hint="eastAsia" w:cs="Times New Roman"/>
          <w:lang w:eastAsia="zh-CN"/>
        </w:rPr>
        <w:t>从</w:t>
      </w:r>
      <w:r>
        <w:rPr>
          <w:rFonts w:cs="Times New Roman"/>
        </w:rPr>
        <w:t>而对洞内施工人员带来较大影响。</w:t>
      </w:r>
    </w:p>
    <w:p>
      <w:pPr>
        <w:ind w:firstLine="480"/>
        <w:rPr>
          <w:rFonts w:cs="Times New Roman"/>
        </w:rPr>
      </w:pPr>
      <w:r>
        <w:rPr>
          <w:rFonts w:cs="Times New Roman"/>
        </w:rPr>
        <w:t>（3）交通运输产生的扬尘</w:t>
      </w:r>
    </w:p>
    <w:p>
      <w:pPr>
        <w:ind w:firstLine="480"/>
        <w:rPr>
          <w:rFonts w:cs="Times New Roman"/>
        </w:rPr>
      </w:pPr>
      <w:r>
        <w:rPr>
          <w:rFonts w:cs="Times New Roman"/>
        </w:rPr>
        <w:t>场内施工道路多采用砂砾石路面，在重型施工车辆机械反复碾压下，易发生扬尘。根据有关资料，施工交通扬尘约占施工期总扬尘量的60%以上。此外，运输物料泄露也是产生扬尘的因素之一，其中水泥是最易在运输过程中产生扬尘的，工程施工共需水泥20013.1t，若运输装卸不当，会产生物料扬尘。工程场内道路占地区无居民点等环境敏感目标分布，受影响对象主要为施工人员。</w:t>
      </w:r>
    </w:p>
    <w:p>
      <w:pPr>
        <w:ind w:firstLine="480"/>
        <w:rPr>
          <w:rFonts w:cs="Times New Roman"/>
        </w:rPr>
      </w:pPr>
      <w:r>
        <w:rPr>
          <w:rFonts w:cs="Times New Roman"/>
        </w:rPr>
        <w:t>（4）砂石料加工系统和混凝土拌和系统产生的粉尘</w:t>
      </w:r>
    </w:p>
    <w:p>
      <w:pPr>
        <w:ind w:firstLine="480"/>
        <w:rPr>
          <w:rFonts w:cs="Times New Roman"/>
        </w:rPr>
      </w:pPr>
      <w:r>
        <w:rPr>
          <w:rFonts w:cs="Times New Roman"/>
        </w:rPr>
        <w:t>砂石料加工系统在粗碎、中碎、细碎、筛分及运输过程中均会产生粉尘污染。一般在无控制排放情况下，粉尘排放系数为0.77kg/t产品；采用湿法和闭路破碎工艺</w:t>
      </w:r>
      <w:r>
        <w:rPr>
          <w:rFonts w:hint="eastAsia" w:cs="Times New Roman"/>
          <w:lang w:eastAsia="zh-CN"/>
        </w:rPr>
        <w:t>将</w:t>
      </w:r>
      <w:r>
        <w:rPr>
          <w:rFonts w:cs="Times New Roman"/>
        </w:rPr>
        <w:t>大大降低加工过程中的粉尘排放量，一般在有控制情况下粉尘排放系数为0.3kg/t产品。工程砂石料加工系统采用湿法和闭路破碎工艺，根据高峰期满负荷生产能力，砂石料加工场每小时预计产生粉尘量54kg。</w:t>
      </w:r>
    </w:p>
    <w:p>
      <w:pPr>
        <w:ind w:firstLine="480"/>
        <w:rPr>
          <w:rFonts w:cs="Times New Roman"/>
        </w:rPr>
      </w:pPr>
      <w:r>
        <w:rPr>
          <w:rFonts w:cs="Times New Roman"/>
        </w:rPr>
        <w:t>混凝土拌和粉尘主要产生于水泥运输、装卸及混凝土拌和进料过程中，在无防治措施情况下，粉尘排放系数为0.91kg/t，工程共使用的20013.1t水泥</w:t>
      </w:r>
      <w:r>
        <w:rPr>
          <w:rFonts w:hint="eastAsia" w:cs="Times New Roman"/>
          <w:lang w:eastAsia="zh-CN"/>
        </w:rPr>
        <w:t>将</w:t>
      </w:r>
      <w:r>
        <w:rPr>
          <w:rFonts w:cs="Times New Roman"/>
        </w:rPr>
        <w:t>产生约1.81t粉尘，砂石料加工系统和混凝土拌和系统周边无环境敏感目标分布，主要是现场一线操作人员会受较大影响。</w:t>
      </w:r>
    </w:p>
    <w:p>
      <w:pPr>
        <w:pStyle w:val="62"/>
        <w:rPr>
          <w:rFonts w:cs="Times New Roman"/>
        </w:rPr>
      </w:pPr>
      <w:r>
        <w:rPr>
          <w:rFonts w:cs="Times New Roman"/>
        </w:rPr>
        <w:t>5.9.2.2 燃油废气影响</w:t>
      </w:r>
    </w:p>
    <w:p>
      <w:pPr>
        <w:ind w:firstLine="480"/>
        <w:rPr>
          <w:rFonts w:cs="Times New Roman"/>
        </w:rPr>
      </w:pPr>
      <w:r>
        <w:rPr>
          <w:rFonts w:cs="Times New Roman"/>
        </w:rPr>
        <w:t>运输车辆及燃油动力机械消耗油料会产生一定量废气，工程施工燃油使用总量为705.99t（柴油：697.18t、汽油：8.81t），根据工程施工进度及强度，估算污染物NO</w:t>
      </w:r>
      <w:r>
        <w:rPr>
          <w:rFonts w:cs="Times New Roman"/>
          <w:vertAlign w:val="subscript"/>
        </w:rPr>
        <w:t>X</w:t>
      </w:r>
      <w:r>
        <w:rPr>
          <w:rFonts w:cs="Times New Roman"/>
        </w:rPr>
        <w:t>总排放量为15t。</w:t>
      </w:r>
    </w:p>
    <w:p>
      <w:pPr>
        <w:ind w:firstLine="480"/>
        <w:rPr>
          <w:rFonts w:cs="Times New Roman"/>
        </w:rPr>
      </w:pPr>
      <w:r>
        <w:rPr>
          <w:rFonts w:cs="Times New Roman"/>
        </w:rPr>
        <w:t>施工期机动车辆及机械燃油废气污染源多为流动性、间歇性污染源，且工程区环境空气本底状况良好，加之地形作用，对污染物稀释吹散作用强烈。环境空气污染物的排放会随施工活动的停止而停止，不会产生严重的环境空气污染，由于各施工生产设施附近均无环境敏感对象分布，受影响对象主要为现场施工人员。</w:t>
      </w:r>
    </w:p>
    <w:p>
      <w:pPr>
        <w:pStyle w:val="4"/>
        <w:rPr>
          <w:rFonts w:cs="Times New Roman"/>
        </w:rPr>
      </w:pPr>
      <w:r>
        <w:rPr>
          <w:rFonts w:cs="Times New Roman"/>
        </w:rPr>
        <w:t>5.9.3 声环境</w:t>
      </w:r>
    </w:p>
    <w:p>
      <w:pPr>
        <w:pStyle w:val="62"/>
        <w:rPr>
          <w:rFonts w:cs="Times New Roman"/>
        </w:rPr>
      </w:pPr>
      <w:r>
        <w:rPr>
          <w:rFonts w:cs="Times New Roman"/>
        </w:rPr>
        <w:t>5.9.3.1 污染源</w:t>
      </w:r>
    </w:p>
    <w:p>
      <w:pPr>
        <w:ind w:firstLine="480"/>
        <w:rPr>
          <w:rFonts w:cs="Times New Roman"/>
        </w:rPr>
      </w:pPr>
      <w:r>
        <w:rPr>
          <w:rFonts w:cs="Times New Roman"/>
        </w:rPr>
        <w:t>工程施工噪声源主要包括混凝土拌和系统、砂石料加工系统等固定连续声源噪声、爆破等间歇式瞬时噪声，以及交通噪声等。工程对区域声环境的影响主要集中在施工期，影响对象为现场操作人员。</w:t>
      </w:r>
    </w:p>
    <w:p>
      <w:pPr>
        <w:pStyle w:val="62"/>
        <w:rPr>
          <w:rFonts w:cs="Times New Roman"/>
        </w:rPr>
      </w:pPr>
      <w:r>
        <w:rPr>
          <w:rFonts w:cs="Times New Roman"/>
        </w:rPr>
        <w:t>5.9.3.2 声环境影响预测</w:t>
      </w:r>
    </w:p>
    <w:p>
      <w:pPr>
        <w:ind w:firstLine="480"/>
        <w:rPr>
          <w:rFonts w:cs="Times New Roman"/>
        </w:rPr>
      </w:pPr>
      <w:r>
        <w:rPr>
          <w:rFonts w:cs="Times New Roman"/>
        </w:rPr>
        <w:t>（1）施工机械固定噪声源</w:t>
      </w:r>
    </w:p>
    <w:p>
      <w:pPr>
        <w:ind w:firstLine="480"/>
        <w:rPr>
          <w:rFonts w:cs="Times New Roman"/>
        </w:rPr>
      </w:pPr>
      <w:r>
        <w:rPr>
          <w:rFonts w:cs="Times New Roman"/>
        </w:rPr>
        <w:t>预测方法</w:t>
      </w:r>
    </w:p>
    <w:p>
      <w:pPr>
        <w:ind w:firstLine="480"/>
        <w:rPr>
          <w:rFonts w:cs="Times New Roman"/>
        </w:rPr>
      </w:pPr>
      <w:r>
        <w:rPr>
          <w:rFonts w:cs="Times New Roman"/>
        </w:rPr>
        <w:t>砂石料加工系统和混凝土拌和系统噪声属于相对固定噪声源，采用《环境影响评价技术导则声环境》(HJ2.4-2021)中推荐的半自由空间中的点声源发散衰减模式，不考虑山谷反射、空气吸收、地面效应及遮挡物衰减，预测各固定声源的影响范围。</w:t>
      </w:r>
    </w:p>
    <w:p>
      <w:pPr>
        <w:ind w:firstLine="480"/>
        <w:rPr>
          <w:rFonts w:cs="Times New Roman"/>
        </w:rPr>
      </w:pPr>
      <w:r>
        <w:rPr>
          <w:rFonts w:cs="Times New Roman"/>
        </w:rPr>
        <w:t>预测公式：</w:t>
      </w:r>
    </w:p>
    <w:p>
      <w:pPr>
        <w:ind w:firstLine="480"/>
        <w:rPr>
          <w:rFonts w:cs="Times New Roman"/>
        </w:rPr>
      </w:pPr>
      <w:r>
        <w:rPr>
          <w:rFonts w:cs="Times New Roman"/>
        </w:rPr>
        <w:t>LA（r）=LWA-20lgr-8                                    （公式5.9-1）</w:t>
      </w:r>
    </w:p>
    <w:p>
      <w:pPr>
        <w:ind w:firstLine="480"/>
        <w:rPr>
          <w:rFonts w:cs="Times New Roman"/>
        </w:rPr>
      </w:pPr>
      <w:r>
        <w:rPr>
          <w:rFonts w:cs="Times New Roman"/>
        </w:rPr>
        <w:t>式中：LWA—声源声压级（dB）；r—测点与声源的距离（m）。</w:t>
      </w:r>
    </w:p>
    <w:p>
      <w:pPr>
        <w:ind w:firstLine="480"/>
        <w:rPr>
          <w:rFonts w:cs="Times New Roman"/>
        </w:rPr>
      </w:pPr>
      <w:r>
        <w:rPr>
          <w:rFonts w:cs="Times New Roman"/>
        </w:rPr>
        <w:t>预测结果</w:t>
      </w:r>
    </w:p>
    <w:p>
      <w:pPr>
        <w:ind w:firstLine="480"/>
        <w:rPr>
          <w:rFonts w:cs="Times New Roman"/>
        </w:rPr>
      </w:pPr>
      <w:r>
        <w:rPr>
          <w:rFonts w:cs="Times New Roman"/>
        </w:rPr>
        <w:t>工程共使用了1座砂石料加工系统和2处混凝土拌和站（上下游各一套）。根据工程区环境特点和影响对象，分别计算达到《建筑施工场界环境噪声排放标准》(GB12523-2011)昼间70dB(A)、夜间55dB(A)限值标准以及《声环境质量标准》(GB3096-2008)中1类昼间55dB(A)、夜间45dB(A)标准的衰减距离，见表5.9-3。</w:t>
      </w:r>
    </w:p>
    <w:p>
      <w:pPr>
        <w:pStyle w:val="137"/>
        <w:spacing w:before="62"/>
      </w:pPr>
      <w:r>
        <w:t>表5.9-3                 固定机械噪声达标衰减距离                  单位：m</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2399"/>
        <w:gridCol w:w="1506"/>
        <w:gridCol w:w="1655"/>
        <w:gridCol w:w="1655"/>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2" w:type="pct"/>
            <w:vMerge w:val="restart"/>
            <w:tcBorders>
              <w:tl2br w:val="single" w:color="auto" w:sz="4" w:space="0"/>
            </w:tcBorders>
            <w:vAlign w:val="center"/>
          </w:tcPr>
          <w:p>
            <w:pPr>
              <w:pStyle w:val="136"/>
            </w:pPr>
            <w:r>
              <w:t xml:space="preserve">                 标准</w:t>
            </w:r>
          </w:p>
          <w:p>
            <w:pPr>
              <w:pStyle w:val="136"/>
            </w:pPr>
          </w:p>
          <w:p>
            <w:pPr>
              <w:pStyle w:val="136"/>
            </w:pPr>
            <w:r>
              <w:t>名称/源强</w:t>
            </w:r>
          </w:p>
        </w:tc>
        <w:tc>
          <w:tcPr>
            <w:tcW w:w="1794" w:type="pct"/>
            <w:gridSpan w:val="2"/>
            <w:vAlign w:val="center"/>
          </w:tcPr>
          <w:p>
            <w:pPr>
              <w:pStyle w:val="136"/>
            </w:pPr>
            <w:r>
              <w:t>建筑施工场界环境噪声排放标准GB12523-2011)</w:t>
            </w:r>
          </w:p>
        </w:tc>
        <w:tc>
          <w:tcPr>
            <w:tcW w:w="1844" w:type="pct"/>
            <w:gridSpan w:val="2"/>
            <w:vAlign w:val="center"/>
          </w:tcPr>
          <w:p>
            <w:pPr>
              <w:pStyle w:val="136"/>
            </w:pPr>
            <w:r>
              <w:t>声环境质量标准</w:t>
            </w:r>
          </w:p>
          <w:p>
            <w:pPr>
              <w:pStyle w:val="136"/>
            </w:pPr>
            <w:r>
              <w:t>(GB3096-2008)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2" w:type="pct"/>
            <w:vMerge w:val="continue"/>
            <w:tcBorders>
              <w:tl2br w:val="single" w:color="auto" w:sz="4" w:space="0"/>
            </w:tcBorders>
            <w:vAlign w:val="center"/>
          </w:tcPr>
          <w:p>
            <w:pPr>
              <w:pStyle w:val="136"/>
            </w:pPr>
          </w:p>
        </w:tc>
        <w:tc>
          <w:tcPr>
            <w:tcW w:w="855" w:type="pct"/>
            <w:vAlign w:val="center"/>
          </w:tcPr>
          <w:p>
            <w:pPr>
              <w:pStyle w:val="136"/>
            </w:pPr>
            <w:r>
              <w:t>昼间70dB(A)</w:t>
            </w:r>
          </w:p>
        </w:tc>
        <w:tc>
          <w:tcPr>
            <w:tcW w:w="939" w:type="pct"/>
            <w:vAlign w:val="center"/>
          </w:tcPr>
          <w:p>
            <w:pPr>
              <w:pStyle w:val="136"/>
            </w:pPr>
            <w:r>
              <w:t>夜间55dB(A)</w:t>
            </w:r>
          </w:p>
        </w:tc>
        <w:tc>
          <w:tcPr>
            <w:tcW w:w="939" w:type="pct"/>
            <w:vAlign w:val="center"/>
          </w:tcPr>
          <w:p>
            <w:pPr>
              <w:pStyle w:val="136"/>
            </w:pPr>
            <w:r>
              <w:t>昼间55dB(A)</w:t>
            </w:r>
          </w:p>
        </w:tc>
        <w:tc>
          <w:tcPr>
            <w:tcW w:w="905" w:type="pct"/>
            <w:vAlign w:val="center"/>
          </w:tcPr>
          <w:p>
            <w:pPr>
              <w:pStyle w:val="136"/>
            </w:pPr>
            <w:r>
              <w:t>夜间45dB(A)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2" w:type="pct"/>
            <w:vAlign w:val="center"/>
          </w:tcPr>
          <w:p>
            <w:pPr>
              <w:pStyle w:val="136"/>
            </w:pPr>
            <w:r>
              <w:t>砂石料加工系统/103dB（A）</w:t>
            </w:r>
          </w:p>
        </w:tc>
        <w:tc>
          <w:tcPr>
            <w:tcW w:w="855" w:type="pct"/>
            <w:vAlign w:val="center"/>
          </w:tcPr>
          <w:p>
            <w:pPr>
              <w:pStyle w:val="136"/>
            </w:pPr>
            <w:r>
              <w:t>18</w:t>
            </w:r>
          </w:p>
        </w:tc>
        <w:tc>
          <w:tcPr>
            <w:tcW w:w="939" w:type="pct"/>
            <w:vAlign w:val="center"/>
          </w:tcPr>
          <w:p>
            <w:pPr>
              <w:pStyle w:val="136"/>
            </w:pPr>
            <w:r>
              <w:t>100</w:t>
            </w:r>
          </w:p>
        </w:tc>
        <w:tc>
          <w:tcPr>
            <w:tcW w:w="939" w:type="pct"/>
            <w:vAlign w:val="center"/>
          </w:tcPr>
          <w:p>
            <w:pPr>
              <w:pStyle w:val="136"/>
            </w:pPr>
            <w:r>
              <w:t>100</w:t>
            </w:r>
          </w:p>
        </w:tc>
        <w:tc>
          <w:tcPr>
            <w:tcW w:w="905" w:type="pct"/>
            <w:vAlign w:val="center"/>
          </w:tcPr>
          <w:p>
            <w:pPr>
              <w:pStyle w:val="136"/>
            </w:pPr>
            <w: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2" w:type="pct"/>
            <w:vAlign w:val="center"/>
          </w:tcPr>
          <w:p>
            <w:pPr>
              <w:pStyle w:val="136"/>
            </w:pPr>
            <w:r>
              <w:t>混凝土拌和站/92dB（A）</w:t>
            </w:r>
          </w:p>
        </w:tc>
        <w:tc>
          <w:tcPr>
            <w:tcW w:w="855" w:type="pct"/>
            <w:vAlign w:val="center"/>
          </w:tcPr>
          <w:p>
            <w:pPr>
              <w:pStyle w:val="136"/>
            </w:pPr>
            <w:r>
              <w:t>5</w:t>
            </w:r>
          </w:p>
        </w:tc>
        <w:tc>
          <w:tcPr>
            <w:tcW w:w="939" w:type="pct"/>
            <w:vAlign w:val="center"/>
          </w:tcPr>
          <w:p>
            <w:pPr>
              <w:pStyle w:val="136"/>
            </w:pPr>
            <w:r>
              <w:t>28</w:t>
            </w:r>
          </w:p>
        </w:tc>
        <w:tc>
          <w:tcPr>
            <w:tcW w:w="939" w:type="pct"/>
            <w:vAlign w:val="center"/>
          </w:tcPr>
          <w:p>
            <w:pPr>
              <w:pStyle w:val="136"/>
            </w:pPr>
            <w:r>
              <w:t>28</w:t>
            </w:r>
          </w:p>
        </w:tc>
        <w:tc>
          <w:tcPr>
            <w:tcW w:w="905" w:type="pct"/>
            <w:vAlign w:val="center"/>
          </w:tcPr>
          <w:p>
            <w:pPr>
              <w:pStyle w:val="136"/>
            </w:pPr>
            <w:r>
              <w:t>89</w:t>
            </w:r>
          </w:p>
        </w:tc>
      </w:tr>
    </w:tbl>
    <w:p>
      <w:pPr>
        <w:ind w:firstLine="480"/>
        <w:rPr>
          <w:rFonts w:cs="Times New Roman"/>
        </w:rPr>
      </w:pPr>
    </w:p>
    <w:p>
      <w:pPr>
        <w:ind w:firstLine="480"/>
        <w:rPr>
          <w:rFonts w:cs="Times New Roman"/>
        </w:rPr>
      </w:pPr>
      <w:r>
        <w:rPr>
          <w:rFonts w:cs="Times New Roman"/>
        </w:rPr>
        <w:t>据表5.9-3，昼间、夜间分别距砂石料加工系统等施工机械18m、100m处施工噪声级能满足《建筑施工场界环境噪声排放标准》(GB12523-2011)昼间70dB(A)、夜间55dB(A)限值标准，100m、316m处可衰减至《声环境质量标准》(GB3096-2008)中1类昼间55dB(A)、夜间45dB(A)标准要求。</w:t>
      </w:r>
    </w:p>
    <w:p>
      <w:pPr>
        <w:ind w:firstLine="480"/>
        <w:rPr>
          <w:rFonts w:cs="Times New Roman"/>
        </w:rPr>
      </w:pPr>
      <w:r>
        <w:rPr>
          <w:rFonts w:cs="Times New Roman"/>
        </w:rPr>
        <w:t>昼间、夜间分别距混凝土拌和站系统等施工机械5m和28m处施工噪声级能满足《建筑施工场界环境噪声排放标准》(GB12523-2011)昼间70dB(A)、夜间55dB(A)限值标准，28m和89m处可衰减至《声环境质量标准》(GB3096-2008)中1类昼间55dB(A)、夜间45dB(A)标准要求。</w:t>
      </w:r>
    </w:p>
    <w:p>
      <w:pPr>
        <w:ind w:firstLine="480"/>
        <w:rPr>
          <w:rFonts w:cs="Times New Roman"/>
        </w:rPr>
      </w:pPr>
      <w:r>
        <w:rPr>
          <w:rFonts w:cs="Times New Roman"/>
        </w:rPr>
        <w:t>上述范围内无居民点等环境敏感目标分布，受影响对象仅为现场施工人员。根据本工程生产班制，砂石料加工系统和混凝土拌合系统均为每天2班、每班7小时生产，每班工人受影响均长达7小时。</w:t>
      </w:r>
    </w:p>
    <w:p>
      <w:pPr>
        <w:ind w:firstLine="480"/>
        <w:rPr>
          <w:rFonts w:cs="Times New Roman"/>
        </w:rPr>
      </w:pPr>
      <w:r>
        <w:rPr>
          <w:rFonts w:cs="Times New Roman"/>
        </w:rPr>
        <w:t>（2）爆破噪声</w:t>
      </w:r>
    </w:p>
    <w:p>
      <w:pPr>
        <w:ind w:firstLine="480"/>
        <w:rPr>
          <w:rFonts w:cs="Times New Roman"/>
        </w:rPr>
      </w:pPr>
      <w:r>
        <w:rPr>
          <w:rFonts w:cs="Times New Roman"/>
        </w:rPr>
        <w:t>爆破噪声瞬时声强大，经类比，噪声源强为130dB(A)，采用无指向性点源几何发散衰减模式进行预测，不考虑地形地势消减作用，估算在距离声源398m和2238m处噪声强度为70dB(A)和55dB(A)。位于爆破点400m左右范围内噪声级超出《建筑施工场界环境噪声排放标准》；衰减约2.3km后，声级可以达到《声环境质量标准》(GB3096-2008)1类昼间标准，工程区无声环境敏感目标分布，爆破噪声影响对象为现场施工人员。</w:t>
      </w:r>
    </w:p>
    <w:p>
      <w:pPr>
        <w:ind w:firstLine="480"/>
        <w:rPr>
          <w:rFonts w:cs="Times New Roman"/>
        </w:rPr>
      </w:pPr>
      <w:r>
        <w:rPr>
          <w:rFonts w:cs="Times New Roman"/>
        </w:rPr>
        <w:t>（3）交通噪声</w:t>
      </w:r>
    </w:p>
    <w:p>
      <w:pPr>
        <w:ind w:firstLine="480"/>
        <w:rPr>
          <w:rFonts w:cs="Times New Roman"/>
        </w:rPr>
      </w:pPr>
      <w:r>
        <w:rPr>
          <w:rFonts w:cs="Times New Roman"/>
        </w:rPr>
        <w:t>预测方法</w:t>
      </w:r>
    </w:p>
    <w:p>
      <w:pPr>
        <w:ind w:firstLine="480"/>
        <w:rPr>
          <w:rFonts w:cs="Times New Roman"/>
        </w:rPr>
      </w:pPr>
      <w:r>
        <w:rPr>
          <w:rFonts w:cs="Times New Roman"/>
        </w:rPr>
        <w:t>工程流动声源主要为交通运输噪声，预测方法采用流动声源模式。</w:t>
      </w:r>
    </w:p>
    <w:p>
      <w:pPr>
        <w:ind w:firstLine="480"/>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L</m:t>
              </m:r>
              <m:ctrlPr>
                <w:rPr>
                  <w:rFonts w:ascii="Cambria Math" w:hAnsi="Cambria Math" w:cs="Times New Roman"/>
                </w:rPr>
              </m:ctrlPr>
            </m:e>
            <m:sub>
              <m:r>
                <m:rPr/>
                <w:rPr>
                  <w:rFonts w:ascii="Cambria Math" w:hAnsi="Cambria Math" w:cs="Times New Roman"/>
                </w:rPr>
                <m:t>AQ</m:t>
              </m:r>
              <m:ctrlPr>
                <w:rPr>
                  <w:rFonts w:ascii="Cambria Math" w:hAnsi="Cambria Math" w:cs="Times New Roman"/>
                </w:rPr>
              </m:ctrlPr>
            </m:sub>
          </m:sSub>
          <m:r>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ctrlPr>
                <w:rPr>
                  <w:rFonts w:ascii="Cambria Math" w:hAnsi="Cambria Math" w:cs="Times New Roman"/>
                </w:rPr>
              </m:ctrlPr>
            </m:e>
            <m:sub>
              <m:r>
                <m:rPr/>
                <w:rPr>
                  <w:rFonts w:ascii="Cambria Math" w:hAnsi="Cambria Math" w:cs="Times New Roman"/>
                </w:rPr>
                <m:t>WA</m:t>
              </m:r>
              <m:ctrlPr>
                <w:rPr>
                  <w:rFonts w:ascii="Cambria Math" w:hAnsi="Cambria Math" w:cs="Times New Roman"/>
                </w:rPr>
              </m:ctrlPr>
            </m:sub>
          </m:sSub>
          <m:r>
            <m:rPr/>
            <w:rPr>
              <w:rFonts w:ascii="Cambria Math" w:hAnsi="Cambria Math" w:cs="Times New Roman"/>
            </w:rPr>
            <m:t>−33+10lgQ−10lgV−10lgd−−−−−−−</m:t>
          </m:r>
          <m:r>
            <m:rPr>
              <m:sty m:val="p"/>
            </m:rPr>
            <w:rPr>
              <w:rFonts w:ascii="Cambria Math" w:hAnsi="Cambria Math" w:cs="Times New Roman"/>
            </w:rPr>
            <m:t>（公式5.9−2）</m:t>
          </m:r>
        </m:oMath>
      </m:oMathPara>
    </w:p>
    <w:p>
      <w:pPr>
        <w:ind w:firstLine="480"/>
        <w:rPr>
          <w:rFonts w:cs="Times New Roman"/>
        </w:rPr>
      </w:pPr>
      <w:r>
        <w:rPr>
          <w:rFonts w:cs="Times New Roman"/>
        </w:rPr>
        <w:t>式中：L</w:t>
      </w:r>
      <w:r>
        <w:rPr>
          <w:rFonts w:cs="Times New Roman"/>
          <w:vertAlign w:val="subscript"/>
        </w:rPr>
        <w:t>WA</w:t>
      </w:r>
      <w:r>
        <w:rPr>
          <w:rFonts w:cs="Times New Roman"/>
        </w:rPr>
        <w:t>―机动车声功水平，dB；Q―每小时机动车数量，辆/h；V―车辆平均时速，km/h；d―接收者所处位置与路中央的距离，m。</w:t>
      </w:r>
    </w:p>
    <w:p>
      <w:pPr>
        <w:ind w:firstLine="480"/>
        <w:rPr>
          <w:rFonts w:cs="Times New Roman"/>
        </w:rPr>
      </w:pPr>
      <w:r>
        <w:rPr>
          <w:rFonts w:cs="Times New Roman"/>
        </w:rPr>
        <w:t>预测结果</w:t>
      </w:r>
    </w:p>
    <w:p>
      <w:pPr>
        <w:ind w:firstLine="480"/>
        <w:rPr>
          <w:rFonts w:cs="Times New Roman"/>
        </w:rPr>
      </w:pPr>
      <w:r>
        <w:rPr>
          <w:rFonts w:cs="Times New Roman"/>
        </w:rPr>
        <w:t>参照《声环境质量标准》(GB3096-2008)中的1类标准，交通运输噪声源小时平均影响范围和强度见下表5.9-4。</w:t>
      </w:r>
    </w:p>
    <w:p>
      <w:pPr>
        <w:pStyle w:val="137"/>
        <w:spacing w:before="62"/>
      </w:pPr>
      <w:r>
        <w:t>表5.9-4        各型运输车辆在施工道路两侧声功水平分布表       单位：dB(A)</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8"/>
        <w:gridCol w:w="942"/>
        <w:gridCol w:w="909"/>
        <w:gridCol w:w="909"/>
        <w:gridCol w:w="909"/>
        <w:gridCol w:w="909"/>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48" w:type="pct"/>
            <w:vAlign w:val="center"/>
          </w:tcPr>
          <w:p>
            <w:pPr>
              <w:pStyle w:val="136"/>
            </w:pPr>
            <w:r>
              <w:t>声源类型</w:t>
            </w:r>
          </w:p>
        </w:tc>
        <w:tc>
          <w:tcPr>
            <w:tcW w:w="523" w:type="pct"/>
            <w:vAlign w:val="center"/>
          </w:tcPr>
          <w:p>
            <w:pPr>
              <w:pStyle w:val="136"/>
            </w:pPr>
            <w:r>
              <w:t>5m</w:t>
            </w:r>
          </w:p>
        </w:tc>
        <w:tc>
          <w:tcPr>
            <w:tcW w:w="505" w:type="pct"/>
            <w:vAlign w:val="center"/>
          </w:tcPr>
          <w:p>
            <w:pPr>
              <w:pStyle w:val="136"/>
            </w:pPr>
            <w:r>
              <w:t>10m</w:t>
            </w:r>
          </w:p>
        </w:tc>
        <w:tc>
          <w:tcPr>
            <w:tcW w:w="505" w:type="pct"/>
            <w:vAlign w:val="center"/>
          </w:tcPr>
          <w:p>
            <w:pPr>
              <w:pStyle w:val="136"/>
            </w:pPr>
            <w:r>
              <w:t>15m</w:t>
            </w:r>
          </w:p>
        </w:tc>
        <w:tc>
          <w:tcPr>
            <w:tcW w:w="505" w:type="pct"/>
            <w:vAlign w:val="center"/>
          </w:tcPr>
          <w:p>
            <w:pPr>
              <w:pStyle w:val="136"/>
            </w:pPr>
            <w:r>
              <w:t>20m</w:t>
            </w:r>
          </w:p>
        </w:tc>
        <w:tc>
          <w:tcPr>
            <w:tcW w:w="505" w:type="pct"/>
            <w:vAlign w:val="center"/>
          </w:tcPr>
          <w:p>
            <w:pPr>
              <w:pStyle w:val="136"/>
            </w:pPr>
            <w:r>
              <w:t>30m</w:t>
            </w:r>
          </w:p>
        </w:tc>
        <w:tc>
          <w:tcPr>
            <w:tcW w:w="609" w:type="pct"/>
            <w:vAlign w:val="center"/>
          </w:tcPr>
          <w:p>
            <w:pPr>
              <w:pStyle w:val="136"/>
            </w:pPr>
            <w: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vMerge w:val="restart"/>
            <w:vAlign w:val="center"/>
          </w:tcPr>
          <w:p>
            <w:pPr>
              <w:pStyle w:val="136"/>
            </w:pPr>
            <w:r>
              <w:t>重型载重车（89）</w:t>
            </w:r>
          </w:p>
        </w:tc>
        <w:tc>
          <w:tcPr>
            <w:tcW w:w="523" w:type="pct"/>
            <w:vAlign w:val="center"/>
          </w:tcPr>
          <w:p>
            <w:pPr>
              <w:pStyle w:val="136"/>
            </w:pPr>
            <w:r>
              <w:t>47</w:t>
            </w:r>
          </w:p>
        </w:tc>
        <w:tc>
          <w:tcPr>
            <w:tcW w:w="505" w:type="pct"/>
            <w:vAlign w:val="center"/>
          </w:tcPr>
          <w:p>
            <w:pPr>
              <w:pStyle w:val="136"/>
            </w:pPr>
            <w:r>
              <w:t>44</w:t>
            </w:r>
          </w:p>
        </w:tc>
        <w:tc>
          <w:tcPr>
            <w:tcW w:w="505" w:type="pct"/>
            <w:vAlign w:val="center"/>
          </w:tcPr>
          <w:p>
            <w:pPr>
              <w:pStyle w:val="136"/>
            </w:pPr>
            <w:r>
              <w:t>42</w:t>
            </w:r>
          </w:p>
        </w:tc>
        <w:tc>
          <w:tcPr>
            <w:tcW w:w="505" w:type="pct"/>
            <w:vAlign w:val="center"/>
          </w:tcPr>
          <w:p>
            <w:pPr>
              <w:pStyle w:val="136"/>
            </w:pPr>
            <w:r>
              <w:t>41</w:t>
            </w:r>
          </w:p>
        </w:tc>
        <w:tc>
          <w:tcPr>
            <w:tcW w:w="505" w:type="pct"/>
            <w:vAlign w:val="center"/>
          </w:tcPr>
          <w:p>
            <w:pPr>
              <w:pStyle w:val="136"/>
            </w:pPr>
            <w:r>
              <w:t>39</w:t>
            </w:r>
          </w:p>
        </w:tc>
        <w:tc>
          <w:tcPr>
            <w:tcW w:w="609" w:type="pct"/>
            <w:vAlign w:val="center"/>
          </w:tcPr>
          <w:p>
            <w:pPr>
              <w:pStyle w:val="136"/>
            </w:pPr>
            <w: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vMerge w:val="continue"/>
            <w:vAlign w:val="center"/>
          </w:tcPr>
          <w:p>
            <w:pPr>
              <w:pStyle w:val="136"/>
            </w:pPr>
          </w:p>
        </w:tc>
        <w:tc>
          <w:tcPr>
            <w:tcW w:w="523" w:type="pct"/>
            <w:vAlign w:val="center"/>
          </w:tcPr>
          <w:p>
            <w:pPr>
              <w:pStyle w:val="136"/>
            </w:pPr>
            <w:r>
              <w:t>46</w:t>
            </w:r>
          </w:p>
        </w:tc>
        <w:tc>
          <w:tcPr>
            <w:tcW w:w="505" w:type="pct"/>
            <w:vAlign w:val="center"/>
          </w:tcPr>
          <w:p>
            <w:pPr>
              <w:pStyle w:val="136"/>
            </w:pPr>
            <w:r>
              <w:t>43</w:t>
            </w:r>
          </w:p>
        </w:tc>
        <w:tc>
          <w:tcPr>
            <w:tcW w:w="505" w:type="pct"/>
            <w:vAlign w:val="center"/>
          </w:tcPr>
          <w:p>
            <w:pPr>
              <w:pStyle w:val="136"/>
            </w:pPr>
            <w:r>
              <w:t>41</w:t>
            </w:r>
          </w:p>
        </w:tc>
        <w:tc>
          <w:tcPr>
            <w:tcW w:w="505" w:type="pct"/>
            <w:vAlign w:val="center"/>
          </w:tcPr>
          <w:p>
            <w:pPr>
              <w:pStyle w:val="136"/>
            </w:pPr>
            <w:r>
              <w:t>40</w:t>
            </w:r>
          </w:p>
        </w:tc>
        <w:tc>
          <w:tcPr>
            <w:tcW w:w="505" w:type="pct"/>
            <w:vAlign w:val="center"/>
          </w:tcPr>
          <w:p>
            <w:pPr>
              <w:pStyle w:val="136"/>
            </w:pPr>
            <w:r>
              <w:t>38</w:t>
            </w:r>
          </w:p>
        </w:tc>
        <w:tc>
          <w:tcPr>
            <w:tcW w:w="609" w:type="pct"/>
            <w:vAlign w:val="center"/>
          </w:tcPr>
          <w:p>
            <w:pPr>
              <w:pStyle w:val="136"/>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vMerge w:val="restart"/>
            <w:vAlign w:val="center"/>
          </w:tcPr>
          <w:p>
            <w:pPr>
              <w:pStyle w:val="136"/>
            </w:pPr>
            <w:r>
              <w:t>中型载重车（85）</w:t>
            </w:r>
          </w:p>
        </w:tc>
        <w:tc>
          <w:tcPr>
            <w:tcW w:w="523" w:type="pct"/>
            <w:vAlign w:val="center"/>
          </w:tcPr>
          <w:p>
            <w:pPr>
              <w:pStyle w:val="136"/>
            </w:pPr>
            <w:r>
              <w:t>43</w:t>
            </w:r>
          </w:p>
        </w:tc>
        <w:tc>
          <w:tcPr>
            <w:tcW w:w="505" w:type="pct"/>
            <w:vAlign w:val="center"/>
          </w:tcPr>
          <w:p>
            <w:pPr>
              <w:pStyle w:val="136"/>
            </w:pPr>
            <w:r>
              <w:t>40</w:t>
            </w:r>
          </w:p>
        </w:tc>
        <w:tc>
          <w:tcPr>
            <w:tcW w:w="505" w:type="pct"/>
            <w:vAlign w:val="center"/>
          </w:tcPr>
          <w:p>
            <w:pPr>
              <w:pStyle w:val="136"/>
            </w:pPr>
            <w:r>
              <w:t>38</w:t>
            </w:r>
          </w:p>
        </w:tc>
        <w:tc>
          <w:tcPr>
            <w:tcW w:w="505" w:type="pct"/>
            <w:vAlign w:val="center"/>
          </w:tcPr>
          <w:p>
            <w:pPr>
              <w:pStyle w:val="136"/>
            </w:pPr>
            <w:r>
              <w:t>37</w:t>
            </w:r>
          </w:p>
        </w:tc>
        <w:tc>
          <w:tcPr>
            <w:tcW w:w="505" w:type="pct"/>
            <w:vAlign w:val="center"/>
          </w:tcPr>
          <w:p>
            <w:pPr>
              <w:pStyle w:val="136"/>
            </w:pPr>
            <w:r>
              <w:t>35</w:t>
            </w:r>
          </w:p>
        </w:tc>
        <w:tc>
          <w:tcPr>
            <w:tcW w:w="609" w:type="pct"/>
            <w:vAlign w:val="center"/>
          </w:tcPr>
          <w:p>
            <w:pPr>
              <w:pStyle w:val="136"/>
            </w:pPr>
            <w: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vMerge w:val="continue"/>
            <w:vAlign w:val="center"/>
          </w:tcPr>
          <w:p>
            <w:pPr>
              <w:pStyle w:val="136"/>
            </w:pPr>
          </w:p>
        </w:tc>
        <w:tc>
          <w:tcPr>
            <w:tcW w:w="523" w:type="pct"/>
            <w:vAlign w:val="center"/>
          </w:tcPr>
          <w:p>
            <w:pPr>
              <w:pStyle w:val="136"/>
            </w:pPr>
            <w:r>
              <w:t>42</w:t>
            </w:r>
          </w:p>
        </w:tc>
        <w:tc>
          <w:tcPr>
            <w:tcW w:w="505" w:type="pct"/>
            <w:vAlign w:val="center"/>
          </w:tcPr>
          <w:p>
            <w:pPr>
              <w:pStyle w:val="136"/>
            </w:pPr>
            <w:r>
              <w:t>39</w:t>
            </w:r>
          </w:p>
        </w:tc>
        <w:tc>
          <w:tcPr>
            <w:tcW w:w="505" w:type="pct"/>
            <w:vAlign w:val="center"/>
          </w:tcPr>
          <w:p>
            <w:pPr>
              <w:pStyle w:val="136"/>
            </w:pPr>
            <w:r>
              <w:t>37</w:t>
            </w:r>
          </w:p>
        </w:tc>
        <w:tc>
          <w:tcPr>
            <w:tcW w:w="505" w:type="pct"/>
            <w:vAlign w:val="center"/>
          </w:tcPr>
          <w:p>
            <w:pPr>
              <w:pStyle w:val="136"/>
            </w:pPr>
            <w:r>
              <w:t>36</w:t>
            </w:r>
          </w:p>
        </w:tc>
        <w:tc>
          <w:tcPr>
            <w:tcW w:w="505" w:type="pct"/>
            <w:vAlign w:val="center"/>
          </w:tcPr>
          <w:p>
            <w:pPr>
              <w:pStyle w:val="136"/>
            </w:pPr>
            <w:r>
              <w:t>34</w:t>
            </w:r>
          </w:p>
        </w:tc>
        <w:tc>
          <w:tcPr>
            <w:tcW w:w="609" w:type="pct"/>
            <w:vAlign w:val="center"/>
          </w:tcPr>
          <w:p>
            <w:pPr>
              <w:pStyle w:val="136"/>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vMerge w:val="restart"/>
            <w:vAlign w:val="center"/>
          </w:tcPr>
          <w:p>
            <w:pPr>
              <w:pStyle w:val="136"/>
            </w:pPr>
            <w:r>
              <w:t>轻型载重车（84）</w:t>
            </w:r>
          </w:p>
        </w:tc>
        <w:tc>
          <w:tcPr>
            <w:tcW w:w="523" w:type="pct"/>
            <w:vAlign w:val="center"/>
          </w:tcPr>
          <w:p>
            <w:pPr>
              <w:pStyle w:val="136"/>
            </w:pPr>
            <w:r>
              <w:t>42</w:t>
            </w:r>
          </w:p>
        </w:tc>
        <w:tc>
          <w:tcPr>
            <w:tcW w:w="505" w:type="pct"/>
            <w:vAlign w:val="center"/>
          </w:tcPr>
          <w:p>
            <w:pPr>
              <w:pStyle w:val="136"/>
            </w:pPr>
            <w:r>
              <w:t>39</w:t>
            </w:r>
          </w:p>
        </w:tc>
        <w:tc>
          <w:tcPr>
            <w:tcW w:w="505" w:type="pct"/>
            <w:vAlign w:val="center"/>
          </w:tcPr>
          <w:p>
            <w:pPr>
              <w:pStyle w:val="136"/>
            </w:pPr>
            <w:r>
              <w:t>37</w:t>
            </w:r>
          </w:p>
        </w:tc>
        <w:tc>
          <w:tcPr>
            <w:tcW w:w="505" w:type="pct"/>
            <w:vAlign w:val="center"/>
          </w:tcPr>
          <w:p>
            <w:pPr>
              <w:pStyle w:val="136"/>
            </w:pPr>
            <w:r>
              <w:t>36</w:t>
            </w:r>
          </w:p>
        </w:tc>
        <w:tc>
          <w:tcPr>
            <w:tcW w:w="505" w:type="pct"/>
            <w:vAlign w:val="center"/>
          </w:tcPr>
          <w:p>
            <w:pPr>
              <w:pStyle w:val="136"/>
            </w:pPr>
            <w:r>
              <w:t>34</w:t>
            </w:r>
          </w:p>
        </w:tc>
        <w:tc>
          <w:tcPr>
            <w:tcW w:w="609" w:type="pct"/>
            <w:vAlign w:val="center"/>
          </w:tcPr>
          <w:p>
            <w:pPr>
              <w:pStyle w:val="136"/>
            </w:pPr>
            <w: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vMerge w:val="continue"/>
            <w:vAlign w:val="center"/>
          </w:tcPr>
          <w:p>
            <w:pPr>
              <w:pStyle w:val="136"/>
            </w:pPr>
          </w:p>
        </w:tc>
        <w:tc>
          <w:tcPr>
            <w:tcW w:w="523" w:type="pct"/>
            <w:vAlign w:val="center"/>
          </w:tcPr>
          <w:p>
            <w:pPr>
              <w:pStyle w:val="136"/>
            </w:pPr>
            <w:r>
              <w:t>41</w:t>
            </w:r>
          </w:p>
        </w:tc>
        <w:tc>
          <w:tcPr>
            <w:tcW w:w="505" w:type="pct"/>
            <w:vAlign w:val="center"/>
          </w:tcPr>
          <w:p>
            <w:pPr>
              <w:pStyle w:val="136"/>
            </w:pPr>
            <w:r>
              <w:t>38</w:t>
            </w:r>
          </w:p>
        </w:tc>
        <w:tc>
          <w:tcPr>
            <w:tcW w:w="505" w:type="pct"/>
            <w:vAlign w:val="center"/>
          </w:tcPr>
          <w:p>
            <w:pPr>
              <w:pStyle w:val="136"/>
            </w:pPr>
            <w:r>
              <w:t>36</w:t>
            </w:r>
          </w:p>
        </w:tc>
        <w:tc>
          <w:tcPr>
            <w:tcW w:w="505" w:type="pct"/>
            <w:vAlign w:val="center"/>
          </w:tcPr>
          <w:p>
            <w:pPr>
              <w:pStyle w:val="136"/>
            </w:pPr>
            <w:r>
              <w:t>35</w:t>
            </w:r>
          </w:p>
        </w:tc>
        <w:tc>
          <w:tcPr>
            <w:tcW w:w="505" w:type="pct"/>
            <w:vAlign w:val="center"/>
          </w:tcPr>
          <w:p>
            <w:pPr>
              <w:pStyle w:val="136"/>
            </w:pPr>
            <w:r>
              <w:t>33</w:t>
            </w:r>
          </w:p>
        </w:tc>
        <w:tc>
          <w:tcPr>
            <w:tcW w:w="609" w:type="pct"/>
            <w:vAlign w:val="center"/>
          </w:tcPr>
          <w:p>
            <w:pPr>
              <w:pStyle w:val="136"/>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136"/>
            </w:pPr>
            <w:r>
              <w:t>《声环境质量标准》(GB3096-2008)1类标准：昼间55dB(A)、夜间45dB(A)。</w:t>
            </w:r>
          </w:p>
        </w:tc>
      </w:tr>
    </w:tbl>
    <w:p>
      <w:pPr>
        <w:pStyle w:val="113"/>
        <w:ind w:firstLine="180"/>
      </w:pPr>
      <w:r>
        <w:t>注：昼间车速取40km/h，夜间取30km/h；车流量昼间取25辆/h，夜间取15辆/h。</w:t>
      </w:r>
    </w:p>
    <w:p>
      <w:pPr>
        <w:ind w:firstLine="480"/>
        <w:rPr>
          <w:rFonts w:cs="Times New Roman"/>
        </w:rPr>
      </w:pPr>
    </w:p>
    <w:p>
      <w:pPr>
        <w:ind w:firstLine="480"/>
        <w:rPr>
          <w:rFonts w:cs="Times New Roman"/>
        </w:rPr>
      </w:pPr>
      <w:r>
        <w:rPr>
          <w:rFonts w:cs="Times New Roman"/>
        </w:rPr>
        <w:t>根据表5.9-4预测结果，参照《声环境质量标准》(GB3096-2008)中1类标准，各类型载重车辆在昼间和夜间产生的噪声均不超标。</w:t>
      </w:r>
    </w:p>
    <w:p>
      <w:pPr>
        <w:pStyle w:val="4"/>
        <w:rPr>
          <w:rFonts w:cs="Times New Roman"/>
        </w:rPr>
      </w:pPr>
      <w:r>
        <w:rPr>
          <w:rFonts w:cs="Times New Roman"/>
        </w:rPr>
        <w:t>5.9.4 固体废物</w:t>
      </w:r>
    </w:p>
    <w:p>
      <w:pPr>
        <w:pStyle w:val="62"/>
        <w:rPr>
          <w:rFonts w:cs="Times New Roman"/>
        </w:rPr>
      </w:pPr>
      <w:r>
        <w:rPr>
          <w:rFonts w:cs="Times New Roman"/>
        </w:rPr>
        <w:t>5.9.4.1 生产废渣</w:t>
      </w:r>
    </w:p>
    <w:p>
      <w:pPr>
        <w:ind w:firstLine="480"/>
        <w:rPr>
          <w:rFonts w:cs="Times New Roman"/>
        </w:rPr>
      </w:pPr>
      <w:r>
        <w:rPr>
          <w:rFonts w:cs="Times New Roman"/>
        </w:rPr>
        <w:t>工程生产废渣主要产生在施工期。根据工程施工土石方挖填平衡计算，工程施工不产生永久弃渣，代尔昆代水库共产生临时弃渣26.96万m</w:t>
      </w:r>
      <w:r>
        <w:rPr>
          <w:rFonts w:cs="Times New Roman"/>
          <w:vertAlign w:val="superscript"/>
        </w:rPr>
        <w:t>3</w:t>
      </w:r>
      <w:r>
        <w:rPr>
          <w:rFonts w:cs="Times New Roman"/>
        </w:rPr>
        <w:t>（自然方）。根据主体工程施工特点和施工布置要求，初选2处弃渣场和3处临时利用料堆放场，弃渣场及利用堆放场概况详见表2.4-9。如果工程弃渣处理不当，有可能成为造成水土流失的源头，因此，必须对施工弃渣场进行必要的水土流失防治工作。</w:t>
      </w:r>
    </w:p>
    <w:p>
      <w:pPr>
        <w:ind w:firstLine="480"/>
        <w:rPr>
          <w:rFonts w:cs="Times New Roman"/>
        </w:rPr>
      </w:pPr>
      <w:r>
        <w:rPr>
          <w:rFonts w:cs="Times New Roman"/>
        </w:rPr>
        <w:t>施工过程中产生的临时弃渣由于需要利用，很容易在施工时就地随意堆弃，成为水土流失的物源之一；弃渣二次倒运过程中也极易发生扬尘和沿途溢洒引起的水土流失。应加强施工弃渣管理，严禁随意堆置，严格按照水土保持“先拦后弃”原则加强各弃渣场拦挡，对弃渣和利用料进行防护，加强弃渣场洪水排导，确保渣体稳定，落实后期植被恢复措施，避免引发严重水土流失。</w:t>
      </w:r>
    </w:p>
    <w:p>
      <w:pPr>
        <w:ind w:firstLine="480"/>
        <w:rPr>
          <w:rFonts w:cs="Times New Roman"/>
        </w:rPr>
      </w:pPr>
      <w:r>
        <w:rPr>
          <w:rFonts w:cs="Times New Roman"/>
        </w:rPr>
        <w:t>其次，弃渣</w:t>
      </w:r>
      <w:r>
        <w:rPr>
          <w:rFonts w:hint="eastAsia" w:cs="Times New Roman"/>
          <w:lang w:eastAsia="zh-CN"/>
        </w:rPr>
        <w:t>将</w:t>
      </w:r>
      <w:r>
        <w:rPr>
          <w:rFonts w:cs="Times New Roman"/>
        </w:rPr>
        <w:t>改变原有土地利用性质，破坏地表植被。根据现状调查，各存渣场和弃渣场占地范围内植被覆</w:t>
      </w:r>
      <w:r>
        <w:rPr>
          <w:rFonts w:hint="eastAsia" w:cs="Times New Roman"/>
          <w:lang w:eastAsia="zh-CN"/>
        </w:rPr>
        <w:t>植盖度</w:t>
      </w:r>
      <w:r>
        <w:rPr>
          <w:rFonts w:cs="Times New Roman"/>
        </w:rPr>
        <w:t>总体较低，其占地产生的生物量损失较小，施工结束后随着地表植被的恢复，该影响</w:t>
      </w:r>
      <w:r>
        <w:rPr>
          <w:rFonts w:hint="eastAsia" w:cs="Times New Roman"/>
          <w:lang w:eastAsia="zh-CN"/>
        </w:rPr>
        <w:t>将</w:t>
      </w:r>
      <w:r>
        <w:rPr>
          <w:rFonts w:cs="Times New Roman"/>
        </w:rPr>
        <w:t>进一步降低。</w:t>
      </w:r>
    </w:p>
    <w:p>
      <w:pPr>
        <w:pStyle w:val="62"/>
        <w:rPr>
          <w:rFonts w:cs="Times New Roman"/>
        </w:rPr>
      </w:pPr>
      <w:r>
        <w:rPr>
          <w:rFonts w:cs="Times New Roman"/>
        </w:rPr>
        <w:t>5.9.4.2 生活垃圾</w:t>
      </w:r>
    </w:p>
    <w:p>
      <w:pPr>
        <w:ind w:firstLine="480"/>
        <w:rPr>
          <w:rFonts w:cs="Times New Roman"/>
        </w:rPr>
      </w:pPr>
      <w:r>
        <w:rPr>
          <w:rFonts w:cs="Times New Roman"/>
        </w:rPr>
        <w:t>工程高峰期施工人数</w:t>
      </w:r>
      <w:r>
        <w:rPr>
          <w:rFonts w:hint="eastAsia" w:cs="Times New Roman"/>
          <w:lang w:eastAsia="zh-CN"/>
        </w:rPr>
        <w:t>将</w:t>
      </w:r>
      <w:r>
        <w:rPr>
          <w:rFonts w:cs="Times New Roman"/>
        </w:rPr>
        <w:t>达到310人，按每人每天排放0.2kg生活垃圾计算，施工生活区高峰期日产生活垃圾</w:t>
      </w:r>
      <w:r>
        <w:rPr>
          <w:rFonts w:hint="eastAsia" w:cs="Times New Roman"/>
          <w:lang w:eastAsia="zh-CN"/>
        </w:rPr>
        <w:t>将</w:t>
      </w:r>
      <w:r>
        <w:rPr>
          <w:rFonts w:cs="Times New Roman"/>
        </w:rPr>
        <w:t>达到0.062t，整个施工期累计产生垃圾量44t。生活垃圾中富含有机物及病原菌，随意排放，不仅影响环境美观、污染空气，而且影响施工区清洁卫生，造成蚊蝇孽生，鼠类繁殖，导致疾病流行，威胁施工人员和附近居民身体健康。另外，区内施工人员的生活垃圾经雨水淋溶等原因</w:t>
      </w:r>
      <w:r>
        <w:rPr>
          <w:rFonts w:hint="eastAsia" w:cs="Times New Roman"/>
          <w:lang w:eastAsia="zh-CN"/>
        </w:rPr>
        <w:t>将</w:t>
      </w:r>
      <w:r>
        <w:rPr>
          <w:rFonts w:cs="Times New Roman"/>
        </w:rPr>
        <w:t>导致污染物进入代尔昆代郭勒河水体，对水质也</w:t>
      </w:r>
      <w:r>
        <w:rPr>
          <w:rFonts w:hint="eastAsia" w:cs="Times New Roman"/>
          <w:lang w:eastAsia="zh-CN"/>
        </w:rPr>
        <w:t>将</w:t>
      </w:r>
      <w:r>
        <w:rPr>
          <w:rFonts w:cs="Times New Roman"/>
        </w:rPr>
        <w:t>产生不利影响。</w:t>
      </w:r>
    </w:p>
    <w:p>
      <w:pPr>
        <w:pStyle w:val="62"/>
        <w:rPr>
          <w:rFonts w:cs="Times New Roman"/>
        </w:rPr>
      </w:pPr>
      <w:r>
        <w:rPr>
          <w:rFonts w:cs="Times New Roman"/>
        </w:rPr>
        <w:t>5.9.4.3 危废</w:t>
      </w:r>
    </w:p>
    <w:p>
      <w:pPr>
        <w:ind w:firstLine="480"/>
        <w:rPr>
          <w:rFonts w:cs="Times New Roman"/>
        </w:rPr>
      </w:pPr>
      <w:r>
        <w:rPr>
          <w:rFonts w:cs="Times New Roman"/>
        </w:rPr>
        <w:t>工程施工期，在施工工区内布设1处机械、汽车修配保养场。根据以往水利工程施工经验，施工期产生的危险废物主要为：工程机械设备维修保养和清洗等过程产生的废机油、废润滑油，清洗金属零件过程中产生的废弃煤油、柴油、汽油及其他溶剂油，以及油污手套等用具和沾染油污的土壤，含油废水处理设施内沉积的油污也属于危险废物。</w:t>
      </w:r>
    </w:p>
    <w:p>
      <w:pPr>
        <w:ind w:firstLine="480"/>
        <w:rPr>
          <w:rFonts w:cs="Times New Roman"/>
        </w:rPr>
      </w:pPr>
      <w:r>
        <w:rPr>
          <w:rFonts w:cs="Times New Roman"/>
        </w:rPr>
        <w:t>工程运行期危险废物主要来源于电站厂房的检修和保养过程中产生的废油，以及沾有油污的手套等清洁用具，危废产生量较小。</w:t>
      </w:r>
    </w:p>
    <w:p>
      <w:pPr>
        <w:ind w:firstLine="480"/>
        <w:rPr>
          <w:rFonts w:cs="Times New Roman"/>
        </w:rPr>
      </w:pPr>
      <w:r>
        <w:rPr>
          <w:rFonts w:cs="Times New Roman"/>
        </w:rPr>
        <w:t>上述危险废物须按相关危险废物管理规定，进行收集、贮存、转运、处置，避免随意丢弃，污染周边环境。</w:t>
      </w:r>
    </w:p>
    <w:p>
      <w:pPr>
        <w:ind w:firstLine="480"/>
        <w:rPr>
          <w:rFonts w:cs="Times New Roman"/>
        </w:rPr>
      </w:pPr>
    </w:p>
    <w:p>
      <w:pPr>
        <w:pStyle w:val="3"/>
        <w:rPr>
          <w:rFonts w:cs="Times New Roman"/>
        </w:rPr>
      </w:pPr>
      <w:bookmarkStart w:id="128" w:name="_Toc136263310"/>
      <w:bookmarkStart w:id="129" w:name="_Toc181381622"/>
      <w:r>
        <w:rPr>
          <w:rFonts w:cs="Times New Roman"/>
        </w:rPr>
        <w:t>5.10 对社会环境的影响</w:t>
      </w:r>
      <w:bookmarkEnd w:id="128"/>
      <w:bookmarkEnd w:id="129"/>
    </w:p>
    <w:p>
      <w:pPr>
        <w:pStyle w:val="4"/>
        <w:rPr>
          <w:rFonts w:cs="Times New Roman"/>
        </w:rPr>
      </w:pPr>
      <w:r>
        <w:rPr>
          <w:rFonts w:cs="Times New Roman"/>
        </w:rPr>
        <w:t>5.10.1 施工期</w:t>
      </w:r>
    </w:p>
    <w:p>
      <w:pPr>
        <w:ind w:firstLine="480"/>
        <w:rPr>
          <w:rFonts w:cs="Times New Roman"/>
        </w:rPr>
      </w:pPr>
      <w:r>
        <w:rPr>
          <w:rFonts w:cs="Times New Roman"/>
        </w:rPr>
        <w:t>本工程除管理人员外施工高峰期施工人数310人，共布设1个施工生活区，施工人员来自四面八方，施工生活区内人口密度增大、人员来往频繁，若不注意防疫和环境卫生，容易引发传染病的传播和流行，也易引发其他鼠媒和虫媒传染疾病。</w:t>
      </w:r>
    </w:p>
    <w:p>
      <w:pPr>
        <w:ind w:firstLine="480"/>
        <w:rPr>
          <w:rFonts w:cs="Times New Roman"/>
        </w:rPr>
      </w:pPr>
      <w:r>
        <w:rPr>
          <w:rFonts w:cs="Times New Roman"/>
        </w:rPr>
        <w:t>因此，必须建立防疫体系，加强流动人员疫病筛查；建立起符合卫生要求的饮用水系统、饮食体系，加强源头防控；加强卫生清理，防止垃圾、废弃物、污水随意排放，注意灭蚊、灭蝇、灭鼠工作，避免蚊蝇、鼠滋生；积极宣传有效的卫生防疫常识。</w:t>
      </w:r>
    </w:p>
    <w:p>
      <w:pPr>
        <w:ind w:firstLine="480"/>
        <w:rPr>
          <w:rFonts w:cs="Times New Roman"/>
        </w:rPr>
      </w:pPr>
      <w:r>
        <w:rPr>
          <w:rFonts w:cs="Times New Roman"/>
        </w:rPr>
        <w:t>此外，由于本工程施工需大量劳动力，除专业技术工人外，其余部分劳动力可从当地招募，从而增加当地居民的临时就业机会。</w:t>
      </w:r>
    </w:p>
    <w:p>
      <w:pPr>
        <w:pStyle w:val="4"/>
        <w:rPr>
          <w:rFonts w:cs="Times New Roman"/>
        </w:rPr>
      </w:pPr>
      <w:r>
        <w:rPr>
          <w:rFonts w:cs="Times New Roman"/>
        </w:rPr>
        <w:t>5.10.2 运行期</w:t>
      </w:r>
    </w:p>
    <w:p>
      <w:pPr>
        <w:ind w:firstLine="480"/>
        <w:rPr>
          <w:rFonts w:cs="Times New Roman"/>
        </w:rPr>
      </w:pPr>
      <w:r>
        <w:rPr>
          <w:rFonts w:cs="Times New Roman"/>
        </w:rPr>
        <w:t>代尔昆代水库建成后，与峡沟水库联调，向淖毛湖区供水，对缓解淖毛湖区季节性缺水矛盾起到一定作用。水库建设过程中大量资金的投入，可以促进与工程相关的地方产业、服务业和文化事业的发展，增加地方劳动力就业机会，从而带动本地区社会经济的长足发展，也对保证民族地区的脱贫致富和社会稳定具有深远意义。</w:t>
      </w:r>
    </w:p>
    <w:p>
      <w:pPr>
        <w:widowControl/>
        <w:spacing w:line="240" w:lineRule="auto"/>
        <w:ind w:firstLine="0" w:firstLineChars="0"/>
        <w:jc w:val="left"/>
        <w:rPr>
          <w:rFonts w:cs="Times New Roman"/>
        </w:rPr>
      </w:pPr>
      <w:r>
        <w:rPr>
          <w:rFonts w:cs="Times New Roman"/>
        </w:rPr>
        <w:br w:type="page"/>
      </w:r>
    </w:p>
    <w:p>
      <w:pPr>
        <w:pStyle w:val="2"/>
        <w:rPr>
          <w:rFonts w:cs="Times New Roman"/>
        </w:rPr>
      </w:pPr>
      <w:bookmarkStart w:id="130" w:name="_Toc181381623"/>
      <w:r>
        <w:rPr>
          <w:rFonts w:cs="Times New Roman"/>
        </w:rPr>
        <w:t>6. 环境保护对策措施及其技术经济论证</w:t>
      </w:r>
      <w:bookmarkEnd w:id="130"/>
    </w:p>
    <w:p>
      <w:pPr>
        <w:pStyle w:val="3"/>
        <w:rPr>
          <w:rFonts w:cs="Times New Roman"/>
        </w:rPr>
      </w:pPr>
      <w:bookmarkStart w:id="131" w:name="_Toc181381624"/>
      <w:r>
        <w:rPr>
          <w:rFonts w:cs="Times New Roman"/>
        </w:rPr>
        <w:t>6.1 环境保护措施设计原则及设计标准</w:t>
      </w:r>
      <w:bookmarkEnd w:id="131"/>
    </w:p>
    <w:p>
      <w:pPr>
        <w:pStyle w:val="4"/>
        <w:rPr>
          <w:rFonts w:cs="Times New Roman"/>
        </w:rPr>
      </w:pPr>
      <w:r>
        <w:rPr>
          <w:rFonts w:cs="Times New Roman"/>
        </w:rPr>
        <w:t>6.1.1 设计原则</w:t>
      </w:r>
    </w:p>
    <w:p>
      <w:pPr>
        <w:ind w:firstLine="480"/>
        <w:rPr>
          <w:rFonts w:cs="Times New Roman"/>
        </w:rPr>
      </w:pPr>
      <w:r>
        <w:rPr>
          <w:rFonts w:cs="Times New Roman"/>
        </w:rPr>
        <w:t>（1）预防为主和环境影响最小化原则</w:t>
      </w:r>
    </w:p>
    <w:p>
      <w:pPr>
        <w:ind w:firstLine="480"/>
        <w:rPr>
          <w:rFonts w:cs="Times New Roman"/>
        </w:rPr>
      </w:pPr>
      <w:r>
        <w:rPr>
          <w:rFonts w:cs="Times New Roman"/>
        </w:rPr>
        <w:t>在方案设计时，借鉴成熟的经验和科学知识，预防为主，防治结合，防止不利影响的产生，把对环境的不利影响降到最低。</w:t>
      </w:r>
    </w:p>
    <w:p>
      <w:pPr>
        <w:ind w:firstLine="480"/>
        <w:rPr>
          <w:rFonts w:cs="Times New Roman"/>
        </w:rPr>
      </w:pPr>
      <w:r>
        <w:rPr>
          <w:rFonts w:cs="Times New Roman"/>
        </w:rPr>
        <w:t>（2）全局观点、协调性及生态优先原则</w:t>
      </w:r>
    </w:p>
    <w:p>
      <w:pPr>
        <w:ind w:firstLine="480"/>
        <w:rPr>
          <w:rFonts w:cs="Times New Roman"/>
        </w:rPr>
      </w:pPr>
      <w:r>
        <w:rPr>
          <w:rFonts w:cs="Times New Roman"/>
        </w:rPr>
        <w:t>各项措施与当地及工程区的生态建设紧密协调、互为裨益，切实</w:t>
      </w:r>
      <w:r>
        <w:rPr>
          <w:rFonts w:hint="eastAsia" w:cs="Times New Roman"/>
          <w:lang w:eastAsia="zh-CN"/>
        </w:rPr>
        <w:t>做</w:t>
      </w:r>
      <w:r>
        <w:rPr>
          <w:rFonts w:cs="Times New Roman"/>
        </w:rPr>
        <w:t>到生态优先。</w:t>
      </w:r>
    </w:p>
    <w:p>
      <w:pPr>
        <w:ind w:firstLine="480"/>
        <w:rPr>
          <w:rFonts w:cs="Times New Roman"/>
        </w:rPr>
      </w:pPr>
      <w:r>
        <w:rPr>
          <w:rFonts w:cs="Times New Roman"/>
        </w:rPr>
        <w:t>（3）综合防治，因地制宜，因害设防，突出重点的原则</w:t>
      </w:r>
    </w:p>
    <w:p>
      <w:pPr>
        <w:ind w:firstLine="480"/>
        <w:rPr>
          <w:rFonts w:cs="Times New Roman"/>
        </w:rPr>
      </w:pPr>
      <w:r>
        <w:rPr>
          <w:rFonts w:cs="Times New Roman"/>
        </w:rPr>
        <w:t>针对本工程的生产废水、污水、水域功能及废气、噪声特点，有针对性地提出防护措施，突出重点、合理配置，形成综合防治体系。</w:t>
      </w:r>
    </w:p>
    <w:p>
      <w:pPr>
        <w:ind w:firstLine="480"/>
        <w:rPr>
          <w:rFonts w:cs="Times New Roman"/>
        </w:rPr>
      </w:pPr>
      <w:r>
        <w:rPr>
          <w:rFonts w:cs="Times New Roman"/>
        </w:rPr>
        <w:t>（4）“三同时”原则</w:t>
      </w:r>
    </w:p>
    <w:p>
      <w:pPr>
        <w:ind w:firstLine="480"/>
        <w:rPr>
          <w:rFonts w:cs="Times New Roman"/>
        </w:rPr>
      </w:pPr>
      <w:r>
        <w:rPr>
          <w:rFonts w:cs="Times New Roman"/>
        </w:rPr>
        <w:t>环境保护措施布设与工程设计中已有的环境保护措施相衔接，并构成一体，且在设计深度和实施进度安排上与主体工程设计和施工进度相适应。并且各项环保措施与主体工程同时设计、同时施工、同时投入使用的。</w:t>
      </w:r>
    </w:p>
    <w:p>
      <w:pPr>
        <w:ind w:firstLine="480"/>
        <w:rPr>
          <w:rFonts w:cs="Times New Roman"/>
        </w:rPr>
      </w:pPr>
      <w:r>
        <w:rPr>
          <w:rFonts w:cs="Times New Roman"/>
        </w:rPr>
        <w:t>（5）经济性、有效性原则</w:t>
      </w:r>
    </w:p>
    <w:p>
      <w:pPr>
        <w:ind w:firstLine="480"/>
        <w:rPr>
          <w:rFonts w:cs="Times New Roman"/>
        </w:rPr>
      </w:pPr>
      <w:r>
        <w:rPr>
          <w:rFonts w:cs="Times New Roman"/>
        </w:rPr>
        <w:t>遵循环境保护措施投资省、效益好和可操作性强的原则。</w:t>
      </w:r>
    </w:p>
    <w:p>
      <w:pPr>
        <w:pStyle w:val="4"/>
        <w:rPr>
          <w:rFonts w:cs="Times New Roman"/>
        </w:rPr>
      </w:pPr>
      <w:r>
        <w:rPr>
          <w:rFonts w:cs="Times New Roman"/>
        </w:rPr>
        <w:t>6.1.2 设计规程、规范及标准</w:t>
      </w:r>
    </w:p>
    <w:p>
      <w:pPr>
        <w:ind w:firstLine="480"/>
        <w:rPr>
          <w:rFonts w:cs="Times New Roman"/>
        </w:rPr>
      </w:pPr>
      <w:r>
        <w:rPr>
          <w:rFonts w:cs="Times New Roman"/>
        </w:rPr>
        <w:t>（1）《建设项目环境保护设计规定》（[87]国环字第682号）；</w:t>
      </w:r>
    </w:p>
    <w:p>
      <w:pPr>
        <w:ind w:firstLine="480"/>
        <w:rPr>
          <w:rFonts w:cs="Times New Roman"/>
        </w:rPr>
      </w:pPr>
      <w:r>
        <w:rPr>
          <w:rFonts w:cs="Times New Roman"/>
        </w:rPr>
        <w:t>（2）《室外排水设计规范》（GB50014-2006（2014版））；</w:t>
      </w:r>
    </w:p>
    <w:p>
      <w:pPr>
        <w:ind w:firstLine="480"/>
        <w:rPr>
          <w:rFonts w:cs="Times New Roman"/>
        </w:rPr>
      </w:pPr>
      <w:r>
        <w:rPr>
          <w:rFonts w:cs="Times New Roman"/>
        </w:rPr>
        <w:t>（3）《堤防工程设计规范》（GB50286-2013）；</w:t>
      </w:r>
    </w:p>
    <w:p>
      <w:pPr>
        <w:ind w:firstLine="480"/>
        <w:rPr>
          <w:rFonts w:cs="Times New Roman"/>
        </w:rPr>
      </w:pPr>
      <w:r>
        <w:rPr>
          <w:rFonts w:cs="Times New Roman"/>
        </w:rPr>
        <w:t>（4）《防洪标准》（GB50201-2014）；</w:t>
      </w:r>
    </w:p>
    <w:p>
      <w:pPr>
        <w:ind w:firstLine="480"/>
        <w:rPr>
          <w:rFonts w:cs="Times New Roman"/>
        </w:rPr>
      </w:pPr>
      <w:r>
        <w:rPr>
          <w:rFonts w:cs="Times New Roman"/>
        </w:rPr>
        <w:t>（5）《造林技术规程》（GB/T15776-2006）；</w:t>
      </w:r>
    </w:p>
    <w:p>
      <w:pPr>
        <w:ind w:firstLine="480"/>
        <w:rPr>
          <w:rFonts w:cs="Times New Roman"/>
        </w:rPr>
      </w:pPr>
      <w:r>
        <w:rPr>
          <w:rFonts w:cs="Times New Roman"/>
        </w:rPr>
        <w:t>（6）《生活垃圾填埋污染控制标准》（GB16889-2008）；</w:t>
      </w:r>
    </w:p>
    <w:p>
      <w:pPr>
        <w:ind w:firstLine="480"/>
        <w:rPr>
          <w:rFonts w:cs="Times New Roman"/>
        </w:rPr>
      </w:pPr>
      <w:r>
        <w:rPr>
          <w:rFonts w:cs="Times New Roman"/>
        </w:rPr>
        <w:t>（7）《土壤侵蚀分类分级标准》（SL190-2007）；</w:t>
      </w:r>
    </w:p>
    <w:p>
      <w:pPr>
        <w:ind w:firstLine="480"/>
        <w:rPr>
          <w:rFonts w:cs="Times New Roman"/>
        </w:rPr>
      </w:pPr>
      <w:r>
        <w:rPr>
          <w:rFonts w:cs="Times New Roman"/>
        </w:rPr>
        <w:t>（8）《水利水电工程等级划分及洪水标准》（SL252—2000）；</w:t>
      </w:r>
    </w:p>
    <w:p>
      <w:pPr>
        <w:ind w:firstLine="480"/>
        <w:rPr>
          <w:rFonts w:cs="Times New Roman"/>
        </w:rPr>
      </w:pPr>
      <w:r>
        <w:rPr>
          <w:rFonts w:cs="Times New Roman"/>
        </w:rPr>
        <w:t>（9）《水电水利工程工程量计算规定》（DL/T5088-1999）</w:t>
      </w:r>
    </w:p>
    <w:p>
      <w:pPr>
        <w:pStyle w:val="3"/>
        <w:rPr>
          <w:rFonts w:cs="Times New Roman"/>
        </w:rPr>
      </w:pPr>
      <w:bookmarkStart w:id="132" w:name="_Toc181381625"/>
      <w:r>
        <w:rPr>
          <w:rFonts w:cs="Times New Roman"/>
        </w:rPr>
        <w:t>6.2 环境保护措施总体布置</w:t>
      </w:r>
      <w:bookmarkEnd w:id="132"/>
    </w:p>
    <w:p>
      <w:pPr>
        <w:ind w:firstLine="480"/>
        <w:rPr>
          <w:rFonts w:cs="Times New Roman"/>
        </w:rPr>
      </w:pPr>
      <w:r>
        <w:rPr>
          <w:rFonts w:cs="Times New Roman"/>
        </w:rPr>
        <w:t>根据本工程建设对环境的影响特点和各环境因子影响预测评价结论，以及工程影响区环境保护目标和污染控制目标要求，本工程环境保护措施包括水环境保护措施、地下水环境保护措施、生态环境保护措施、环境空气保护措施、声环境保护措施、生活垃圾处理措施、人群健康保护措施以及环境保护宣传等其</w:t>
      </w:r>
      <w:r>
        <w:rPr>
          <w:rFonts w:hint="eastAsia" w:cs="Times New Roman"/>
          <w:lang w:eastAsia="zh-CN"/>
        </w:rPr>
        <w:t>他</w:t>
      </w:r>
      <w:r>
        <w:rPr>
          <w:rFonts w:cs="Times New Roman"/>
        </w:rPr>
        <w:t>环境保护措施。</w:t>
      </w:r>
    </w:p>
    <w:p>
      <w:pPr>
        <w:ind w:firstLine="480"/>
        <w:rPr>
          <w:rFonts w:cs="Times New Roman"/>
        </w:rPr>
      </w:pPr>
      <w:r>
        <w:rPr>
          <w:rFonts w:cs="Times New Roman"/>
        </w:rPr>
        <w:t>工程环境保护措施总体布局见附图。</w:t>
      </w:r>
    </w:p>
    <w:p>
      <w:pPr>
        <w:ind w:firstLine="480"/>
        <w:rPr>
          <w:rFonts w:cs="Times New Roman"/>
        </w:rPr>
      </w:pPr>
    </w:p>
    <w:p>
      <w:pPr>
        <w:pStyle w:val="3"/>
        <w:rPr>
          <w:rFonts w:cs="Times New Roman"/>
        </w:rPr>
      </w:pPr>
      <w:bookmarkStart w:id="133" w:name="_Toc181381626"/>
      <w:r>
        <w:rPr>
          <w:rFonts w:cs="Times New Roman"/>
        </w:rPr>
        <w:t>6.3 施工期污染防治及环境保护措施</w:t>
      </w:r>
      <w:bookmarkEnd w:id="133"/>
    </w:p>
    <w:p>
      <w:pPr>
        <w:pStyle w:val="4"/>
        <w:rPr>
          <w:rFonts w:cs="Times New Roman"/>
        </w:rPr>
      </w:pPr>
      <w:r>
        <w:rPr>
          <w:rFonts w:cs="Times New Roman"/>
        </w:rPr>
        <w:t>6.3.1 水环境保护措施</w:t>
      </w:r>
    </w:p>
    <w:p>
      <w:pPr>
        <w:pStyle w:val="62"/>
        <w:rPr>
          <w:rFonts w:cs="Times New Roman"/>
        </w:rPr>
      </w:pPr>
      <w:r>
        <w:rPr>
          <w:rFonts w:cs="Times New Roman"/>
        </w:rPr>
        <w:t>6.3.1.1 砂石加工系统废水</w:t>
      </w:r>
    </w:p>
    <w:p>
      <w:pPr>
        <w:ind w:firstLine="480"/>
        <w:rPr>
          <w:rFonts w:cs="Times New Roman"/>
        </w:rPr>
      </w:pPr>
      <w:r>
        <w:rPr>
          <w:rFonts w:cs="Times New Roman"/>
        </w:rPr>
        <w:t>（1）废水排放情况</w:t>
      </w:r>
    </w:p>
    <w:p>
      <w:pPr>
        <w:ind w:firstLine="480"/>
        <w:rPr>
          <w:rFonts w:cs="Times New Roman"/>
        </w:rPr>
      </w:pPr>
      <w:r>
        <w:rPr>
          <w:rFonts w:cs="Times New Roman"/>
        </w:rPr>
        <w:t>根据料场分布及管线利用料情况，本工程共布设1处砂石料加工系统。以废水排放率80%计，各生产系统废水排放量详见表3.4-2，砂石料加工系统高峰期废水排放量为336m</w:t>
      </w:r>
      <w:r>
        <w:rPr>
          <w:rFonts w:cs="Times New Roman"/>
          <w:vertAlign w:val="superscript"/>
        </w:rPr>
        <w:t>3</w:t>
      </w:r>
      <w:r>
        <w:rPr>
          <w:rFonts w:cs="Times New Roman"/>
        </w:rPr>
        <w:t>/d，废水污染物主要是SS，浓度约50000mg/L。</w:t>
      </w:r>
    </w:p>
    <w:p>
      <w:pPr>
        <w:ind w:firstLine="480"/>
        <w:rPr>
          <w:rFonts w:cs="Times New Roman"/>
        </w:rPr>
      </w:pPr>
      <w:r>
        <w:rPr>
          <w:rFonts w:cs="Times New Roman"/>
        </w:rPr>
        <w:t>（2）处理目标</w:t>
      </w:r>
    </w:p>
    <w:p>
      <w:pPr>
        <w:ind w:firstLine="480"/>
        <w:rPr>
          <w:rFonts w:cs="Times New Roman"/>
        </w:rPr>
      </w:pPr>
      <w:r>
        <w:rPr>
          <w:rFonts w:cs="Times New Roman"/>
        </w:rPr>
        <w:t>考虑砂石料筛分对生产用水本身没有特殊要求，确定本工程砂石料加工废水处理后全部回用。因此，砂石料加工系统废水处理标准按照《水工混凝土施工规范》(DL/T5144-2015)对混凝土拌和养护用水水质要求执行，见表6.3-1。</w:t>
      </w:r>
    </w:p>
    <w:p>
      <w:pPr>
        <w:pStyle w:val="137"/>
        <w:spacing w:before="62"/>
      </w:pPr>
      <w:r>
        <w:t>表6.3-1                混凝土拌和养护用水水质要求</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2194"/>
        <w:gridCol w:w="2195"/>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tcPr>
          <w:p>
            <w:pPr>
              <w:pStyle w:val="136"/>
            </w:pPr>
            <w:r>
              <w:t>项目</w:t>
            </w:r>
          </w:p>
        </w:tc>
        <w:tc>
          <w:tcPr>
            <w:tcW w:w="2194" w:type="dxa"/>
          </w:tcPr>
          <w:p>
            <w:pPr>
              <w:pStyle w:val="136"/>
            </w:pPr>
            <w:r>
              <w:t>单位</w:t>
            </w:r>
          </w:p>
        </w:tc>
        <w:tc>
          <w:tcPr>
            <w:tcW w:w="2195" w:type="dxa"/>
          </w:tcPr>
          <w:p>
            <w:pPr>
              <w:pStyle w:val="136"/>
            </w:pPr>
            <w:r>
              <w:t>钢筋混凝土</w:t>
            </w:r>
          </w:p>
        </w:tc>
        <w:tc>
          <w:tcPr>
            <w:tcW w:w="2195" w:type="dxa"/>
          </w:tcPr>
          <w:p>
            <w:pPr>
              <w:pStyle w:val="136"/>
            </w:pPr>
            <w:r>
              <w:t>素混凝土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tcPr>
          <w:p>
            <w:pPr>
              <w:pStyle w:val="136"/>
            </w:pPr>
            <w:r>
              <w:t>不溶物</w:t>
            </w:r>
          </w:p>
        </w:tc>
        <w:tc>
          <w:tcPr>
            <w:tcW w:w="2194" w:type="dxa"/>
          </w:tcPr>
          <w:p>
            <w:pPr>
              <w:pStyle w:val="136"/>
            </w:pPr>
            <w:r>
              <w:t>mg/L</w:t>
            </w:r>
          </w:p>
        </w:tc>
        <w:tc>
          <w:tcPr>
            <w:tcW w:w="2195" w:type="dxa"/>
          </w:tcPr>
          <w:p>
            <w:pPr>
              <w:pStyle w:val="136"/>
            </w:pPr>
            <w:r>
              <w:t>≤2000</w:t>
            </w:r>
          </w:p>
        </w:tc>
        <w:tc>
          <w:tcPr>
            <w:tcW w:w="2195" w:type="dxa"/>
          </w:tcPr>
          <w:p>
            <w:pPr>
              <w:pStyle w:val="136"/>
            </w:pPr>
            <w:r>
              <w:t>≤5000</w:t>
            </w:r>
          </w:p>
        </w:tc>
      </w:tr>
    </w:tbl>
    <w:p>
      <w:pPr>
        <w:ind w:firstLine="480"/>
        <w:rPr>
          <w:rFonts w:cs="Times New Roman"/>
        </w:rPr>
      </w:pPr>
    </w:p>
    <w:p>
      <w:pPr>
        <w:ind w:firstLine="480"/>
        <w:rPr>
          <w:rFonts w:cs="Times New Roman"/>
        </w:rPr>
      </w:pPr>
      <w:r>
        <w:rPr>
          <w:rFonts w:cs="Times New Roman"/>
        </w:rPr>
        <w:t>从表6.3-1中可得，混凝土拌和养护用水中要求SS不高于2000mg/L。砂石料加工系统废水按《水电工程砂石料加工系统设计规范》（NB/T10488-2021）对砂石加工系统的要求“砂石加工产生的废水应进行适当的回收利用或排放，回收利用悬浮物含量不应超过100mg/L，处理后排放水体应达到国家现行有关排放标准”。</w:t>
      </w:r>
    </w:p>
    <w:p>
      <w:pPr>
        <w:ind w:firstLine="480"/>
        <w:rPr>
          <w:rFonts w:cs="Times New Roman"/>
        </w:rPr>
      </w:pPr>
      <w:r>
        <w:rPr>
          <w:rFonts w:cs="Times New Roman"/>
        </w:rPr>
        <w:t>由于工程所处代尔昆代郭勒河段水域环境功能为II类，因此，本设计砂石料产生废水需进行处理后全部回用，处理水质按SS≤100mg/L进行控制。</w:t>
      </w:r>
    </w:p>
    <w:p>
      <w:pPr>
        <w:ind w:firstLine="480"/>
        <w:rPr>
          <w:rFonts w:cs="Times New Roman"/>
        </w:rPr>
      </w:pPr>
      <w:r>
        <w:rPr>
          <w:rFonts w:cs="Times New Roman"/>
        </w:rPr>
        <w:t>（3）处理工艺</w:t>
      </w:r>
    </w:p>
    <w:p>
      <w:pPr>
        <w:ind w:firstLine="480"/>
        <w:rPr>
          <w:rFonts w:cs="Times New Roman"/>
        </w:rPr>
      </w:pPr>
      <w:r>
        <w:rPr>
          <w:rFonts w:cs="Times New Roman"/>
        </w:rPr>
        <w:t>工程砂石料加工废水主要特点为产生量大、悬浮物浓度高，经处理后会产生大量含水泥渣，泥渣的处理关系到整个处理系统的运行效果，砂石料加工系统废水处理需着重考虑经处理后的废水水质能满足回用或洒水降尘要求。处理后用于施工环节的须参照执行《水电工程砂石加工系统设计规范》（DL/T5098-2010）砂石加工用水水质要求。</w:t>
      </w:r>
    </w:p>
    <w:p>
      <w:pPr>
        <w:ind w:firstLine="480"/>
        <w:rPr>
          <w:rFonts w:cs="Times New Roman"/>
        </w:rPr>
      </w:pPr>
      <w:r>
        <w:rPr>
          <w:rFonts w:cs="Times New Roman"/>
        </w:rPr>
        <w:t>本次设计在参考国内类似水利水电工程砂石料加工系统废水处理实例基础上，结合本工程特点，就以上两方面对处理方案进行比选，同时对选定的废水处理方案进行系统各处理单元比选，最终确定本工程砂石料加工系统废水处理工艺。</w:t>
      </w:r>
    </w:p>
    <w:p>
      <w:pPr>
        <w:ind w:firstLine="480"/>
        <w:rPr>
          <w:rFonts w:cs="Times New Roman"/>
        </w:rPr>
      </w:pPr>
      <w:r>
        <w:rPr>
          <w:rFonts w:hint="eastAsia" w:ascii="宋体" w:hAnsi="宋体" w:cs="宋体"/>
        </w:rPr>
        <w:t>①</w:t>
      </w:r>
      <w:r>
        <w:rPr>
          <w:rFonts w:cs="Times New Roman"/>
        </w:rPr>
        <w:t>废水处理方案比选</w:t>
      </w:r>
    </w:p>
    <w:p>
      <w:pPr>
        <w:ind w:firstLine="480"/>
        <w:rPr>
          <w:rFonts w:cs="Times New Roman"/>
        </w:rPr>
      </w:pPr>
      <w:r>
        <w:rPr>
          <w:rFonts w:cs="Times New Roman"/>
        </w:rPr>
        <w:t>根据本工程砂石料加工废水特性，选定以下两方案进行工艺及技术经济比较。</w:t>
      </w:r>
    </w:p>
    <w:p>
      <w:pPr>
        <w:ind w:firstLine="480"/>
        <w:rPr>
          <w:rFonts w:cs="Times New Roman"/>
        </w:rPr>
      </w:pPr>
      <w:r>
        <w:rPr>
          <w:rFonts w:cs="Times New Roman"/>
        </w:rPr>
        <w:t>方案一：自然沉淀法，处理流程见图6.3-1。含高悬浮物废水从砂石料加工系统排出，进入沉淀池，不适用絮凝剂，在沉淀池中自然沉淀，上清液循环使用。该方案处理流程简单，基建技术要求不高，运行操作简单，运行费用低，但为达到较好的处理效果，需大规模沉淀池满足长时间沉淀要求，而且很难达到处理目标。</w:t>
      </w:r>
    </w:p>
    <w:p>
      <w:pPr>
        <w:ind w:firstLine="480"/>
        <w:jc w:val="center"/>
        <w:rPr>
          <w:rFonts w:cs="Times New Roman"/>
        </w:rPr>
      </w:pPr>
      <w:r>
        <w:rPr>
          <w:rFonts w:cs="Times New Roman"/>
        </w:rPr>
        <w:drawing>
          <wp:inline distT="0" distB="0" distL="0" distR="0">
            <wp:extent cx="4139565" cy="1353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4140000" cy="1354261"/>
                    </a:xfrm>
                    <a:prstGeom prst="rect">
                      <a:avLst/>
                    </a:prstGeom>
                  </pic:spPr>
                </pic:pic>
              </a:graphicData>
            </a:graphic>
          </wp:inline>
        </w:drawing>
      </w:r>
    </w:p>
    <w:p>
      <w:pPr>
        <w:pStyle w:val="147"/>
      </w:pPr>
      <w:r>
        <w:t>图6.3-1  自然沉淀法处理流程图（方案一）</w:t>
      </w:r>
    </w:p>
    <w:p>
      <w:pPr>
        <w:ind w:firstLine="480"/>
        <w:rPr>
          <w:rFonts w:cs="Times New Roman"/>
        </w:rPr>
      </w:pPr>
    </w:p>
    <w:p>
      <w:pPr>
        <w:ind w:firstLine="480"/>
        <w:rPr>
          <w:rFonts w:cs="Times New Roman"/>
        </w:rPr>
      </w:pPr>
      <w:r>
        <w:rPr>
          <w:rFonts w:cs="Times New Roman"/>
        </w:rPr>
        <w:t>方案二：絮凝沉淀法，处理流程见图6.3-2。废水从加工系统排出进入沉砂池进行初步沉淀去除粗砂后，再进入絮凝沉淀单元，处理后上清液循环使用，进入絮凝沉淀池前需投加絮凝剂。由于絮凝剂的投加，使小于0.035mm的悬浮物得以快速而有效地去除。与方案一相比，本方案增加了设备和运行费用，但占地小，整个处理工艺效果好。</w:t>
      </w:r>
    </w:p>
    <w:p>
      <w:pPr>
        <w:ind w:firstLine="480"/>
        <w:jc w:val="center"/>
        <w:rPr>
          <w:rFonts w:cs="Times New Roman"/>
        </w:rPr>
      </w:pPr>
      <w:r>
        <w:rPr>
          <w:rFonts w:cs="Times New Roman"/>
        </w:rPr>
        <w:drawing>
          <wp:inline distT="0" distB="0" distL="0" distR="0">
            <wp:extent cx="4139565" cy="176911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140000" cy="1769453"/>
                    </a:xfrm>
                    <a:prstGeom prst="rect">
                      <a:avLst/>
                    </a:prstGeom>
                  </pic:spPr>
                </pic:pic>
              </a:graphicData>
            </a:graphic>
          </wp:inline>
        </w:drawing>
      </w:r>
    </w:p>
    <w:p>
      <w:pPr>
        <w:pStyle w:val="147"/>
      </w:pPr>
      <w:r>
        <w:t>图6.3-2  絮凝沉淀法处理流程图（方案二）</w:t>
      </w:r>
    </w:p>
    <w:p>
      <w:pPr>
        <w:ind w:firstLine="480"/>
        <w:rPr>
          <w:rFonts w:cs="Times New Roman"/>
        </w:rPr>
      </w:pPr>
    </w:p>
    <w:p>
      <w:pPr>
        <w:ind w:firstLine="480"/>
        <w:rPr>
          <w:rFonts w:cs="Times New Roman"/>
        </w:rPr>
      </w:pPr>
      <w:r>
        <w:rPr>
          <w:rFonts w:cs="Times New Roman"/>
        </w:rPr>
        <w:t>砂石料加工废水处理方案技术经济比较见表6.3-2。</w:t>
      </w:r>
    </w:p>
    <w:p>
      <w:pPr>
        <w:pStyle w:val="137"/>
        <w:spacing w:before="62"/>
      </w:pPr>
      <w:r>
        <w:t>表6.3-2           砂石料加工废水处理方案技术经济比较表</w:t>
      </w:r>
    </w:p>
    <w:tbl>
      <w:tblPr>
        <w:tblStyle w:val="4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790"/>
        <w:gridCol w:w="1277"/>
        <w:gridCol w:w="1277"/>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75" w:type="dxa"/>
            <w:gridSpan w:val="2"/>
            <w:vAlign w:val="center"/>
          </w:tcPr>
          <w:p>
            <w:pPr>
              <w:pStyle w:val="136"/>
            </w:pPr>
            <w:r>
              <w:t>项目</w:t>
            </w:r>
          </w:p>
        </w:tc>
        <w:tc>
          <w:tcPr>
            <w:tcW w:w="1277" w:type="dxa"/>
            <w:vAlign w:val="center"/>
          </w:tcPr>
          <w:p>
            <w:pPr>
              <w:pStyle w:val="136"/>
            </w:pPr>
            <w:r>
              <w:t>方案一</w:t>
            </w:r>
          </w:p>
        </w:tc>
        <w:tc>
          <w:tcPr>
            <w:tcW w:w="1277" w:type="dxa"/>
            <w:vAlign w:val="center"/>
          </w:tcPr>
          <w:p>
            <w:pPr>
              <w:pStyle w:val="136"/>
            </w:pPr>
            <w:r>
              <w:t>方案二</w:t>
            </w:r>
          </w:p>
        </w:tc>
        <w:tc>
          <w:tcPr>
            <w:tcW w:w="2993" w:type="dxa"/>
            <w:vAlign w:val="center"/>
          </w:tcPr>
          <w:p>
            <w:pPr>
              <w:pStyle w:val="136"/>
            </w:pPr>
            <w: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restart"/>
            <w:vAlign w:val="center"/>
          </w:tcPr>
          <w:p>
            <w:pPr>
              <w:pStyle w:val="136"/>
            </w:pPr>
            <w:r>
              <w:t>投资费用</w:t>
            </w:r>
          </w:p>
        </w:tc>
        <w:tc>
          <w:tcPr>
            <w:tcW w:w="1790" w:type="dxa"/>
            <w:vAlign w:val="center"/>
          </w:tcPr>
          <w:p>
            <w:pPr>
              <w:pStyle w:val="136"/>
            </w:pPr>
            <w:r>
              <w:t>土建工程量</w:t>
            </w:r>
          </w:p>
        </w:tc>
        <w:tc>
          <w:tcPr>
            <w:tcW w:w="1277" w:type="dxa"/>
            <w:vAlign w:val="center"/>
          </w:tcPr>
          <w:p>
            <w:pPr>
              <w:pStyle w:val="136"/>
            </w:pPr>
            <w:r>
              <w:t>大</w:t>
            </w:r>
          </w:p>
        </w:tc>
        <w:tc>
          <w:tcPr>
            <w:tcW w:w="1277" w:type="dxa"/>
            <w:vAlign w:val="center"/>
          </w:tcPr>
          <w:p>
            <w:pPr>
              <w:pStyle w:val="136"/>
            </w:pPr>
            <w:r>
              <w:t>较少</w:t>
            </w:r>
          </w:p>
        </w:tc>
        <w:tc>
          <w:tcPr>
            <w:tcW w:w="2993" w:type="dxa"/>
            <w:vAlign w:val="center"/>
          </w:tcPr>
          <w:p>
            <w:pPr>
              <w:pStyle w:val="136"/>
            </w:pPr>
            <w:r>
              <w:t>方案二优于方案一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continue"/>
            <w:vAlign w:val="center"/>
          </w:tcPr>
          <w:p>
            <w:pPr>
              <w:pStyle w:val="136"/>
            </w:pPr>
          </w:p>
        </w:tc>
        <w:tc>
          <w:tcPr>
            <w:tcW w:w="1790" w:type="dxa"/>
            <w:vAlign w:val="center"/>
          </w:tcPr>
          <w:p>
            <w:pPr>
              <w:pStyle w:val="136"/>
            </w:pPr>
            <w:r>
              <w:t>设备及仪表</w:t>
            </w:r>
          </w:p>
        </w:tc>
        <w:tc>
          <w:tcPr>
            <w:tcW w:w="1277" w:type="dxa"/>
            <w:vAlign w:val="center"/>
          </w:tcPr>
          <w:p>
            <w:pPr>
              <w:pStyle w:val="136"/>
            </w:pPr>
            <w:r>
              <w:t>少</w:t>
            </w:r>
          </w:p>
        </w:tc>
        <w:tc>
          <w:tcPr>
            <w:tcW w:w="1277" w:type="dxa"/>
            <w:vAlign w:val="center"/>
          </w:tcPr>
          <w:p>
            <w:pPr>
              <w:pStyle w:val="136"/>
            </w:pPr>
            <w:r>
              <w:t>较多</w:t>
            </w:r>
          </w:p>
        </w:tc>
        <w:tc>
          <w:tcPr>
            <w:tcW w:w="2993" w:type="dxa"/>
            <w:vAlign w:val="center"/>
          </w:tcPr>
          <w:p>
            <w:pPr>
              <w:pStyle w:val="136"/>
            </w:pPr>
            <w:r>
              <w:t>方案一优于方案二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continue"/>
            <w:vAlign w:val="center"/>
          </w:tcPr>
          <w:p>
            <w:pPr>
              <w:pStyle w:val="136"/>
            </w:pPr>
          </w:p>
        </w:tc>
        <w:tc>
          <w:tcPr>
            <w:tcW w:w="1790" w:type="dxa"/>
            <w:vAlign w:val="center"/>
          </w:tcPr>
          <w:p>
            <w:pPr>
              <w:pStyle w:val="136"/>
            </w:pPr>
            <w:r>
              <w:t>占地面积</w:t>
            </w:r>
          </w:p>
        </w:tc>
        <w:tc>
          <w:tcPr>
            <w:tcW w:w="1277" w:type="dxa"/>
            <w:vAlign w:val="center"/>
          </w:tcPr>
          <w:p>
            <w:pPr>
              <w:pStyle w:val="136"/>
            </w:pPr>
            <w:r>
              <w:t>大</w:t>
            </w:r>
          </w:p>
        </w:tc>
        <w:tc>
          <w:tcPr>
            <w:tcW w:w="1277" w:type="dxa"/>
            <w:vAlign w:val="center"/>
          </w:tcPr>
          <w:p>
            <w:pPr>
              <w:pStyle w:val="136"/>
            </w:pPr>
            <w:r>
              <w:t>少</w:t>
            </w:r>
          </w:p>
        </w:tc>
        <w:tc>
          <w:tcPr>
            <w:tcW w:w="2993" w:type="dxa"/>
            <w:vAlign w:val="center"/>
          </w:tcPr>
          <w:p>
            <w:pPr>
              <w:pStyle w:val="136"/>
            </w:pPr>
            <w:r>
              <w:t>方案二优于方案一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continue"/>
            <w:vAlign w:val="center"/>
          </w:tcPr>
          <w:p>
            <w:pPr>
              <w:pStyle w:val="136"/>
            </w:pPr>
          </w:p>
        </w:tc>
        <w:tc>
          <w:tcPr>
            <w:tcW w:w="1790" w:type="dxa"/>
            <w:vAlign w:val="center"/>
          </w:tcPr>
          <w:p>
            <w:pPr>
              <w:pStyle w:val="136"/>
            </w:pPr>
            <w:r>
              <w:t>总投资</w:t>
            </w:r>
          </w:p>
        </w:tc>
        <w:tc>
          <w:tcPr>
            <w:tcW w:w="1277" w:type="dxa"/>
            <w:vAlign w:val="center"/>
          </w:tcPr>
          <w:p>
            <w:pPr>
              <w:pStyle w:val="136"/>
            </w:pPr>
            <w:r>
              <w:t>低</w:t>
            </w:r>
          </w:p>
        </w:tc>
        <w:tc>
          <w:tcPr>
            <w:tcW w:w="1277" w:type="dxa"/>
            <w:vAlign w:val="center"/>
          </w:tcPr>
          <w:p>
            <w:pPr>
              <w:pStyle w:val="136"/>
            </w:pPr>
            <w:r>
              <w:t>高</w:t>
            </w:r>
          </w:p>
        </w:tc>
        <w:tc>
          <w:tcPr>
            <w:tcW w:w="2993" w:type="dxa"/>
            <w:vAlign w:val="center"/>
          </w:tcPr>
          <w:p>
            <w:pPr>
              <w:pStyle w:val="136"/>
            </w:pPr>
            <w:r>
              <w:t>方案一优于方案二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restart"/>
            <w:vAlign w:val="center"/>
          </w:tcPr>
          <w:p>
            <w:pPr>
              <w:pStyle w:val="136"/>
            </w:pPr>
            <w:r>
              <w:t>运行费用</w:t>
            </w:r>
          </w:p>
        </w:tc>
        <w:tc>
          <w:tcPr>
            <w:tcW w:w="1790" w:type="dxa"/>
            <w:vAlign w:val="center"/>
          </w:tcPr>
          <w:p>
            <w:pPr>
              <w:pStyle w:val="136"/>
            </w:pPr>
            <w:r>
              <w:t>维护管理</w:t>
            </w:r>
          </w:p>
        </w:tc>
        <w:tc>
          <w:tcPr>
            <w:tcW w:w="1277" w:type="dxa"/>
            <w:vAlign w:val="center"/>
          </w:tcPr>
          <w:p>
            <w:pPr>
              <w:pStyle w:val="136"/>
            </w:pPr>
            <w:r>
              <w:t>低</w:t>
            </w:r>
          </w:p>
        </w:tc>
        <w:tc>
          <w:tcPr>
            <w:tcW w:w="1277" w:type="dxa"/>
            <w:vAlign w:val="center"/>
          </w:tcPr>
          <w:p>
            <w:pPr>
              <w:pStyle w:val="136"/>
            </w:pPr>
            <w:r>
              <w:t>较高</w:t>
            </w:r>
          </w:p>
        </w:tc>
        <w:tc>
          <w:tcPr>
            <w:tcW w:w="2993" w:type="dxa"/>
            <w:vAlign w:val="center"/>
          </w:tcPr>
          <w:p>
            <w:pPr>
              <w:pStyle w:val="136"/>
            </w:pPr>
            <w:r>
              <w:t>方案一优于方案二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continue"/>
            <w:vAlign w:val="center"/>
          </w:tcPr>
          <w:p>
            <w:pPr>
              <w:pStyle w:val="136"/>
            </w:pPr>
          </w:p>
        </w:tc>
        <w:tc>
          <w:tcPr>
            <w:tcW w:w="1790" w:type="dxa"/>
            <w:vAlign w:val="center"/>
          </w:tcPr>
          <w:p>
            <w:pPr>
              <w:pStyle w:val="136"/>
            </w:pPr>
            <w:r>
              <w:t>电耗</w:t>
            </w:r>
          </w:p>
        </w:tc>
        <w:tc>
          <w:tcPr>
            <w:tcW w:w="1277" w:type="dxa"/>
            <w:vAlign w:val="center"/>
          </w:tcPr>
          <w:p>
            <w:pPr>
              <w:pStyle w:val="136"/>
            </w:pPr>
            <w:r>
              <w:t>低</w:t>
            </w:r>
          </w:p>
        </w:tc>
        <w:tc>
          <w:tcPr>
            <w:tcW w:w="1277" w:type="dxa"/>
            <w:vAlign w:val="center"/>
          </w:tcPr>
          <w:p>
            <w:pPr>
              <w:pStyle w:val="136"/>
            </w:pPr>
            <w:r>
              <w:t>较高</w:t>
            </w:r>
          </w:p>
        </w:tc>
        <w:tc>
          <w:tcPr>
            <w:tcW w:w="2993" w:type="dxa"/>
            <w:vAlign w:val="center"/>
          </w:tcPr>
          <w:p>
            <w:pPr>
              <w:pStyle w:val="136"/>
            </w:pPr>
            <w:r>
              <w:t>方案一优于方案二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continue"/>
            <w:vAlign w:val="center"/>
          </w:tcPr>
          <w:p>
            <w:pPr>
              <w:pStyle w:val="136"/>
            </w:pPr>
          </w:p>
        </w:tc>
        <w:tc>
          <w:tcPr>
            <w:tcW w:w="1790" w:type="dxa"/>
            <w:vAlign w:val="center"/>
          </w:tcPr>
          <w:p>
            <w:pPr>
              <w:pStyle w:val="136"/>
            </w:pPr>
            <w:r>
              <w:t>投药量</w:t>
            </w:r>
          </w:p>
        </w:tc>
        <w:tc>
          <w:tcPr>
            <w:tcW w:w="1277" w:type="dxa"/>
            <w:vAlign w:val="center"/>
          </w:tcPr>
          <w:p>
            <w:pPr>
              <w:pStyle w:val="136"/>
            </w:pPr>
            <w:r>
              <w:t>无</w:t>
            </w:r>
          </w:p>
        </w:tc>
        <w:tc>
          <w:tcPr>
            <w:tcW w:w="1277" w:type="dxa"/>
            <w:vAlign w:val="center"/>
          </w:tcPr>
          <w:p>
            <w:pPr>
              <w:pStyle w:val="136"/>
            </w:pPr>
            <w:r>
              <w:t>较多</w:t>
            </w:r>
          </w:p>
        </w:tc>
        <w:tc>
          <w:tcPr>
            <w:tcW w:w="2993" w:type="dxa"/>
            <w:vAlign w:val="center"/>
          </w:tcPr>
          <w:p>
            <w:pPr>
              <w:pStyle w:val="136"/>
            </w:pPr>
            <w:r>
              <w:t>方案一优于方案二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continue"/>
            <w:vAlign w:val="center"/>
          </w:tcPr>
          <w:p>
            <w:pPr>
              <w:pStyle w:val="136"/>
            </w:pPr>
          </w:p>
        </w:tc>
        <w:tc>
          <w:tcPr>
            <w:tcW w:w="1790" w:type="dxa"/>
            <w:vAlign w:val="center"/>
          </w:tcPr>
          <w:p>
            <w:pPr>
              <w:pStyle w:val="136"/>
            </w:pPr>
            <w:r>
              <w:t>总运行费用</w:t>
            </w:r>
          </w:p>
        </w:tc>
        <w:tc>
          <w:tcPr>
            <w:tcW w:w="1277" w:type="dxa"/>
            <w:vAlign w:val="center"/>
          </w:tcPr>
          <w:p>
            <w:pPr>
              <w:pStyle w:val="136"/>
            </w:pPr>
            <w:r>
              <w:t>低</w:t>
            </w:r>
          </w:p>
        </w:tc>
        <w:tc>
          <w:tcPr>
            <w:tcW w:w="1277" w:type="dxa"/>
            <w:vAlign w:val="center"/>
          </w:tcPr>
          <w:p>
            <w:pPr>
              <w:pStyle w:val="136"/>
            </w:pPr>
            <w:r>
              <w:t>较高</w:t>
            </w:r>
          </w:p>
        </w:tc>
        <w:tc>
          <w:tcPr>
            <w:tcW w:w="2993" w:type="dxa"/>
            <w:vAlign w:val="center"/>
          </w:tcPr>
          <w:p>
            <w:pPr>
              <w:pStyle w:val="136"/>
            </w:pPr>
            <w:r>
              <w:t>方案一优于方案二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restart"/>
            <w:vAlign w:val="center"/>
          </w:tcPr>
          <w:p>
            <w:pPr>
              <w:pStyle w:val="136"/>
            </w:pPr>
            <w:r>
              <w:t>工艺效果</w:t>
            </w:r>
          </w:p>
        </w:tc>
        <w:tc>
          <w:tcPr>
            <w:tcW w:w="1790" w:type="dxa"/>
            <w:vAlign w:val="center"/>
          </w:tcPr>
          <w:p>
            <w:pPr>
              <w:pStyle w:val="136"/>
            </w:pPr>
            <w:r>
              <w:t>出水水质</w:t>
            </w:r>
          </w:p>
        </w:tc>
        <w:tc>
          <w:tcPr>
            <w:tcW w:w="1277" w:type="dxa"/>
            <w:vAlign w:val="center"/>
          </w:tcPr>
          <w:p>
            <w:pPr>
              <w:pStyle w:val="136"/>
            </w:pPr>
            <w:r>
              <w:t>不稳定</w:t>
            </w:r>
          </w:p>
        </w:tc>
        <w:tc>
          <w:tcPr>
            <w:tcW w:w="1277" w:type="dxa"/>
            <w:vAlign w:val="center"/>
          </w:tcPr>
          <w:p>
            <w:pPr>
              <w:pStyle w:val="136"/>
            </w:pPr>
            <w:r>
              <w:t>好</w:t>
            </w:r>
          </w:p>
        </w:tc>
        <w:tc>
          <w:tcPr>
            <w:tcW w:w="2993" w:type="dxa"/>
            <w:vAlign w:val="center"/>
          </w:tcPr>
          <w:p>
            <w:pPr>
              <w:pStyle w:val="136"/>
            </w:pPr>
            <w:r>
              <w:t>方案二优于方案一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continue"/>
            <w:vAlign w:val="center"/>
          </w:tcPr>
          <w:p>
            <w:pPr>
              <w:pStyle w:val="136"/>
            </w:pPr>
          </w:p>
        </w:tc>
        <w:tc>
          <w:tcPr>
            <w:tcW w:w="1790" w:type="dxa"/>
            <w:vAlign w:val="center"/>
          </w:tcPr>
          <w:p>
            <w:pPr>
              <w:pStyle w:val="136"/>
            </w:pPr>
            <w:r>
              <w:t>耐冲击负荷</w:t>
            </w:r>
          </w:p>
        </w:tc>
        <w:tc>
          <w:tcPr>
            <w:tcW w:w="1277" w:type="dxa"/>
            <w:vAlign w:val="center"/>
          </w:tcPr>
          <w:p>
            <w:pPr>
              <w:pStyle w:val="136"/>
            </w:pPr>
            <w:r>
              <w:t>弱</w:t>
            </w:r>
          </w:p>
        </w:tc>
        <w:tc>
          <w:tcPr>
            <w:tcW w:w="1277" w:type="dxa"/>
            <w:vAlign w:val="center"/>
          </w:tcPr>
          <w:p>
            <w:pPr>
              <w:pStyle w:val="136"/>
            </w:pPr>
            <w:r>
              <w:t>强</w:t>
            </w:r>
          </w:p>
        </w:tc>
        <w:tc>
          <w:tcPr>
            <w:tcW w:w="2993" w:type="dxa"/>
            <w:vAlign w:val="center"/>
          </w:tcPr>
          <w:p>
            <w:pPr>
              <w:pStyle w:val="136"/>
            </w:pPr>
            <w:r>
              <w:t>方案二优于方案一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vMerge w:val="continue"/>
            <w:vAlign w:val="center"/>
          </w:tcPr>
          <w:p>
            <w:pPr>
              <w:pStyle w:val="136"/>
            </w:pPr>
          </w:p>
        </w:tc>
        <w:tc>
          <w:tcPr>
            <w:tcW w:w="1790" w:type="dxa"/>
            <w:vAlign w:val="center"/>
          </w:tcPr>
          <w:p>
            <w:pPr>
              <w:pStyle w:val="136"/>
            </w:pPr>
            <w:r>
              <w:t>运行稳定情况</w:t>
            </w:r>
          </w:p>
        </w:tc>
        <w:tc>
          <w:tcPr>
            <w:tcW w:w="1277" w:type="dxa"/>
            <w:vAlign w:val="center"/>
          </w:tcPr>
          <w:p>
            <w:pPr>
              <w:pStyle w:val="136"/>
            </w:pPr>
            <w:r>
              <w:t>差</w:t>
            </w:r>
          </w:p>
        </w:tc>
        <w:tc>
          <w:tcPr>
            <w:tcW w:w="1277" w:type="dxa"/>
            <w:vAlign w:val="center"/>
          </w:tcPr>
          <w:p>
            <w:pPr>
              <w:pStyle w:val="136"/>
            </w:pPr>
            <w:r>
              <w:t>好</w:t>
            </w:r>
          </w:p>
        </w:tc>
        <w:tc>
          <w:tcPr>
            <w:tcW w:w="2993" w:type="dxa"/>
            <w:vAlign w:val="center"/>
          </w:tcPr>
          <w:p>
            <w:pPr>
              <w:pStyle w:val="136"/>
            </w:pPr>
            <w:r>
              <w:t>方案二优于方案一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75" w:type="dxa"/>
            <w:gridSpan w:val="2"/>
            <w:vAlign w:val="center"/>
          </w:tcPr>
          <w:p>
            <w:pPr>
              <w:pStyle w:val="136"/>
            </w:pPr>
            <w:r>
              <w:t>维护管理技术水平</w:t>
            </w:r>
          </w:p>
        </w:tc>
        <w:tc>
          <w:tcPr>
            <w:tcW w:w="1277" w:type="dxa"/>
            <w:vAlign w:val="center"/>
          </w:tcPr>
          <w:p>
            <w:pPr>
              <w:pStyle w:val="136"/>
            </w:pPr>
            <w:r>
              <w:t>低</w:t>
            </w:r>
          </w:p>
        </w:tc>
        <w:tc>
          <w:tcPr>
            <w:tcW w:w="1277" w:type="dxa"/>
            <w:vAlign w:val="center"/>
          </w:tcPr>
          <w:p>
            <w:pPr>
              <w:pStyle w:val="136"/>
            </w:pPr>
            <w:r>
              <w:t>较高</w:t>
            </w:r>
          </w:p>
        </w:tc>
        <w:tc>
          <w:tcPr>
            <w:tcW w:w="2993" w:type="dxa"/>
            <w:vAlign w:val="center"/>
          </w:tcPr>
          <w:p>
            <w:pPr>
              <w:pStyle w:val="136"/>
            </w:pPr>
            <w:r>
              <w:t>方案一优于方案二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75" w:type="dxa"/>
            <w:gridSpan w:val="2"/>
            <w:vAlign w:val="center"/>
          </w:tcPr>
          <w:p>
            <w:pPr>
              <w:pStyle w:val="136"/>
            </w:pPr>
            <w:r>
              <w:t>处理负荷潜力</w:t>
            </w:r>
          </w:p>
        </w:tc>
        <w:tc>
          <w:tcPr>
            <w:tcW w:w="1277" w:type="dxa"/>
            <w:vAlign w:val="center"/>
          </w:tcPr>
          <w:p>
            <w:pPr>
              <w:pStyle w:val="136"/>
            </w:pPr>
            <w:r>
              <w:t>小</w:t>
            </w:r>
          </w:p>
        </w:tc>
        <w:tc>
          <w:tcPr>
            <w:tcW w:w="1277" w:type="dxa"/>
            <w:vAlign w:val="center"/>
          </w:tcPr>
          <w:p>
            <w:pPr>
              <w:pStyle w:val="136"/>
            </w:pPr>
            <w:r>
              <w:t>较大</w:t>
            </w:r>
          </w:p>
        </w:tc>
        <w:tc>
          <w:tcPr>
            <w:tcW w:w="2993" w:type="dxa"/>
            <w:vAlign w:val="center"/>
          </w:tcPr>
          <w:p>
            <w:pPr>
              <w:pStyle w:val="136"/>
            </w:pPr>
            <w:r>
              <w:t>方案二优于方案一</w:t>
            </w:r>
          </w:p>
        </w:tc>
      </w:tr>
    </w:tbl>
    <w:p>
      <w:pPr>
        <w:ind w:firstLine="480"/>
        <w:rPr>
          <w:rFonts w:cs="Times New Roman"/>
        </w:rPr>
      </w:pPr>
    </w:p>
    <w:p>
      <w:pPr>
        <w:ind w:firstLine="480"/>
        <w:rPr>
          <w:rFonts w:cs="Times New Roman"/>
        </w:rPr>
      </w:pPr>
      <w:r>
        <w:rPr>
          <w:rFonts w:cs="Times New Roman"/>
        </w:rPr>
        <w:t>据表6.3-2，从维护管理、运行费用来看，方案一具有较大的优势，但处理效果及占地面积较大，施工场地难以布置；方案二占地面积相对小，处理设施布置较易，且处理效果好，可回收大部分粗砂，具有很好的环境经济综合效益。因本工程可供施工布置的场地本就十分有限，综合考虑，</w:t>
      </w:r>
      <w:r>
        <w:rPr>
          <w:rFonts w:hint="eastAsia" w:cs="Times New Roman"/>
          <w:lang w:eastAsia="zh-CN"/>
        </w:rPr>
        <w:t>将</w:t>
      </w:r>
      <w:r>
        <w:rPr>
          <w:rFonts w:cs="Times New Roman"/>
        </w:rPr>
        <w:t>方案二作为本阶段推荐方案。</w:t>
      </w:r>
    </w:p>
    <w:p>
      <w:pPr>
        <w:ind w:firstLine="480"/>
        <w:rPr>
          <w:rFonts w:cs="Times New Roman"/>
        </w:rPr>
      </w:pPr>
      <w:r>
        <w:rPr>
          <w:rFonts w:cs="Times New Roman"/>
        </w:rPr>
        <w:t>废水处理系统各处理单元选择</w:t>
      </w:r>
    </w:p>
    <w:p>
      <w:pPr>
        <w:ind w:firstLine="480"/>
        <w:rPr>
          <w:rFonts w:cs="Times New Roman"/>
        </w:rPr>
      </w:pPr>
      <w:r>
        <w:rPr>
          <w:rFonts w:cs="Times New Roman"/>
        </w:rPr>
        <w:t>A.沉砂处理单元</w:t>
      </w:r>
    </w:p>
    <w:p>
      <w:pPr>
        <w:ind w:firstLine="480"/>
        <w:rPr>
          <w:rFonts w:cs="Times New Roman"/>
        </w:rPr>
      </w:pPr>
      <w:r>
        <w:rPr>
          <w:rFonts w:cs="Times New Roman"/>
        </w:rPr>
        <w:t>从砂石加工系统排出的废水自流进入沉淀池，进行初步沉淀后，泵</w:t>
      </w:r>
      <w:r>
        <w:rPr>
          <w:rFonts w:hint="eastAsia" w:cs="Times New Roman"/>
          <w:lang w:eastAsia="zh-CN"/>
        </w:rPr>
        <w:t>将</w:t>
      </w:r>
      <w:r>
        <w:rPr>
          <w:rFonts w:cs="Times New Roman"/>
        </w:rPr>
        <w:t>水送入螺旋式沙水分离器或细沙回收处理器进行沙水分离，处理后的水进入后续处理单元。</w:t>
      </w:r>
    </w:p>
    <w:p>
      <w:pPr>
        <w:ind w:firstLine="480"/>
        <w:rPr>
          <w:rFonts w:cs="Times New Roman"/>
        </w:rPr>
      </w:pPr>
      <w:r>
        <w:rPr>
          <w:rFonts w:cs="Times New Roman"/>
        </w:rPr>
        <w:t>螺旋式沙水分离器为传统的去砂装置，脱水后细沙含水率在30%左右，可回收利用，但对于小于0.1mm的颗粒砂水分离效果不好，造成大量细沙流失，并且增加了后续处理单元的负荷，加大了泥浆的处理量和工作量；细砂回收处理器则能有效降低细砂的流失，对大于0.035mm的细砂后收率可达80%以上，脱水后细砂含水率为20%，可进行回收利用，具有很高的经济和环保效益，已广泛应用于国内外的砂石加工厂的细砂回收。</w:t>
      </w:r>
    </w:p>
    <w:p>
      <w:pPr>
        <w:ind w:firstLine="480"/>
        <w:rPr>
          <w:rFonts w:cs="Times New Roman"/>
        </w:rPr>
      </w:pPr>
      <w:r>
        <w:rPr>
          <w:rFonts w:cs="Times New Roman"/>
        </w:rPr>
        <w:t>从处理效果、操作管理、运行维护和工程投资来看，采用细砂回收处理器沙水分离效果好，可最大限度减少后续处理单元沉淀、清理工作及相应的处理成本，且自动化程度较高，运行维护方便，优势明显。因此，本次推荐采用细砂回收处理器为优选方案。</w:t>
      </w:r>
    </w:p>
    <w:p>
      <w:pPr>
        <w:ind w:firstLine="480"/>
        <w:rPr>
          <w:rFonts w:cs="Times New Roman"/>
        </w:rPr>
      </w:pPr>
      <w:r>
        <w:rPr>
          <w:rFonts w:cs="Times New Roman"/>
        </w:rPr>
        <w:t>B.絮凝沉淀单元</w:t>
      </w:r>
    </w:p>
    <w:p>
      <w:pPr>
        <w:ind w:firstLine="480"/>
        <w:rPr>
          <w:rFonts w:cs="Times New Roman"/>
        </w:rPr>
      </w:pPr>
      <w:r>
        <w:rPr>
          <w:rFonts w:cs="Times New Roman"/>
        </w:rPr>
        <w:t>采用平流式絮凝沉淀池，沉砂处理单元出水进入平流式絮凝沉淀池反应沉淀后回用，池底泥浆由行车式刮泥机经干化后运至就近渣场。该方法运行管理较简单，出水水质好，占地面积小。</w:t>
      </w:r>
    </w:p>
    <w:p>
      <w:pPr>
        <w:ind w:firstLine="480"/>
        <w:rPr>
          <w:rFonts w:cs="Times New Roman"/>
        </w:rPr>
      </w:pPr>
      <w:r>
        <w:rPr>
          <w:rFonts w:cs="Times New Roman"/>
        </w:rPr>
        <w:t>沉砂处理单元出水进入平流式絮凝沉淀池前需投加絮凝剂，一般可选用聚合氯化铝（PAC）和聚丙烯酰胺（PAM），该絮凝剂具有投剂量少，絮凝体密实，沉降速度</w:t>
      </w:r>
      <w:r>
        <w:rPr>
          <w:rFonts w:hint="eastAsia" w:cs="Times New Roman"/>
          <w:lang w:eastAsia="zh-CN"/>
        </w:rPr>
        <w:t>快</w:t>
      </w:r>
      <w:r>
        <w:rPr>
          <w:rFonts w:cs="Times New Roman"/>
        </w:rPr>
        <w:t>等优点。</w:t>
      </w:r>
    </w:p>
    <w:p>
      <w:pPr>
        <w:ind w:firstLine="480"/>
        <w:rPr>
          <w:rFonts w:cs="Times New Roman"/>
        </w:rPr>
      </w:pPr>
      <w:r>
        <w:rPr>
          <w:rFonts w:cs="Times New Roman"/>
        </w:rPr>
        <w:t>泥渣处理方案</w:t>
      </w:r>
    </w:p>
    <w:p>
      <w:pPr>
        <w:ind w:firstLine="480"/>
        <w:rPr>
          <w:rFonts w:cs="Times New Roman"/>
        </w:rPr>
      </w:pPr>
      <w:r>
        <w:rPr>
          <w:rFonts w:cs="Times New Roman"/>
        </w:rPr>
        <w:t>参考国内外同类工程砂石加工废水处理经验，泥渣处理通常采用自然干化和机械脱水两种方式。</w:t>
      </w:r>
    </w:p>
    <w:p>
      <w:pPr>
        <w:ind w:firstLine="480"/>
        <w:rPr>
          <w:rFonts w:cs="Times New Roman"/>
        </w:rPr>
      </w:pPr>
      <w:r>
        <w:rPr>
          <w:rFonts w:cs="Times New Roman"/>
        </w:rPr>
        <w:t>方案一：自然干化方式。这种方法</w:t>
      </w:r>
      <w:r>
        <w:rPr>
          <w:rFonts w:hint="eastAsia" w:cs="Times New Roman"/>
          <w:lang w:eastAsia="zh-CN"/>
        </w:rPr>
        <w:t>是</w:t>
      </w:r>
      <w:r>
        <w:rPr>
          <w:rFonts w:cs="Times New Roman"/>
        </w:rPr>
        <w:t>利用重力过滤使泥浆中一部分水过滤脱掉，同时利用太阳晒、风吹加速其自然干燥，干化后的沉渣外运至弃渣场。该方案较为简单，管理方便，处理费用低，缺点是占地面积相对较大。</w:t>
      </w:r>
    </w:p>
    <w:p>
      <w:pPr>
        <w:ind w:firstLine="480"/>
        <w:rPr>
          <w:rFonts w:cs="Times New Roman"/>
        </w:rPr>
      </w:pPr>
      <w:r>
        <w:rPr>
          <w:rFonts w:cs="Times New Roman"/>
        </w:rPr>
        <w:t>方案二：采用机械脱水方式。泥渣经重力浓缩使体积有所减少，再经进一步机械加压脱水后可直接外运至弃渣场。该方案占地小，泥渣脱水后含水率较低，处理效果可以保证，但投资及运行费用较大。</w:t>
      </w:r>
    </w:p>
    <w:p>
      <w:pPr>
        <w:ind w:firstLine="480"/>
        <w:rPr>
          <w:rFonts w:cs="Times New Roman"/>
        </w:rPr>
      </w:pPr>
      <w:r>
        <w:rPr>
          <w:rFonts w:cs="Times New Roman"/>
        </w:rPr>
        <w:t>根据本工程砂石加工废水特性，废水中SS的浓度高，沉砂池处理单元沉淀池中污泥颗粒较大，含水率相对较低；沉砂处理单元采用细砂回收处理器，可有效去除粒径大于0.035mm的细砂，</w:t>
      </w:r>
      <w:r>
        <w:rPr>
          <w:rFonts w:hint="eastAsia" w:cs="Times New Roman"/>
          <w:lang w:eastAsia="zh-CN"/>
        </w:rPr>
        <w:t>将</w:t>
      </w:r>
      <w:r>
        <w:rPr>
          <w:rFonts w:cs="Times New Roman"/>
        </w:rPr>
        <w:t>会大量减少后续平流式絮凝沉淀池产生的泥渣量，且项目区气候干燥、蒸发量大，有利于泥渣的自然干化，故本阶段推荐方案一。</w:t>
      </w:r>
    </w:p>
    <w:p>
      <w:pPr>
        <w:ind w:firstLine="480"/>
        <w:rPr>
          <w:rFonts w:cs="Times New Roman"/>
        </w:rPr>
      </w:pPr>
      <w:r>
        <w:rPr>
          <w:rFonts w:cs="Times New Roman"/>
        </w:rPr>
        <w:t>处理工艺</w:t>
      </w:r>
    </w:p>
    <w:p>
      <w:pPr>
        <w:ind w:firstLine="480"/>
        <w:rPr>
          <w:rFonts w:cs="Times New Roman"/>
        </w:rPr>
      </w:pPr>
      <w:r>
        <w:rPr>
          <w:rFonts w:cs="Times New Roman"/>
        </w:rPr>
        <w:t>经过比选，最终确定处理工艺流程如图6.3-3。砂石料加工废水进入初沉池，由泵</w:t>
      </w:r>
      <w:r>
        <w:rPr>
          <w:rFonts w:hint="eastAsia" w:cs="Times New Roman"/>
          <w:lang w:eastAsia="zh-CN"/>
        </w:rPr>
        <w:t>将</w:t>
      </w:r>
      <w:r>
        <w:rPr>
          <w:rFonts w:cs="Times New Roman"/>
        </w:rPr>
        <w:t>高悬浮物废水供给细砂回收处理器，</w:t>
      </w:r>
      <w:r>
        <w:rPr>
          <w:rFonts w:hint="eastAsia" w:cs="Times New Roman"/>
          <w:lang w:eastAsia="zh-CN"/>
        </w:rPr>
        <w:t>将</w:t>
      </w:r>
      <w:r>
        <w:rPr>
          <w:rFonts w:cs="Times New Roman"/>
        </w:rPr>
        <w:t>大于0.035mm的细砂80%回收，筛滤水经管道混合器与投加的混凝剂充分混合反应后流入絮凝池，经絮凝沉淀后上清液流入清水池，回用于砂石料加工系统。沉淀池泥渣用扫描式泵吸泥机吸出，经过自然干化脱水后，用挖掘机挖出外运至就近弃渣场。</w:t>
      </w:r>
    </w:p>
    <w:p>
      <w:pPr>
        <w:ind w:firstLine="480"/>
        <w:rPr>
          <w:rFonts w:cs="Times New Roman"/>
        </w:rPr>
      </w:pPr>
      <w:r>
        <w:rPr>
          <w:rFonts w:cs="Times New Roman"/>
        </w:rPr>
        <w:drawing>
          <wp:inline distT="0" distB="0" distL="0" distR="0">
            <wp:extent cx="5219700" cy="19265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20000" cy="1926910"/>
                    </a:xfrm>
                    <a:prstGeom prst="rect">
                      <a:avLst/>
                    </a:prstGeom>
                  </pic:spPr>
                </pic:pic>
              </a:graphicData>
            </a:graphic>
          </wp:inline>
        </w:drawing>
      </w:r>
    </w:p>
    <w:p>
      <w:pPr>
        <w:pStyle w:val="147"/>
      </w:pPr>
      <w:r>
        <w:t>图6.3-3  砂石料加工废水处理工艺流程图</w:t>
      </w:r>
    </w:p>
    <w:p>
      <w:pPr>
        <w:ind w:firstLine="480"/>
        <w:rPr>
          <w:rFonts w:cs="Times New Roman"/>
        </w:rPr>
      </w:pPr>
    </w:p>
    <w:p>
      <w:pPr>
        <w:ind w:firstLine="480"/>
        <w:rPr>
          <w:rFonts w:cs="Times New Roman"/>
        </w:rPr>
      </w:pPr>
      <w:r>
        <w:rPr>
          <w:rFonts w:cs="Times New Roman"/>
        </w:rPr>
        <w:t>（4）设计参数</w:t>
      </w:r>
    </w:p>
    <w:p>
      <w:pPr>
        <w:ind w:firstLine="480"/>
        <w:rPr>
          <w:rFonts w:cs="Times New Roman"/>
        </w:rPr>
      </w:pPr>
      <w:r>
        <w:rPr>
          <w:rFonts w:hint="eastAsia" w:ascii="宋体" w:hAnsi="宋体" w:cs="宋体"/>
        </w:rPr>
        <w:t>①</w:t>
      </w:r>
      <w:r>
        <w:rPr>
          <w:rFonts w:cs="Times New Roman"/>
        </w:rPr>
        <w:t>工艺设计参数</w:t>
      </w:r>
    </w:p>
    <w:p>
      <w:pPr>
        <w:ind w:firstLine="480"/>
        <w:rPr>
          <w:rFonts w:cs="Times New Roman"/>
        </w:rPr>
      </w:pPr>
      <w:r>
        <w:rPr>
          <w:rFonts w:cs="Times New Roman"/>
        </w:rPr>
        <w:t>根据以往工程的设计经验，并结合本工程的实际特点及处理目标，综合考虑后确定设计工艺参数：日处理时间取14h(2班制，每班7h)，初始SS浓度50000mg/L，出水SS浓度小于100mg/L。</w:t>
      </w:r>
    </w:p>
    <w:p>
      <w:pPr>
        <w:ind w:firstLine="480"/>
        <w:rPr>
          <w:rFonts w:cs="Times New Roman"/>
        </w:rPr>
      </w:pPr>
      <w:r>
        <w:rPr>
          <w:rFonts w:hint="eastAsia" w:ascii="宋体" w:hAnsi="宋体" w:cs="宋体"/>
        </w:rPr>
        <w:t>②</w:t>
      </w:r>
      <w:r>
        <w:rPr>
          <w:rFonts w:cs="Times New Roman"/>
        </w:rPr>
        <w:t>主要构筑物及设计初沉池：</w:t>
      </w:r>
    </w:p>
    <w:p>
      <w:pPr>
        <w:ind w:firstLine="480"/>
        <w:rPr>
          <w:rFonts w:cs="Times New Roman"/>
        </w:rPr>
      </w:pPr>
      <w:r>
        <w:rPr>
          <w:rFonts w:cs="Times New Roman"/>
        </w:rPr>
        <w:t>a.初沉池：选用平流式沉淀池，用于沉淀粒径大于0.2mm以上的颗粒物。设2个初沉池（1备1用），停留时间按1h考虑，池体超高0.3m。</w:t>
      </w:r>
    </w:p>
    <w:p>
      <w:pPr>
        <w:ind w:firstLine="480"/>
        <w:rPr>
          <w:rFonts w:cs="Times New Roman"/>
        </w:rPr>
      </w:pPr>
      <w:r>
        <w:rPr>
          <w:rFonts w:cs="Times New Roman"/>
        </w:rPr>
        <w:t>b.平流式絮凝沉淀池：设计反应时间30～35min，池体超高0.3m。絮凝剂和助凝剂采用聚合氯化铝（PAC）和聚丙烯酰胺（PAM）。排泥采取刮泥机机械排泥，2h排泥一次。</w:t>
      </w:r>
    </w:p>
    <w:p>
      <w:pPr>
        <w:ind w:firstLine="480"/>
        <w:rPr>
          <w:rFonts w:cs="Times New Roman"/>
        </w:rPr>
      </w:pPr>
      <w:r>
        <w:rPr>
          <w:rFonts w:cs="Times New Roman"/>
        </w:rPr>
        <w:t>c.清水池：设置高低位的2个清水池，暂存处理后的废水，同时第一个清水池起一定的澄清作用。清水池停留时间按1h设计，池体规格设计为5m×3m×2m（长×宽×高，池体超高0.3m）。清水池中污泥量较少，采用定期人工清理。</w:t>
      </w:r>
    </w:p>
    <w:p>
      <w:pPr>
        <w:ind w:firstLine="480"/>
        <w:rPr>
          <w:rFonts w:cs="Times New Roman"/>
        </w:rPr>
      </w:pPr>
      <w:r>
        <w:rPr>
          <w:rFonts w:cs="Times New Roman"/>
        </w:rPr>
        <w:t>d.</w:t>
      </w:r>
      <w:r>
        <w:rPr>
          <w:rFonts w:hint="eastAsia" w:cs="Times New Roman"/>
          <w:lang w:eastAsia="zh-CN"/>
        </w:rPr>
        <w:t>加药间</w:t>
      </w:r>
      <w:r>
        <w:rPr>
          <w:rFonts w:cs="Times New Roman"/>
        </w:rPr>
        <w:t>：布置JY型加药装置以及一天药剂量的储备场地。</w:t>
      </w:r>
      <w:r>
        <w:rPr>
          <w:rFonts w:hint="eastAsia" w:cs="Times New Roman"/>
          <w:lang w:eastAsia="zh-CN"/>
        </w:rPr>
        <w:t>加药间</w:t>
      </w:r>
      <w:r>
        <w:rPr>
          <w:rFonts w:cs="Times New Roman"/>
        </w:rPr>
        <w:t>四周采用砖砌围墙，顶采用C25混凝土薄板，其净尺寸(长×宽×高)5.0m×4.0m×3.8m。</w:t>
      </w:r>
    </w:p>
    <w:p>
      <w:pPr>
        <w:ind w:firstLine="480"/>
        <w:rPr>
          <w:rFonts w:cs="Times New Roman"/>
        </w:rPr>
      </w:pPr>
      <w:r>
        <w:rPr>
          <w:rFonts w:cs="Times New Roman"/>
        </w:rPr>
        <w:t>e.储水池：考虑到砂石料加工系统废水排放量较大，为保证处理系统出水综合利用率，拟对处理系统配置1座储水池，用于暂时存储尚未利用的出水，储水池容积按48小时出水量考虑，池体规格设计为17m×15m×5m（长×宽×高，池体超高0.3m）。</w:t>
      </w:r>
    </w:p>
    <w:p>
      <w:pPr>
        <w:ind w:firstLine="480"/>
        <w:rPr>
          <w:rFonts w:cs="Times New Roman"/>
        </w:rPr>
      </w:pPr>
      <w:r>
        <w:rPr>
          <w:rFonts w:cs="Times New Roman"/>
        </w:rPr>
        <w:t>根据工程特性，</w:t>
      </w:r>
      <w:r>
        <w:rPr>
          <w:rFonts w:hint="eastAsia" w:cs="Times New Roman"/>
          <w:lang w:eastAsia="zh-CN"/>
        </w:rPr>
        <w:t>将</w:t>
      </w:r>
      <w:r>
        <w:rPr>
          <w:rFonts w:cs="Times New Roman"/>
        </w:rPr>
        <w:t>砂石料加工废水处理系统纳入到砂石料加工系统布置中统一考虑，构筑物利用加工系统附近空地进行布置。具体选址和各构筑物尺寸、规模形式结合现场实际条件进行调整，</w:t>
      </w:r>
      <w:r>
        <w:rPr>
          <w:rFonts w:hint="eastAsia" w:cs="Times New Roman"/>
          <w:lang w:eastAsia="zh-CN"/>
        </w:rPr>
        <w:t>以满足废水处理</w:t>
      </w:r>
      <w:r>
        <w:rPr>
          <w:rFonts w:cs="Times New Roman"/>
        </w:rPr>
        <w:t>功能为准。</w:t>
      </w:r>
    </w:p>
    <w:p>
      <w:pPr>
        <w:ind w:firstLine="480"/>
        <w:rPr>
          <w:rFonts w:cs="Times New Roman"/>
        </w:rPr>
      </w:pPr>
      <w:r>
        <w:rPr>
          <w:rFonts w:cs="Times New Roman"/>
        </w:rPr>
        <w:t>砂石料加工系统废水处理设施构筑物尺寸、主要工程量见表6.3-3。</w:t>
      </w:r>
    </w:p>
    <w:p>
      <w:pPr>
        <w:pStyle w:val="137"/>
        <w:spacing w:before="62"/>
      </w:pPr>
      <w:r>
        <w:t>表6.3-3         砂石加工废水处理系统主要构筑物尺寸及结构</w:t>
      </w:r>
    </w:p>
    <w:tbl>
      <w:tblPr>
        <w:tblStyle w:val="40"/>
        <w:tblW w:w="5000" w:type="pct"/>
        <w:jc w:val="center"/>
        <w:tblLayout w:type="autofit"/>
        <w:tblCellMar>
          <w:top w:w="0" w:type="dxa"/>
          <w:left w:w="0" w:type="dxa"/>
          <w:bottom w:w="0" w:type="dxa"/>
          <w:right w:w="0" w:type="dxa"/>
        </w:tblCellMar>
      </w:tblPr>
      <w:tblGrid>
        <w:gridCol w:w="1404"/>
        <w:gridCol w:w="1762"/>
        <w:gridCol w:w="1406"/>
        <w:gridCol w:w="1406"/>
        <w:gridCol w:w="1415"/>
        <w:gridCol w:w="1415"/>
      </w:tblGrid>
      <w:tr>
        <w:tblPrEx>
          <w:tblCellMar>
            <w:top w:w="0" w:type="dxa"/>
            <w:left w:w="0" w:type="dxa"/>
            <w:bottom w:w="0" w:type="dxa"/>
            <w:right w:w="0" w:type="dxa"/>
          </w:tblCellMar>
        </w:tblPrEx>
        <w:trPr>
          <w:jc w:val="center"/>
        </w:trPr>
        <w:tc>
          <w:tcPr>
            <w:tcW w:w="797"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构筑物名称</w:t>
            </w:r>
          </w:p>
        </w:tc>
        <w:tc>
          <w:tcPr>
            <w:tcW w:w="1000"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处理系统数量（座）</w:t>
            </w:r>
          </w:p>
        </w:tc>
        <w:tc>
          <w:tcPr>
            <w:tcW w:w="3202" w:type="pct"/>
            <w:gridSpan w:val="4"/>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单池尺寸及占地</w:t>
            </w:r>
          </w:p>
        </w:tc>
      </w:tr>
      <w:tr>
        <w:tblPrEx>
          <w:tblCellMar>
            <w:top w:w="0" w:type="dxa"/>
            <w:left w:w="0" w:type="dxa"/>
            <w:bottom w:w="0" w:type="dxa"/>
            <w:right w:w="0" w:type="dxa"/>
          </w:tblCellMar>
        </w:tblPrEx>
        <w:trPr>
          <w:jc w:val="center"/>
        </w:trPr>
        <w:tc>
          <w:tcPr>
            <w:tcW w:w="797"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p>
        </w:tc>
        <w:tc>
          <w:tcPr>
            <w:tcW w:w="1000"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长（m）</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宽（m）</w:t>
            </w:r>
          </w:p>
        </w:tc>
        <w:tc>
          <w:tcPr>
            <w:tcW w:w="80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高（m）</w:t>
            </w:r>
          </w:p>
        </w:tc>
        <w:tc>
          <w:tcPr>
            <w:tcW w:w="803" w:type="pct"/>
            <w:tcBorders>
              <w:top w:val="single" w:color="000000" w:sz="4" w:space="0"/>
              <w:left w:val="single" w:color="000000" w:sz="4" w:space="0"/>
              <w:bottom w:val="single" w:color="000000" w:sz="4" w:space="0"/>
              <w:right w:val="single" w:color="000000" w:sz="4" w:space="0"/>
            </w:tcBorders>
            <w:vAlign w:val="center"/>
          </w:tcPr>
          <w:p>
            <w:pPr>
              <w:pStyle w:val="136"/>
            </w:pPr>
            <w:r>
              <w:t>占地面积（m</w:t>
            </w:r>
            <w:r>
              <w:rPr>
                <w:vertAlign w:val="superscript"/>
              </w:rPr>
              <w:t>2</w:t>
            </w:r>
            <w:r>
              <w:t>）</w:t>
            </w:r>
          </w:p>
        </w:tc>
      </w:tr>
      <w:tr>
        <w:tblPrEx>
          <w:tblCellMar>
            <w:top w:w="0" w:type="dxa"/>
            <w:left w:w="0" w:type="dxa"/>
            <w:bottom w:w="0" w:type="dxa"/>
            <w:right w:w="0" w:type="dxa"/>
          </w:tblCellMar>
        </w:tblPrEx>
        <w:trPr>
          <w:jc w:val="center"/>
        </w:trPr>
        <w:tc>
          <w:tcPr>
            <w:tcW w:w="79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初沉池</w:t>
            </w:r>
          </w:p>
        </w:tc>
        <w:tc>
          <w:tcPr>
            <w:tcW w:w="100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1</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5</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3</w:t>
            </w:r>
          </w:p>
        </w:tc>
        <w:tc>
          <w:tcPr>
            <w:tcW w:w="80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2</w:t>
            </w:r>
          </w:p>
        </w:tc>
        <w:tc>
          <w:tcPr>
            <w:tcW w:w="803" w:type="pct"/>
            <w:tcBorders>
              <w:top w:val="single" w:color="000000" w:sz="4" w:space="0"/>
              <w:left w:val="single" w:color="000000" w:sz="4" w:space="0"/>
              <w:bottom w:val="single" w:color="000000" w:sz="4" w:space="0"/>
              <w:right w:val="single" w:color="000000" w:sz="4" w:space="0"/>
            </w:tcBorders>
          </w:tcPr>
          <w:p>
            <w:pPr>
              <w:pStyle w:val="136"/>
            </w:pPr>
            <w:r>
              <w:t>30</w:t>
            </w:r>
          </w:p>
        </w:tc>
      </w:tr>
      <w:tr>
        <w:tblPrEx>
          <w:tblCellMar>
            <w:top w:w="0" w:type="dxa"/>
            <w:left w:w="0" w:type="dxa"/>
            <w:bottom w:w="0" w:type="dxa"/>
            <w:right w:w="0" w:type="dxa"/>
          </w:tblCellMar>
        </w:tblPrEx>
        <w:trPr>
          <w:jc w:val="center"/>
        </w:trPr>
        <w:tc>
          <w:tcPr>
            <w:tcW w:w="79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平流沉淀池</w:t>
            </w:r>
          </w:p>
        </w:tc>
        <w:tc>
          <w:tcPr>
            <w:tcW w:w="100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1</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3</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3</w:t>
            </w:r>
          </w:p>
        </w:tc>
        <w:tc>
          <w:tcPr>
            <w:tcW w:w="80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2</w:t>
            </w:r>
          </w:p>
        </w:tc>
        <w:tc>
          <w:tcPr>
            <w:tcW w:w="803" w:type="pct"/>
            <w:tcBorders>
              <w:top w:val="single" w:color="000000" w:sz="4" w:space="0"/>
              <w:left w:val="single" w:color="000000" w:sz="4" w:space="0"/>
              <w:bottom w:val="single" w:color="000000" w:sz="4" w:space="0"/>
              <w:right w:val="single" w:color="000000" w:sz="4" w:space="0"/>
            </w:tcBorders>
          </w:tcPr>
          <w:p>
            <w:pPr>
              <w:pStyle w:val="136"/>
            </w:pPr>
            <w:r>
              <w:t>18</w:t>
            </w:r>
          </w:p>
        </w:tc>
      </w:tr>
      <w:tr>
        <w:tblPrEx>
          <w:tblCellMar>
            <w:top w:w="0" w:type="dxa"/>
            <w:left w:w="0" w:type="dxa"/>
            <w:bottom w:w="0" w:type="dxa"/>
            <w:right w:w="0" w:type="dxa"/>
          </w:tblCellMar>
        </w:tblPrEx>
        <w:trPr>
          <w:jc w:val="center"/>
        </w:trPr>
        <w:tc>
          <w:tcPr>
            <w:tcW w:w="79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清水池</w:t>
            </w:r>
          </w:p>
        </w:tc>
        <w:tc>
          <w:tcPr>
            <w:tcW w:w="100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2</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5</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3</w:t>
            </w:r>
          </w:p>
        </w:tc>
        <w:tc>
          <w:tcPr>
            <w:tcW w:w="80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2</w:t>
            </w:r>
          </w:p>
        </w:tc>
        <w:tc>
          <w:tcPr>
            <w:tcW w:w="803" w:type="pct"/>
            <w:tcBorders>
              <w:top w:val="single" w:color="000000" w:sz="4" w:space="0"/>
              <w:left w:val="single" w:color="000000" w:sz="4" w:space="0"/>
              <w:bottom w:val="single" w:color="000000" w:sz="4" w:space="0"/>
              <w:right w:val="single" w:color="000000" w:sz="4" w:space="0"/>
            </w:tcBorders>
          </w:tcPr>
          <w:p>
            <w:pPr>
              <w:pStyle w:val="136"/>
            </w:pPr>
            <w:r>
              <w:t>30</w:t>
            </w:r>
          </w:p>
        </w:tc>
      </w:tr>
      <w:tr>
        <w:tblPrEx>
          <w:tblCellMar>
            <w:top w:w="0" w:type="dxa"/>
            <w:left w:w="0" w:type="dxa"/>
            <w:bottom w:w="0" w:type="dxa"/>
            <w:right w:w="0" w:type="dxa"/>
          </w:tblCellMar>
        </w:tblPrEx>
        <w:trPr>
          <w:jc w:val="center"/>
        </w:trPr>
        <w:tc>
          <w:tcPr>
            <w:tcW w:w="79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储水池</w:t>
            </w:r>
          </w:p>
        </w:tc>
        <w:tc>
          <w:tcPr>
            <w:tcW w:w="100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1</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17</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15</w:t>
            </w:r>
          </w:p>
        </w:tc>
        <w:tc>
          <w:tcPr>
            <w:tcW w:w="80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5</w:t>
            </w:r>
          </w:p>
        </w:tc>
        <w:tc>
          <w:tcPr>
            <w:tcW w:w="803" w:type="pct"/>
            <w:tcBorders>
              <w:top w:val="single" w:color="000000" w:sz="4" w:space="0"/>
              <w:left w:val="single" w:color="000000" w:sz="4" w:space="0"/>
              <w:bottom w:val="single" w:color="000000" w:sz="4" w:space="0"/>
              <w:right w:val="single" w:color="000000" w:sz="4" w:space="0"/>
            </w:tcBorders>
          </w:tcPr>
          <w:p>
            <w:pPr>
              <w:pStyle w:val="136"/>
            </w:pPr>
            <w:r>
              <w:t>1275</w:t>
            </w:r>
          </w:p>
        </w:tc>
      </w:tr>
      <w:tr>
        <w:tblPrEx>
          <w:tblCellMar>
            <w:top w:w="0" w:type="dxa"/>
            <w:left w:w="0" w:type="dxa"/>
            <w:bottom w:w="0" w:type="dxa"/>
            <w:right w:w="0" w:type="dxa"/>
          </w:tblCellMar>
        </w:tblPrEx>
        <w:trPr>
          <w:jc w:val="center"/>
        </w:trPr>
        <w:tc>
          <w:tcPr>
            <w:tcW w:w="79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rPr>
                <w:rFonts w:hint="eastAsia" w:eastAsia="宋体"/>
                <w:lang w:eastAsia="zh-CN"/>
              </w:rPr>
            </w:pPr>
            <w:r>
              <w:rPr>
                <w:rFonts w:hint="eastAsia"/>
                <w:lang w:eastAsia="zh-CN"/>
              </w:rPr>
              <w:t>加药间</w:t>
            </w:r>
          </w:p>
        </w:tc>
        <w:tc>
          <w:tcPr>
            <w:tcW w:w="100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1</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3</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7</w:t>
            </w:r>
          </w:p>
        </w:tc>
        <w:tc>
          <w:tcPr>
            <w:tcW w:w="80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1.5</w:t>
            </w:r>
          </w:p>
        </w:tc>
        <w:tc>
          <w:tcPr>
            <w:tcW w:w="803" w:type="pct"/>
            <w:tcBorders>
              <w:top w:val="single" w:color="000000" w:sz="4" w:space="0"/>
              <w:left w:val="single" w:color="000000" w:sz="4" w:space="0"/>
              <w:bottom w:val="single" w:color="000000" w:sz="4" w:space="0"/>
              <w:right w:val="single" w:color="000000" w:sz="4" w:space="0"/>
            </w:tcBorders>
          </w:tcPr>
          <w:p>
            <w:pPr>
              <w:pStyle w:val="136"/>
            </w:pPr>
            <w:r>
              <w:t>31.5</w:t>
            </w:r>
          </w:p>
        </w:tc>
      </w:tr>
      <w:tr>
        <w:tblPrEx>
          <w:tblCellMar>
            <w:top w:w="0" w:type="dxa"/>
            <w:left w:w="0" w:type="dxa"/>
            <w:bottom w:w="0" w:type="dxa"/>
            <w:right w:w="0" w:type="dxa"/>
          </w:tblCellMar>
        </w:tblPrEx>
        <w:trPr>
          <w:jc w:val="center"/>
        </w:trPr>
        <w:tc>
          <w:tcPr>
            <w:tcW w:w="79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防护栏</w:t>
            </w:r>
          </w:p>
        </w:tc>
        <w:tc>
          <w:tcPr>
            <w:tcW w:w="100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124</w:t>
            </w:r>
          </w:p>
        </w:tc>
        <w:tc>
          <w:tcPr>
            <w:tcW w:w="7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p>
        </w:tc>
        <w:tc>
          <w:tcPr>
            <w:tcW w:w="80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p>
        </w:tc>
        <w:tc>
          <w:tcPr>
            <w:tcW w:w="803" w:type="pct"/>
            <w:tcBorders>
              <w:top w:val="single" w:color="000000" w:sz="4" w:space="0"/>
              <w:left w:val="single" w:color="000000" w:sz="4" w:space="0"/>
              <w:bottom w:val="single" w:color="000000" w:sz="4" w:space="0"/>
              <w:right w:val="single" w:color="000000" w:sz="4" w:space="0"/>
            </w:tcBorders>
            <w:vAlign w:val="center"/>
          </w:tcPr>
          <w:p>
            <w:pPr>
              <w:pStyle w:val="136"/>
            </w:pPr>
          </w:p>
        </w:tc>
      </w:tr>
      <w:tr>
        <w:tblPrEx>
          <w:tblCellMar>
            <w:top w:w="0" w:type="dxa"/>
            <w:left w:w="0" w:type="dxa"/>
            <w:bottom w:w="0" w:type="dxa"/>
            <w:right w:w="0" w:type="dxa"/>
          </w:tblCellMar>
        </w:tblPrEx>
        <w:trPr>
          <w:jc w:val="center"/>
        </w:trPr>
        <w:tc>
          <w:tcPr>
            <w:tcW w:w="79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配电间</w:t>
            </w:r>
          </w:p>
        </w:tc>
        <w:tc>
          <w:tcPr>
            <w:tcW w:w="100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1</w:t>
            </w:r>
          </w:p>
        </w:tc>
        <w:tc>
          <w:tcPr>
            <w:tcW w:w="3202" w:type="pct"/>
            <w:gridSpan w:val="4"/>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与砂石料系统配电间共用</w:t>
            </w:r>
          </w:p>
        </w:tc>
      </w:tr>
    </w:tbl>
    <w:p>
      <w:pPr>
        <w:pStyle w:val="113"/>
        <w:ind w:firstLine="180"/>
      </w:pPr>
      <w:r>
        <w:t>注：水池超高均为0.3m。</w:t>
      </w:r>
    </w:p>
    <w:p>
      <w:pPr>
        <w:ind w:firstLine="480"/>
        <w:rPr>
          <w:rFonts w:cs="Times New Roman"/>
        </w:rPr>
      </w:pPr>
    </w:p>
    <w:p>
      <w:pPr>
        <w:ind w:firstLine="480"/>
        <w:rPr>
          <w:rFonts w:cs="Times New Roman"/>
        </w:rPr>
      </w:pPr>
      <w:r>
        <w:rPr>
          <w:rFonts w:cs="Times New Roman"/>
        </w:rPr>
        <w:t>（5）主要工程量</w:t>
      </w:r>
    </w:p>
    <w:p>
      <w:pPr>
        <w:ind w:firstLine="480"/>
        <w:rPr>
          <w:rFonts w:cs="Times New Roman"/>
        </w:rPr>
      </w:pPr>
      <w:r>
        <w:rPr>
          <w:rFonts w:cs="Times New Roman"/>
        </w:rPr>
        <w:t>砂石料加工废水处理系统建筑工程主要工程量见表6.3-4。</w:t>
      </w:r>
    </w:p>
    <w:p>
      <w:pPr>
        <w:pStyle w:val="137"/>
        <w:spacing w:before="62"/>
      </w:pPr>
      <w:r>
        <w:t>表6.3-4            砂石料加工系统废水处理系统建筑工程量表</w:t>
      </w:r>
    </w:p>
    <w:tbl>
      <w:tblPr>
        <w:tblStyle w:val="40"/>
        <w:tblW w:w="5000" w:type="pct"/>
        <w:jc w:val="center"/>
        <w:tblLayout w:type="autofit"/>
        <w:tblCellMar>
          <w:top w:w="0" w:type="dxa"/>
          <w:left w:w="0" w:type="dxa"/>
          <w:bottom w:w="0" w:type="dxa"/>
          <w:right w:w="0" w:type="dxa"/>
        </w:tblCellMar>
      </w:tblPr>
      <w:tblGrid>
        <w:gridCol w:w="1246"/>
        <w:gridCol w:w="1279"/>
        <w:gridCol w:w="1279"/>
        <w:gridCol w:w="1249"/>
        <w:gridCol w:w="1249"/>
        <w:gridCol w:w="1256"/>
        <w:gridCol w:w="1250"/>
      </w:tblGrid>
      <w:tr>
        <w:tblPrEx>
          <w:tblCellMar>
            <w:top w:w="0" w:type="dxa"/>
            <w:left w:w="0" w:type="dxa"/>
            <w:bottom w:w="0" w:type="dxa"/>
            <w:right w:w="0" w:type="dxa"/>
          </w:tblCellMar>
        </w:tblPrEx>
        <w:trPr>
          <w:jc w:val="center"/>
        </w:trPr>
        <w:tc>
          <w:tcPr>
            <w:tcW w:w="707"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名称</w:t>
            </w:r>
          </w:p>
        </w:tc>
        <w:tc>
          <w:tcPr>
            <w:tcW w:w="726" w:type="pct"/>
            <w:vMerge w:val="restart"/>
            <w:tcBorders>
              <w:top w:val="single" w:color="000000" w:sz="4" w:space="0"/>
              <w:left w:val="single" w:color="000000" w:sz="4" w:space="0"/>
              <w:right w:val="single" w:color="000000" w:sz="4" w:space="0"/>
            </w:tcBorders>
            <w:vAlign w:val="center"/>
          </w:tcPr>
          <w:p>
            <w:pPr>
              <w:pStyle w:val="136"/>
            </w:pPr>
            <w:r>
              <w:t>构筑物名称</w:t>
            </w:r>
          </w:p>
        </w:tc>
        <w:tc>
          <w:tcPr>
            <w:tcW w:w="726"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土方工程</w:t>
            </w:r>
          </w:p>
          <w:p>
            <w:pPr>
              <w:pStyle w:val="136"/>
            </w:pPr>
            <w:r>
              <w:t>（m</w:t>
            </w:r>
            <w:r>
              <w:rPr>
                <w:vertAlign w:val="superscript"/>
              </w:rPr>
              <w:t>3</w:t>
            </w:r>
            <w:r>
              <w:t>）</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钢筋</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混凝土</w:t>
            </w:r>
          </w:p>
        </w:tc>
        <w:tc>
          <w:tcPr>
            <w:tcW w:w="71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砖砌</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浆砌块石</w:t>
            </w:r>
          </w:p>
        </w:tc>
      </w:tr>
      <w:tr>
        <w:tblPrEx>
          <w:tblCellMar>
            <w:top w:w="0" w:type="dxa"/>
            <w:left w:w="0" w:type="dxa"/>
            <w:bottom w:w="0" w:type="dxa"/>
            <w:right w:w="0" w:type="dxa"/>
          </w:tblCellMar>
        </w:tblPrEx>
        <w:trPr>
          <w:jc w:val="center"/>
        </w:trPr>
        <w:tc>
          <w:tcPr>
            <w:tcW w:w="707"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p>
        </w:tc>
        <w:tc>
          <w:tcPr>
            <w:tcW w:w="726" w:type="pct"/>
            <w:vMerge w:val="continue"/>
            <w:tcBorders>
              <w:left w:val="single" w:color="000000" w:sz="4" w:space="0"/>
              <w:bottom w:val="single" w:color="auto" w:sz="4" w:space="0"/>
              <w:right w:val="single" w:color="000000" w:sz="4" w:space="0"/>
            </w:tcBorders>
            <w:vAlign w:val="center"/>
          </w:tcPr>
          <w:p>
            <w:pPr>
              <w:pStyle w:val="136"/>
            </w:pPr>
          </w:p>
        </w:tc>
        <w:tc>
          <w:tcPr>
            <w:tcW w:w="726"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（t）</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（m</w:t>
            </w:r>
            <w:r>
              <w:rPr>
                <w:vertAlign w:val="superscript"/>
              </w:rPr>
              <w:t>3</w:t>
            </w:r>
            <w:r>
              <w:t>）</w:t>
            </w:r>
          </w:p>
        </w:tc>
        <w:tc>
          <w:tcPr>
            <w:tcW w:w="71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（m</w:t>
            </w:r>
            <w:r>
              <w:rPr>
                <w:vertAlign w:val="superscript"/>
              </w:rPr>
              <w:t>3</w:t>
            </w:r>
            <w:r>
              <w:t>）</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136"/>
            </w:pPr>
            <w:r>
              <w:t>（m</w:t>
            </w:r>
            <w:r>
              <w:rPr>
                <w:vertAlign w:val="superscript"/>
              </w:rPr>
              <w:t>3</w:t>
            </w:r>
            <w:r>
              <w:t>）</w:t>
            </w:r>
          </w:p>
        </w:tc>
      </w:tr>
      <w:tr>
        <w:tblPrEx>
          <w:tblCellMar>
            <w:top w:w="0" w:type="dxa"/>
            <w:left w:w="0" w:type="dxa"/>
            <w:bottom w:w="0" w:type="dxa"/>
            <w:right w:w="0" w:type="dxa"/>
          </w:tblCellMar>
        </w:tblPrEx>
        <w:trPr>
          <w:jc w:val="center"/>
        </w:trPr>
        <w:tc>
          <w:tcPr>
            <w:tcW w:w="707" w:type="pct"/>
            <w:vMerge w:val="restart"/>
            <w:tcBorders>
              <w:top w:val="single" w:color="000000" w:sz="4" w:space="0"/>
              <w:left w:val="single" w:color="000000" w:sz="4" w:space="0"/>
              <w:right w:val="single" w:color="auto" w:sz="4" w:space="0"/>
            </w:tcBorders>
            <w:tcMar>
              <w:top w:w="10" w:type="dxa"/>
              <w:left w:w="10" w:type="dxa"/>
              <w:right w:w="10" w:type="dxa"/>
            </w:tcMar>
            <w:vAlign w:val="center"/>
          </w:tcPr>
          <w:p>
            <w:pPr>
              <w:pStyle w:val="136"/>
            </w:pPr>
            <w:r>
              <w:t>砂石料加工系统</w:t>
            </w:r>
          </w:p>
        </w:tc>
        <w:tc>
          <w:tcPr>
            <w:tcW w:w="726" w:type="pct"/>
            <w:tcBorders>
              <w:top w:val="single" w:color="auto" w:sz="4" w:space="0"/>
              <w:left w:val="single" w:color="auto" w:sz="4" w:space="0"/>
              <w:bottom w:val="single" w:color="auto" w:sz="4" w:space="0"/>
              <w:right w:val="single" w:color="auto" w:sz="4" w:space="0"/>
            </w:tcBorders>
            <w:vAlign w:val="center"/>
          </w:tcPr>
          <w:p>
            <w:pPr>
              <w:pStyle w:val="136"/>
            </w:pPr>
            <w:r>
              <w:t>初沉池</w:t>
            </w:r>
          </w:p>
        </w:tc>
        <w:tc>
          <w:tcPr>
            <w:tcW w:w="726" w:type="pct"/>
            <w:tcBorders>
              <w:top w:val="single" w:color="000000" w:sz="4" w:space="0"/>
              <w:left w:val="single" w:color="auto" w:sz="4" w:space="0"/>
              <w:bottom w:val="single" w:color="000000" w:sz="4" w:space="0"/>
              <w:right w:val="single" w:color="000000" w:sz="4" w:space="0"/>
            </w:tcBorders>
            <w:tcMar>
              <w:top w:w="10" w:type="dxa"/>
              <w:left w:w="10" w:type="dxa"/>
              <w:right w:w="10" w:type="dxa"/>
            </w:tcMar>
          </w:tcPr>
          <w:p>
            <w:pPr>
              <w:pStyle w:val="136"/>
            </w:pPr>
            <w:r>
              <w:t>39</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0.24</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4.7</w:t>
            </w:r>
          </w:p>
        </w:tc>
        <w:tc>
          <w:tcPr>
            <w:tcW w:w="71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7.05</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9</w:t>
            </w:r>
          </w:p>
        </w:tc>
      </w:tr>
      <w:tr>
        <w:tblPrEx>
          <w:tblCellMar>
            <w:top w:w="0" w:type="dxa"/>
            <w:left w:w="0" w:type="dxa"/>
            <w:bottom w:w="0" w:type="dxa"/>
            <w:right w:w="0" w:type="dxa"/>
          </w:tblCellMar>
        </w:tblPrEx>
        <w:trPr>
          <w:jc w:val="center"/>
        </w:trPr>
        <w:tc>
          <w:tcPr>
            <w:tcW w:w="707" w:type="pct"/>
            <w:vMerge w:val="continue"/>
            <w:tcBorders>
              <w:left w:val="single" w:color="000000" w:sz="4" w:space="0"/>
              <w:right w:val="single" w:color="auto" w:sz="4" w:space="0"/>
            </w:tcBorders>
            <w:tcMar>
              <w:top w:w="10" w:type="dxa"/>
              <w:left w:w="10" w:type="dxa"/>
              <w:right w:w="10" w:type="dxa"/>
            </w:tcMar>
            <w:vAlign w:val="center"/>
          </w:tcPr>
          <w:p>
            <w:pPr>
              <w:pStyle w:val="136"/>
            </w:pPr>
          </w:p>
        </w:tc>
        <w:tc>
          <w:tcPr>
            <w:tcW w:w="726" w:type="pct"/>
            <w:tcBorders>
              <w:top w:val="single" w:color="auto" w:sz="4" w:space="0"/>
              <w:left w:val="single" w:color="auto" w:sz="4" w:space="0"/>
              <w:bottom w:val="single" w:color="auto" w:sz="4" w:space="0"/>
              <w:right w:val="single" w:color="auto" w:sz="4" w:space="0"/>
            </w:tcBorders>
            <w:vAlign w:val="center"/>
          </w:tcPr>
          <w:p>
            <w:pPr>
              <w:pStyle w:val="136"/>
            </w:pPr>
            <w:r>
              <w:t>平流沉淀池</w:t>
            </w:r>
          </w:p>
        </w:tc>
        <w:tc>
          <w:tcPr>
            <w:tcW w:w="726" w:type="pct"/>
            <w:tcBorders>
              <w:top w:val="single" w:color="000000" w:sz="4" w:space="0"/>
              <w:left w:val="single" w:color="auto" w:sz="4" w:space="0"/>
              <w:bottom w:val="single" w:color="000000" w:sz="4" w:space="0"/>
              <w:right w:val="single" w:color="000000" w:sz="4" w:space="0"/>
            </w:tcBorders>
            <w:tcMar>
              <w:top w:w="10" w:type="dxa"/>
              <w:left w:w="10" w:type="dxa"/>
              <w:right w:w="10" w:type="dxa"/>
            </w:tcMar>
          </w:tcPr>
          <w:p>
            <w:pPr>
              <w:pStyle w:val="136"/>
            </w:pPr>
            <w:r>
              <w:t>23.4</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0.17</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3.3</w:t>
            </w:r>
          </w:p>
        </w:tc>
        <w:tc>
          <w:tcPr>
            <w:tcW w:w="71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4.95</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5.4</w:t>
            </w:r>
          </w:p>
        </w:tc>
      </w:tr>
      <w:tr>
        <w:tblPrEx>
          <w:tblCellMar>
            <w:top w:w="0" w:type="dxa"/>
            <w:left w:w="0" w:type="dxa"/>
            <w:bottom w:w="0" w:type="dxa"/>
            <w:right w:w="0" w:type="dxa"/>
          </w:tblCellMar>
        </w:tblPrEx>
        <w:trPr>
          <w:jc w:val="center"/>
        </w:trPr>
        <w:tc>
          <w:tcPr>
            <w:tcW w:w="707" w:type="pct"/>
            <w:vMerge w:val="continue"/>
            <w:tcBorders>
              <w:left w:val="single" w:color="000000" w:sz="4" w:space="0"/>
              <w:right w:val="single" w:color="auto" w:sz="4" w:space="0"/>
            </w:tcBorders>
            <w:tcMar>
              <w:top w:w="10" w:type="dxa"/>
              <w:left w:w="10" w:type="dxa"/>
              <w:right w:w="10" w:type="dxa"/>
            </w:tcMar>
            <w:vAlign w:val="center"/>
          </w:tcPr>
          <w:p>
            <w:pPr>
              <w:pStyle w:val="136"/>
            </w:pPr>
          </w:p>
        </w:tc>
        <w:tc>
          <w:tcPr>
            <w:tcW w:w="726" w:type="pct"/>
            <w:tcBorders>
              <w:top w:val="single" w:color="auto" w:sz="4" w:space="0"/>
              <w:left w:val="single" w:color="auto" w:sz="4" w:space="0"/>
              <w:bottom w:val="single" w:color="auto" w:sz="4" w:space="0"/>
              <w:right w:val="single" w:color="auto" w:sz="4" w:space="0"/>
            </w:tcBorders>
            <w:vAlign w:val="center"/>
          </w:tcPr>
          <w:p>
            <w:pPr>
              <w:pStyle w:val="136"/>
            </w:pPr>
            <w:r>
              <w:t>清水池</w:t>
            </w:r>
          </w:p>
        </w:tc>
        <w:tc>
          <w:tcPr>
            <w:tcW w:w="726" w:type="pct"/>
            <w:tcBorders>
              <w:top w:val="single" w:color="000000" w:sz="4" w:space="0"/>
              <w:left w:val="single" w:color="auto" w:sz="4" w:space="0"/>
              <w:bottom w:val="single" w:color="000000" w:sz="4" w:space="0"/>
              <w:right w:val="single" w:color="000000" w:sz="4" w:space="0"/>
            </w:tcBorders>
            <w:tcMar>
              <w:top w:w="10" w:type="dxa"/>
              <w:left w:w="10" w:type="dxa"/>
              <w:right w:w="10" w:type="dxa"/>
            </w:tcMar>
          </w:tcPr>
          <w:p>
            <w:pPr>
              <w:pStyle w:val="136"/>
            </w:pPr>
            <w:r>
              <w:t>78</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0.24</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4.7</w:t>
            </w:r>
          </w:p>
        </w:tc>
        <w:tc>
          <w:tcPr>
            <w:tcW w:w="71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7.05</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9</w:t>
            </w:r>
          </w:p>
        </w:tc>
      </w:tr>
      <w:tr>
        <w:tblPrEx>
          <w:tblCellMar>
            <w:top w:w="0" w:type="dxa"/>
            <w:left w:w="0" w:type="dxa"/>
            <w:bottom w:w="0" w:type="dxa"/>
            <w:right w:w="0" w:type="dxa"/>
          </w:tblCellMar>
        </w:tblPrEx>
        <w:trPr>
          <w:jc w:val="center"/>
        </w:trPr>
        <w:tc>
          <w:tcPr>
            <w:tcW w:w="707" w:type="pct"/>
            <w:vMerge w:val="continue"/>
            <w:tcBorders>
              <w:left w:val="single" w:color="000000" w:sz="4" w:space="0"/>
              <w:right w:val="single" w:color="auto" w:sz="4" w:space="0"/>
            </w:tcBorders>
            <w:tcMar>
              <w:top w:w="10" w:type="dxa"/>
              <w:left w:w="10" w:type="dxa"/>
              <w:right w:w="10" w:type="dxa"/>
            </w:tcMar>
            <w:vAlign w:val="center"/>
          </w:tcPr>
          <w:p>
            <w:pPr>
              <w:pStyle w:val="136"/>
            </w:pPr>
          </w:p>
        </w:tc>
        <w:tc>
          <w:tcPr>
            <w:tcW w:w="726" w:type="pct"/>
            <w:tcBorders>
              <w:top w:val="single" w:color="auto" w:sz="4" w:space="0"/>
              <w:left w:val="single" w:color="auto" w:sz="4" w:space="0"/>
              <w:bottom w:val="single" w:color="auto" w:sz="4" w:space="0"/>
              <w:right w:val="single" w:color="auto" w:sz="4" w:space="0"/>
            </w:tcBorders>
            <w:vAlign w:val="center"/>
          </w:tcPr>
          <w:p>
            <w:pPr>
              <w:pStyle w:val="136"/>
            </w:pPr>
            <w:r>
              <w:t>储水池</w:t>
            </w:r>
          </w:p>
        </w:tc>
        <w:tc>
          <w:tcPr>
            <w:tcW w:w="726" w:type="pct"/>
            <w:tcBorders>
              <w:top w:val="single" w:color="000000" w:sz="4" w:space="0"/>
              <w:left w:val="single" w:color="auto" w:sz="4" w:space="0"/>
              <w:bottom w:val="single" w:color="000000" w:sz="4" w:space="0"/>
              <w:right w:val="single" w:color="000000" w:sz="4" w:space="0"/>
            </w:tcBorders>
            <w:tcMar>
              <w:top w:w="10" w:type="dxa"/>
              <w:left w:w="10" w:type="dxa"/>
              <w:right w:w="10" w:type="dxa"/>
            </w:tcMar>
          </w:tcPr>
          <w:p>
            <w:pPr>
              <w:pStyle w:val="136"/>
            </w:pPr>
            <w:r>
              <w:t>1657.5</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2.88</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57.5</w:t>
            </w:r>
          </w:p>
        </w:tc>
        <w:tc>
          <w:tcPr>
            <w:tcW w:w="71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86.25</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153</w:t>
            </w:r>
          </w:p>
        </w:tc>
      </w:tr>
      <w:tr>
        <w:tblPrEx>
          <w:tblCellMar>
            <w:top w:w="0" w:type="dxa"/>
            <w:left w:w="0" w:type="dxa"/>
            <w:bottom w:w="0" w:type="dxa"/>
            <w:right w:w="0" w:type="dxa"/>
          </w:tblCellMar>
        </w:tblPrEx>
        <w:trPr>
          <w:jc w:val="center"/>
        </w:trPr>
        <w:tc>
          <w:tcPr>
            <w:tcW w:w="707" w:type="pct"/>
            <w:vMerge w:val="continue"/>
            <w:tcBorders>
              <w:left w:val="single" w:color="000000" w:sz="4" w:space="0"/>
              <w:right w:val="single" w:color="auto" w:sz="4" w:space="0"/>
            </w:tcBorders>
            <w:tcMar>
              <w:top w:w="10" w:type="dxa"/>
              <w:left w:w="10" w:type="dxa"/>
              <w:right w:w="10" w:type="dxa"/>
            </w:tcMar>
            <w:vAlign w:val="center"/>
          </w:tcPr>
          <w:p>
            <w:pPr>
              <w:pStyle w:val="136"/>
            </w:pPr>
          </w:p>
        </w:tc>
        <w:tc>
          <w:tcPr>
            <w:tcW w:w="726" w:type="pct"/>
            <w:tcBorders>
              <w:top w:val="single" w:color="auto" w:sz="4" w:space="0"/>
              <w:left w:val="single" w:color="auto" w:sz="4" w:space="0"/>
              <w:bottom w:val="single" w:color="auto" w:sz="4" w:space="0"/>
              <w:right w:val="single" w:color="auto" w:sz="4" w:space="0"/>
            </w:tcBorders>
            <w:vAlign w:val="center"/>
          </w:tcPr>
          <w:p>
            <w:pPr>
              <w:pStyle w:val="136"/>
              <w:rPr>
                <w:rFonts w:hint="eastAsia" w:eastAsia="宋体"/>
                <w:lang w:eastAsia="zh-CN"/>
              </w:rPr>
            </w:pPr>
            <w:r>
              <w:rPr>
                <w:rFonts w:hint="eastAsia"/>
                <w:lang w:eastAsia="zh-CN"/>
              </w:rPr>
              <w:t>加药间</w:t>
            </w:r>
          </w:p>
        </w:tc>
        <w:tc>
          <w:tcPr>
            <w:tcW w:w="726" w:type="pct"/>
            <w:tcBorders>
              <w:top w:val="single" w:color="000000" w:sz="4" w:space="0"/>
              <w:left w:val="single" w:color="auto" w:sz="4" w:space="0"/>
              <w:bottom w:val="single" w:color="000000" w:sz="4" w:space="0"/>
              <w:right w:val="single" w:color="000000" w:sz="4" w:space="0"/>
            </w:tcBorders>
            <w:tcMar>
              <w:top w:w="10" w:type="dxa"/>
              <w:left w:w="10" w:type="dxa"/>
              <w:right w:w="10" w:type="dxa"/>
            </w:tcMar>
          </w:tcPr>
          <w:p>
            <w:pPr>
              <w:pStyle w:val="136"/>
            </w:pPr>
            <w:r>
              <w:t>37.8</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0.26</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5.1</w:t>
            </w:r>
          </w:p>
        </w:tc>
        <w:tc>
          <w:tcPr>
            <w:tcW w:w="71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7.65</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12.6</w:t>
            </w:r>
          </w:p>
        </w:tc>
      </w:tr>
      <w:tr>
        <w:tblPrEx>
          <w:tblCellMar>
            <w:top w:w="0" w:type="dxa"/>
            <w:left w:w="0" w:type="dxa"/>
            <w:bottom w:w="0" w:type="dxa"/>
            <w:right w:w="0" w:type="dxa"/>
          </w:tblCellMar>
        </w:tblPrEx>
        <w:trPr>
          <w:jc w:val="center"/>
        </w:trPr>
        <w:tc>
          <w:tcPr>
            <w:tcW w:w="1433" w:type="pct"/>
            <w:gridSpan w:val="2"/>
            <w:tcBorders>
              <w:top w:val="single" w:color="000000" w:sz="4" w:space="0"/>
              <w:left w:val="single" w:color="000000" w:sz="4" w:space="0"/>
              <w:bottom w:val="single" w:color="000000" w:sz="4" w:space="0"/>
              <w:right w:val="single" w:color="auto" w:sz="4" w:space="0"/>
            </w:tcBorders>
            <w:tcMar>
              <w:top w:w="10" w:type="dxa"/>
              <w:left w:w="10" w:type="dxa"/>
              <w:right w:w="10" w:type="dxa"/>
            </w:tcMar>
            <w:vAlign w:val="center"/>
          </w:tcPr>
          <w:p>
            <w:pPr>
              <w:pStyle w:val="136"/>
            </w:pPr>
            <w:r>
              <w:t>合计</w:t>
            </w:r>
          </w:p>
        </w:tc>
        <w:tc>
          <w:tcPr>
            <w:tcW w:w="726" w:type="pct"/>
            <w:tcBorders>
              <w:top w:val="single" w:color="000000" w:sz="4" w:space="0"/>
              <w:left w:val="single" w:color="auto" w:sz="4" w:space="0"/>
              <w:bottom w:val="single" w:color="000000" w:sz="4" w:space="0"/>
              <w:right w:val="single" w:color="000000" w:sz="4" w:space="0"/>
            </w:tcBorders>
            <w:tcMar>
              <w:top w:w="10" w:type="dxa"/>
              <w:left w:w="10" w:type="dxa"/>
              <w:right w:w="10" w:type="dxa"/>
            </w:tcMar>
          </w:tcPr>
          <w:p>
            <w:pPr>
              <w:pStyle w:val="136"/>
            </w:pPr>
            <w:r>
              <w:t>1835.7</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3.79</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75.3</w:t>
            </w:r>
          </w:p>
        </w:tc>
        <w:tc>
          <w:tcPr>
            <w:tcW w:w="71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112.95</w:t>
            </w:r>
          </w:p>
        </w:tc>
        <w:tc>
          <w:tcPr>
            <w:tcW w:w="7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pPr>
              <w:pStyle w:val="136"/>
            </w:pPr>
            <w:r>
              <w:t>189</w:t>
            </w:r>
          </w:p>
        </w:tc>
      </w:tr>
    </w:tbl>
    <w:p>
      <w:pPr>
        <w:ind w:firstLine="480"/>
        <w:rPr>
          <w:rFonts w:cs="Times New Roman"/>
        </w:rPr>
      </w:pPr>
    </w:p>
    <w:p>
      <w:pPr>
        <w:ind w:firstLine="480"/>
        <w:rPr>
          <w:rFonts w:cs="Times New Roman"/>
        </w:rPr>
      </w:pPr>
      <w:r>
        <w:rPr>
          <w:rFonts w:cs="Times New Roman"/>
        </w:rPr>
        <w:t>（6）主要设备</w:t>
      </w:r>
    </w:p>
    <w:p>
      <w:pPr>
        <w:ind w:firstLine="480"/>
        <w:rPr>
          <w:rFonts w:cs="Times New Roman"/>
        </w:rPr>
      </w:pPr>
      <w:r>
        <w:rPr>
          <w:rFonts w:cs="Times New Roman"/>
        </w:rPr>
        <w:t>砂石加工废水处理系统主要设备见表6.3-5。</w:t>
      </w:r>
    </w:p>
    <w:p>
      <w:pPr>
        <w:pStyle w:val="137"/>
        <w:spacing w:before="62"/>
      </w:pPr>
      <w:r>
        <w:t>表6.3-5              砂石加工废水处理系统主要设备表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6"/>
        <w:gridCol w:w="2926"/>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926" w:type="dxa"/>
          </w:tcPr>
          <w:p>
            <w:pPr>
              <w:pStyle w:val="136"/>
            </w:pPr>
            <w:r>
              <w:t>设备</w:t>
            </w:r>
          </w:p>
        </w:tc>
        <w:tc>
          <w:tcPr>
            <w:tcW w:w="2926" w:type="dxa"/>
          </w:tcPr>
          <w:p>
            <w:pPr>
              <w:pStyle w:val="136"/>
            </w:pPr>
            <w:r>
              <w:t>数量</w:t>
            </w:r>
          </w:p>
        </w:tc>
        <w:tc>
          <w:tcPr>
            <w:tcW w:w="2926" w:type="dxa"/>
          </w:tcPr>
          <w:p>
            <w:pPr>
              <w:pStyle w:val="136"/>
            </w:pPr>
            <w: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6" w:type="dxa"/>
          </w:tcPr>
          <w:p>
            <w:pPr>
              <w:pStyle w:val="136"/>
            </w:pPr>
            <w:r>
              <w:t>砂浆泵</w:t>
            </w:r>
          </w:p>
        </w:tc>
        <w:tc>
          <w:tcPr>
            <w:tcW w:w="2926" w:type="dxa"/>
          </w:tcPr>
          <w:p>
            <w:pPr>
              <w:pStyle w:val="136"/>
            </w:pPr>
            <w:r>
              <w:t>2</w:t>
            </w:r>
          </w:p>
        </w:tc>
        <w:tc>
          <w:tcPr>
            <w:tcW w:w="2926" w:type="dxa"/>
          </w:tcPr>
          <w:p>
            <w:pPr>
              <w:pStyle w:val="136"/>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6" w:type="dxa"/>
          </w:tcPr>
          <w:p>
            <w:pPr>
              <w:pStyle w:val="136"/>
            </w:pPr>
            <w:r>
              <w:t>细砂回收处理器</w:t>
            </w:r>
          </w:p>
        </w:tc>
        <w:tc>
          <w:tcPr>
            <w:tcW w:w="2926" w:type="dxa"/>
          </w:tcPr>
          <w:p>
            <w:pPr>
              <w:pStyle w:val="136"/>
            </w:pPr>
            <w:r>
              <w:t>1</w:t>
            </w:r>
          </w:p>
        </w:tc>
        <w:tc>
          <w:tcPr>
            <w:tcW w:w="2926" w:type="dxa"/>
          </w:tcPr>
          <w:p>
            <w:pPr>
              <w:pStyle w:val="136"/>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6" w:type="dxa"/>
          </w:tcPr>
          <w:p>
            <w:pPr>
              <w:pStyle w:val="136"/>
            </w:pPr>
            <w:r>
              <w:t>JY型加药机</w:t>
            </w:r>
          </w:p>
        </w:tc>
        <w:tc>
          <w:tcPr>
            <w:tcW w:w="2926" w:type="dxa"/>
          </w:tcPr>
          <w:p>
            <w:pPr>
              <w:pStyle w:val="136"/>
            </w:pPr>
            <w:r>
              <w:t>2</w:t>
            </w:r>
          </w:p>
        </w:tc>
        <w:tc>
          <w:tcPr>
            <w:tcW w:w="2926" w:type="dxa"/>
          </w:tcPr>
          <w:p>
            <w:pPr>
              <w:pStyle w:val="136"/>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6" w:type="dxa"/>
          </w:tcPr>
          <w:p>
            <w:pPr>
              <w:pStyle w:val="136"/>
            </w:pPr>
            <w:r>
              <w:t>JT型管式静态混合器</w:t>
            </w:r>
          </w:p>
        </w:tc>
        <w:tc>
          <w:tcPr>
            <w:tcW w:w="2926" w:type="dxa"/>
          </w:tcPr>
          <w:p>
            <w:pPr>
              <w:pStyle w:val="136"/>
            </w:pPr>
            <w:r>
              <w:t>2</w:t>
            </w:r>
          </w:p>
        </w:tc>
        <w:tc>
          <w:tcPr>
            <w:tcW w:w="2926" w:type="dxa"/>
          </w:tcPr>
          <w:p>
            <w:pPr>
              <w:pStyle w:val="136"/>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6" w:type="dxa"/>
          </w:tcPr>
          <w:p>
            <w:pPr>
              <w:pStyle w:val="136"/>
            </w:pPr>
            <w:r>
              <w:t>BGH-6型行车式刮泥机</w:t>
            </w:r>
          </w:p>
        </w:tc>
        <w:tc>
          <w:tcPr>
            <w:tcW w:w="2926" w:type="dxa"/>
          </w:tcPr>
          <w:p>
            <w:pPr>
              <w:pStyle w:val="136"/>
            </w:pPr>
            <w:r>
              <w:t>2</w:t>
            </w:r>
          </w:p>
        </w:tc>
        <w:tc>
          <w:tcPr>
            <w:tcW w:w="2926" w:type="dxa"/>
          </w:tcPr>
          <w:p>
            <w:pPr>
              <w:pStyle w:val="136"/>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6" w:type="dxa"/>
          </w:tcPr>
          <w:p>
            <w:pPr>
              <w:pStyle w:val="136"/>
            </w:pPr>
            <w:r>
              <w:t>150WQ-300-10-15型潜水泵</w:t>
            </w:r>
          </w:p>
        </w:tc>
        <w:tc>
          <w:tcPr>
            <w:tcW w:w="2926" w:type="dxa"/>
          </w:tcPr>
          <w:p>
            <w:pPr>
              <w:pStyle w:val="136"/>
            </w:pPr>
            <w:r>
              <w:t>2</w:t>
            </w:r>
          </w:p>
        </w:tc>
        <w:tc>
          <w:tcPr>
            <w:tcW w:w="2926" w:type="dxa"/>
          </w:tcPr>
          <w:p>
            <w:pPr>
              <w:pStyle w:val="136"/>
            </w:pPr>
            <w:r>
              <w:t>台</w:t>
            </w:r>
          </w:p>
        </w:tc>
      </w:tr>
    </w:tbl>
    <w:p>
      <w:pPr>
        <w:ind w:firstLine="480"/>
        <w:rPr>
          <w:rFonts w:cs="Times New Roman"/>
        </w:rPr>
      </w:pPr>
    </w:p>
    <w:p>
      <w:pPr>
        <w:ind w:firstLine="480"/>
        <w:rPr>
          <w:rFonts w:cs="Times New Roman"/>
        </w:rPr>
      </w:pPr>
      <w:r>
        <w:rPr>
          <w:rFonts w:cs="Times New Roman"/>
        </w:rPr>
        <w:t>（7）运行管理与维护</w:t>
      </w:r>
    </w:p>
    <w:p>
      <w:pPr>
        <w:ind w:firstLine="480"/>
        <w:rPr>
          <w:rFonts w:cs="Times New Roman"/>
        </w:rPr>
      </w:pPr>
      <w:r>
        <w:rPr>
          <w:rFonts w:hint="eastAsia" w:ascii="宋体" w:hAnsi="宋体" w:cs="宋体"/>
        </w:rPr>
        <w:t>①</w:t>
      </w:r>
      <w:r>
        <w:rPr>
          <w:rFonts w:cs="Times New Roman"/>
        </w:rPr>
        <w:t>按照“三同时”要求，为了保证废水处理系统有效运行，建设单位应把废水处理站的建设与有效运行作为合同的条款之一纳入工程承包合同，进行达标验收。</w:t>
      </w:r>
    </w:p>
    <w:p>
      <w:pPr>
        <w:ind w:firstLine="480"/>
        <w:rPr>
          <w:rFonts w:cs="Times New Roman"/>
        </w:rPr>
      </w:pPr>
      <w:r>
        <w:rPr>
          <w:rFonts w:hint="eastAsia" w:ascii="宋体" w:hAnsi="宋体" w:cs="宋体"/>
        </w:rPr>
        <w:t>②</w:t>
      </w:r>
      <w:r>
        <w:rPr>
          <w:rFonts w:cs="Times New Roman"/>
        </w:rPr>
        <w:t>工程环境管理部门应定期对处理站的管理运行进行监督检查，掌握废水处理站运行情况，对不良情况提出口头和书面的整改意见。</w:t>
      </w:r>
    </w:p>
    <w:p>
      <w:pPr>
        <w:ind w:firstLine="480"/>
        <w:rPr>
          <w:rFonts w:cs="Times New Roman"/>
        </w:rPr>
      </w:pPr>
      <w:r>
        <w:rPr>
          <w:rFonts w:hint="eastAsia" w:ascii="宋体" w:hAnsi="宋体" w:cs="宋体"/>
        </w:rPr>
        <w:t>③</w:t>
      </w:r>
      <w:r>
        <w:rPr>
          <w:rFonts w:cs="Times New Roman"/>
        </w:rPr>
        <w:t>运行管理费应专款专用，特别是运渣费和管理费，以保证废水处理站的正常运行。</w:t>
      </w:r>
    </w:p>
    <w:p>
      <w:pPr>
        <w:ind w:firstLine="480"/>
        <w:rPr>
          <w:rFonts w:cs="Times New Roman"/>
        </w:rPr>
      </w:pPr>
      <w:r>
        <w:rPr>
          <w:rFonts w:hint="eastAsia" w:ascii="宋体" w:hAnsi="宋体" w:cs="宋体"/>
        </w:rPr>
        <w:t>④</w:t>
      </w:r>
      <w:r>
        <w:rPr>
          <w:rFonts w:cs="Times New Roman"/>
        </w:rPr>
        <w:t>由于废水处理工艺的絮凝沉淀部分机械化和自动化程度较高，对管理人员有一定技术要求，所以应组织废水处理站的管理维护人员在上岗前接受专项技术操作培训后，才能对电气仪表设备进行科学的操作与维护，并严格制订操作规程，以保证废水处理站的良好运行。</w:t>
      </w:r>
    </w:p>
    <w:p>
      <w:pPr>
        <w:pStyle w:val="62"/>
        <w:rPr>
          <w:rFonts w:cs="Times New Roman"/>
        </w:rPr>
      </w:pPr>
      <w:r>
        <w:rPr>
          <w:rFonts w:cs="Times New Roman"/>
        </w:rPr>
        <w:t>6.3.1.2 混凝土系统冲洗废水</w:t>
      </w:r>
    </w:p>
    <w:p>
      <w:pPr>
        <w:ind w:firstLine="480"/>
        <w:rPr>
          <w:rFonts w:cs="Times New Roman"/>
        </w:rPr>
      </w:pPr>
      <w:r>
        <w:rPr>
          <w:rFonts w:cs="Times New Roman"/>
        </w:rPr>
        <w:t>（1）废水排放情况</w:t>
      </w:r>
    </w:p>
    <w:p>
      <w:pPr>
        <w:ind w:firstLine="480"/>
        <w:rPr>
          <w:rFonts w:cs="Times New Roman"/>
        </w:rPr>
      </w:pPr>
      <w:r>
        <w:rPr>
          <w:rFonts w:cs="Times New Roman"/>
        </w:rPr>
        <w:t>工程共设2座混凝土拌和系统，废水产自混凝土拌和过程和混凝土转筒在每班末的冲洗过程，为间歇排水、水量不大，每套拌和系统高峰期废水排放量为4m</w:t>
      </w:r>
      <w:r>
        <w:rPr>
          <w:rFonts w:cs="Times New Roman"/>
          <w:vertAlign w:val="superscript"/>
        </w:rPr>
        <w:t>3</w:t>
      </w:r>
      <w:r>
        <w:rPr>
          <w:rFonts w:cs="Times New Roman"/>
        </w:rPr>
        <w:t>/d，废水污染物主要是SS，浓度约为5000mg/L，pH值12左右，呈碱性。本工程混凝土拌和废水排放情况见表3.4-3。</w:t>
      </w:r>
    </w:p>
    <w:p>
      <w:pPr>
        <w:ind w:firstLine="480"/>
        <w:rPr>
          <w:rFonts w:cs="Times New Roman"/>
        </w:rPr>
      </w:pPr>
      <w:r>
        <w:rPr>
          <w:rFonts w:cs="Times New Roman"/>
        </w:rPr>
        <w:t>（2）处理目标</w:t>
      </w:r>
    </w:p>
    <w:p>
      <w:pPr>
        <w:ind w:firstLine="480"/>
        <w:rPr>
          <w:rFonts w:cs="Times New Roman"/>
        </w:rPr>
      </w:pPr>
      <w:r>
        <w:rPr>
          <w:rFonts w:cs="Times New Roman"/>
        </w:rPr>
        <w:t>工程每套混凝土拌和系统用水强度为40m</w:t>
      </w:r>
      <w:r>
        <w:rPr>
          <w:rFonts w:cs="Times New Roman"/>
          <w:vertAlign w:val="superscript"/>
        </w:rPr>
        <w:t>3</w:t>
      </w:r>
      <w:r>
        <w:rPr>
          <w:rFonts w:cs="Times New Roman"/>
        </w:rPr>
        <w:t>/h，废水排放量约4.0m</w:t>
      </w:r>
      <w:r>
        <w:rPr>
          <w:rFonts w:cs="Times New Roman"/>
          <w:vertAlign w:val="superscript"/>
        </w:rPr>
        <w:t>3</w:t>
      </w:r>
      <w:r>
        <w:rPr>
          <w:rFonts w:cs="Times New Roman"/>
        </w:rPr>
        <w:t>/d，工程区地表水控制目标为III类，禁止排污。故按照环境保护和节约水资源的要求，拌和站混凝土拌和废水处理后全部回用，不外排。根据《水工混凝土施工规范》（DL/T5114-2015）对混凝土养护用水水质要求（见表6.3-1），处理后的混凝土拌和废水SS＜2000mg/L即可满足混凝土拌和要求，考虑到回用废水与新鲜水混合后使用，也为安全起见，确定混凝土拌和系统废水处理目标为SS≤100mg/L。</w:t>
      </w:r>
    </w:p>
    <w:p>
      <w:pPr>
        <w:ind w:firstLine="480"/>
        <w:rPr>
          <w:rFonts w:cs="Times New Roman"/>
        </w:rPr>
      </w:pPr>
      <w:r>
        <w:rPr>
          <w:rFonts w:cs="Times New Roman"/>
        </w:rPr>
        <w:t>（3）处理工艺</w:t>
      </w:r>
    </w:p>
    <w:p>
      <w:pPr>
        <w:ind w:firstLine="480"/>
        <w:rPr>
          <w:rFonts w:cs="Times New Roman"/>
        </w:rPr>
      </w:pPr>
      <w:r>
        <w:rPr>
          <w:rFonts w:cs="Times New Roman"/>
        </w:rPr>
        <w:t>根据本工程混凝土拌和废水瞬时排放量大、悬浮物浓度高的特点，混凝土拌和废水选用“预沉+沉淀池”二级或三级沉淀处理工艺。废水先进入调节预沉池，去除大部分悬浮物，再进入平流沉淀池进一步处理，出水回用于场地冲洗。流程见图6.3-4。弃渣自然干化后运输至弃渣场处理，当处理后的水回用混凝土拌和废水pH值超过9时，应投加酸进行中和。</w:t>
      </w:r>
    </w:p>
    <w:p>
      <w:pPr>
        <w:ind w:firstLine="480"/>
        <w:jc w:val="center"/>
        <w:rPr>
          <w:rFonts w:cs="Times New Roman"/>
        </w:rPr>
      </w:pPr>
      <w:r>
        <w:rPr>
          <w:rFonts w:cs="Times New Roman"/>
        </w:rPr>
        <w:drawing>
          <wp:inline distT="0" distB="0" distL="0" distR="0">
            <wp:extent cx="4859655" cy="11163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860000" cy="1116561"/>
                    </a:xfrm>
                    <a:prstGeom prst="rect">
                      <a:avLst/>
                    </a:prstGeom>
                  </pic:spPr>
                </pic:pic>
              </a:graphicData>
            </a:graphic>
          </wp:inline>
        </w:drawing>
      </w:r>
    </w:p>
    <w:p>
      <w:pPr>
        <w:pStyle w:val="147"/>
      </w:pPr>
      <w:r>
        <w:t>图6.3-4  混凝土拌和系统废水处理工艺流程示意图</w:t>
      </w:r>
    </w:p>
    <w:p>
      <w:pPr>
        <w:ind w:firstLine="480"/>
        <w:rPr>
          <w:rFonts w:cs="Times New Roman"/>
        </w:rPr>
      </w:pPr>
    </w:p>
    <w:p>
      <w:pPr>
        <w:ind w:firstLine="480"/>
        <w:rPr>
          <w:rFonts w:cs="Times New Roman"/>
        </w:rPr>
      </w:pPr>
      <w:r>
        <w:rPr>
          <w:rFonts w:cs="Times New Roman"/>
        </w:rPr>
        <w:t>（4）处理工艺设计</w:t>
      </w:r>
    </w:p>
    <w:p>
      <w:pPr>
        <w:ind w:firstLine="480"/>
        <w:rPr>
          <w:rFonts w:cs="Times New Roman"/>
        </w:rPr>
      </w:pPr>
      <w:r>
        <w:rPr>
          <w:rFonts w:cs="Times New Roman"/>
        </w:rPr>
        <w:t>根据混凝土拌和废水处理工艺，在混凝土拌和系统修建预沉池、沉淀池和清水池及事故备用池各1座，配回用水泵2台（1用1备）。</w:t>
      </w:r>
    </w:p>
    <w:p>
      <w:pPr>
        <w:ind w:firstLine="480"/>
        <w:rPr>
          <w:rFonts w:cs="Times New Roman"/>
        </w:rPr>
      </w:pPr>
      <w:r>
        <w:rPr>
          <w:rFonts w:cs="Times New Roman"/>
        </w:rPr>
        <w:t>混凝土拌和废水按每2h排放一次进行设计；预沉池设计停留时间8h，清泥230周期3d；沉淀池设计停留时间8h，清泥周期7d；清水池设计停留时间2h。沉淀池、清水池的设计容积还需考虑一定的水量变动系数，各处理池底部和四周用混凝土砌筑25cm。</w:t>
      </w:r>
    </w:p>
    <w:p>
      <w:pPr>
        <w:ind w:firstLine="480"/>
        <w:rPr>
          <w:rFonts w:cs="Times New Roman"/>
        </w:rPr>
      </w:pPr>
      <w:r>
        <w:rPr>
          <w:rFonts w:cs="Times New Roman"/>
        </w:rPr>
        <w:t>根据工程特性，</w:t>
      </w:r>
      <w:r>
        <w:rPr>
          <w:rFonts w:hint="eastAsia" w:cs="Times New Roman"/>
          <w:lang w:eastAsia="zh-CN"/>
        </w:rPr>
        <w:t>将</w:t>
      </w:r>
      <w:r>
        <w:rPr>
          <w:rFonts w:cs="Times New Roman"/>
        </w:rPr>
        <w:t>混凝土拌和废水处理系统纳入到混凝土拌和系统布置中统一考虑，构筑物利用混凝土拌和系统附近空地进行布置。具体选址和各构筑物尺寸、规模形式结合现场实际条件进行调整，</w:t>
      </w:r>
      <w:r>
        <w:rPr>
          <w:rFonts w:hint="eastAsia" w:cs="Times New Roman"/>
          <w:lang w:eastAsia="zh-CN"/>
        </w:rPr>
        <w:t>以满足废水处理</w:t>
      </w:r>
      <w:r>
        <w:rPr>
          <w:rFonts w:cs="Times New Roman"/>
        </w:rPr>
        <w:t>功能为准。</w:t>
      </w:r>
    </w:p>
    <w:p>
      <w:pPr>
        <w:ind w:firstLine="480"/>
        <w:rPr>
          <w:rFonts w:cs="Times New Roman"/>
        </w:rPr>
      </w:pPr>
      <w:r>
        <w:rPr>
          <w:rFonts w:cs="Times New Roman"/>
        </w:rPr>
        <w:t>具体设计尺寸及工程量见表6.3-6。</w:t>
      </w:r>
    </w:p>
    <w:p>
      <w:pPr>
        <w:pStyle w:val="137"/>
        <w:spacing w:before="62"/>
      </w:pPr>
      <w:r>
        <w:t>表6.3-6          混凝土拌合及养护废水处理设施施工程量表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44"/>
        <w:gridCol w:w="432"/>
        <w:gridCol w:w="706"/>
        <w:gridCol w:w="426"/>
        <w:gridCol w:w="427"/>
        <w:gridCol w:w="567"/>
        <w:gridCol w:w="851"/>
        <w:gridCol w:w="708"/>
        <w:gridCol w:w="709"/>
        <w:gridCol w:w="709"/>
        <w:gridCol w:w="850"/>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vMerge w:val="restart"/>
            <w:shd w:val="clear" w:color="auto" w:fill="auto"/>
            <w:vAlign w:val="center"/>
          </w:tcPr>
          <w:p>
            <w:pPr>
              <w:pStyle w:val="136"/>
            </w:pPr>
            <w:r>
              <w:t>废水量</w:t>
            </w:r>
          </w:p>
        </w:tc>
        <w:tc>
          <w:tcPr>
            <w:tcW w:w="844" w:type="dxa"/>
            <w:vMerge w:val="restart"/>
            <w:shd w:val="clear" w:color="auto" w:fill="auto"/>
            <w:vAlign w:val="center"/>
          </w:tcPr>
          <w:p>
            <w:pPr>
              <w:pStyle w:val="136"/>
            </w:pPr>
            <w:r>
              <w:t>构筑物</w:t>
            </w:r>
          </w:p>
        </w:tc>
        <w:tc>
          <w:tcPr>
            <w:tcW w:w="432" w:type="dxa"/>
            <w:vMerge w:val="restart"/>
            <w:shd w:val="clear" w:color="auto" w:fill="auto"/>
            <w:vAlign w:val="center"/>
          </w:tcPr>
          <w:p>
            <w:pPr>
              <w:pStyle w:val="136"/>
            </w:pPr>
            <w:r>
              <w:t>数量</w:t>
            </w:r>
          </w:p>
        </w:tc>
        <w:tc>
          <w:tcPr>
            <w:tcW w:w="706" w:type="dxa"/>
            <w:vMerge w:val="restart"/>
            <w:shd w:val="clear" w:color="auto" w:fill="auto"/>
            <w:vAlign w:val="center"/>
          </w:tcPr>
          <w:p>
            <w:pPr>
              <w:pStyle w:val="136"/>
            </w:pPr>
            <w:r>
              <w:t>停留时间</w:t>
            </w:r>
          </w:p>
        </w:tc>
        <w:tc>
          <w:tcPr>
            <w:tcW w:w="1420" w:type="dxa"/>
            <w:gridSpan w:val="3"/>
            <w:shd w:val="clear" w:color="auto" w:fill="auto"/>
            <w:vAlign w:val="center"/>
          </w:tcPr>
          <w:p>
            <w:pPr>
              <w:pStyle w:val="136"/>
            </w:pPr>
            <w:r>
              <w:t>尺寸</w:t>
            </w:r>
          </w:p>
        </w:tc>
        <w:tc>
          <w:tcPr>
            <w:tcW w:w="851" w:type="dxa"/>
            <w:vMerge w:val="restart"/>
            <w:shd w:val="clear" w:color="auto" w:fill="auto"/>
            <w:vAlign w:val="center"/>
          </w:tcPr>
          <w:p>
            <w:pPr>
              <w:pStyle w:val="136"/>
            </w:pPr>
            <w:r>
              <w:t>结构</w:t>
            </w:r>
          </w:p>
        </w:tc>
        <w:tc>
          <w:tcPr>
            <w:tcW w:w="2976" w:type="dxa"/>
            <w:gridSpan w:val="4"/>
            <w:shd w:val="clear" w:color="auto" w:fill="auto"/>
            <w:vAlign w:val="center"/>
          </w:tcPr>
          <w:p>
            <w:pPr>
              <w:pStyle w:val="136"/>
            </w:pPr>
            <w:r>
              <w:t>主要工程量</w:t>
            </w:r>
          </w:p>
        </w:tc>
        <w:tc>
          <w:tcPr>
            <w:tcW w:w="845" w:type="dxa"/>
            <w:vMerge w:val="restart"/>
            <w:shd w:val="clear" w:color="auto" w:fill="auto"/>
            <w:vAlign w:val="center"/>
          </w:tcPr>
          <w:p>
            <w:pPr>
              <w:pStyle w:val="136"/>
            </w:pPr>
            <w:r>
              <w:t>潜污泵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04" w:type="dxa"/>
            <w:vMerge w:val="continue"/>
            <w:vAlign w:val="center"/>
          </w:tcPr>
          <w:p>
            <w:pPr>
              <w:pStyle w:val="136"/>
            </w:pPr>
          </w:p>
        </w:tc>
        <w:tc>
          <w:tcPr>
            <w:tcW w:w="844" w:type="dxa"/>
            <w:vMerge w:val="continue"/>
            <w:vAlign w:val="center"/>
          </w:tcPr>
          <w:p>
            <w:pPr>
              <w:pStyle w:val="136"/>
            </w:pPr>
          </w:p>
        </w:tc>
        <w:tc>
          <w:tcPr>
            <w:tcW w:w="432" w:type="dxa"/>
            <w:vMerge w:val="continue"/>
            <w:vAlign w:val="center"/>
          </w:tcPr>
          <w:p>
            <w:pPr>
              <w:pStyle w:val="136"/>
            </w:pPr>
          </w:p>
        </w:tc>
        <w:tc>
          <w:tcPr>
            <w:tcW w:w="706" w:type="dxa"/>
            <w:vMerge w:val="continue"/>
            <w:vAlign w:val="center"/>
          </w:tcPr>
          <w:p>
            <w:pPr>
              <w:pStyle w:val="136"/>
            </w:pPr>
          </w:p>
        </w:tc>
        <w:tc>
          <w:tcPr>
            <w:tcW w:w="426" w:type="dxa"/>
            <w:shd w:val="clear" w:color="auto" w:fill="auto"/>
            <w:vAlign w:val="center"/>
          </w:tcPr>
          <w:p>
            <w:pPr>
              <w:pStyle w:val="136"/>
            </w:pPr>
            <w:r>
              <w:t>长</w:t>
            </w:r>
          </w:p>
        </w:tc>
        <w:tc>
          <w:tcPr>
            <w:tcW w:w="427" w:type="dxa"/>
            <w:shd w:val="clear" w:color="auto" w:fill="auto"/>
            <w:vAlign w:val="center"/>
          </w:tcPr>
          <w:p>
            <w:pPr>
              <w:pStyle w:val="136"/>
            </w:pPr>
            <w:r>
              <w:t>宽</w:t>
            </w:r>
          </w:p>
        </w:tc>
        <w:tc>
          <w:tcPr>
            <w:tcW w:w="567" w:type="dxa"/>
            <w:shd w:val="clear" w:color="auto" w:fill="auto"/>
            <w:vAlign w:val="center"/>
          </w:tcPr>
          <w:p>
            <w:pPr>
              <w:pStyle w:val="136"/>
            </w:pPr>
            <w:r>
              <w:t>高</w:t>
            </w:r>
          </w:p>
        </w:tc>
        <w:tc>
          <w:tcPr>
            <w:tcW w:w="851" w:type="dxa"/>
            <w:vMerge w:val="continue"/>
            <w:vAlign w:val="center"/>
          </w:tcPr>
          <w:p>
            <w:pPr>
              <w:pStyle w:val="136"/>
            </w:pPr>
          </w:p>
        </w:tc>
        <w:tc>
          <w:tcPr>
            <w:tcW w:w="708" w:type="dxa"/>
            <w:shd w:val="clear" w:color="auto" w:fill="auto"/>
            <w:vAlign w:val="center"/>
          </w:tcPr>
          <w:p>
            <w:pPr>
              <w:pStyle w:val="136"/>
            </w:pPr>
            <w:r>
              <w:t>开挖</w:t>
            </w:r>
          </w:p>
        </w:tc>
        <w:tc>
          <w:tcPr>
            <w:tcW w:w="709" w:type="dxa"/>
            <w:shd w:val="clear" w:color="auto" w:fill="auto"/>
            <w:vAlign w:val="center"/>
          </w:tcPr>
          <w:p>
            <w:pPr>
              <w:pStyle w:val="136"/>
            </w:pPr>
            <w:r>
              <w:t>砖砌</w:t>
            </w:r>
          </w:p>
        </w:tc>
        <w:tc>
          <w:tcPr>
            <w:tcW w:w="709" w:type="dxa"/>
            <w:shd w:val="clear" w:color="auto" w:fill="auto"/>
            <w:vAlign w:val="center"/>
          </w:tcPr>
          <w:p>
            <w:pPr>
              <w:pStyle w:val="136"/>
            </w:pPr>
            <w:r>
              <w:t>钢筋</w:t>
            </w:r>
          </w:p>
        </w:tc>
        <w:tc>
          <w:tcPr>
            <w:tcW w:w="850" w:type="dxa"/>
            <w:shd w:val="clear" w:color="auto" w:fill="auto"/>
            <w:vAlign w:val="center"/>
          </w:tcPr>
          <w:p>
            <w:pPr>
              <w:pStyle w:val="136"/>
            </w:pPr>
            <w:r>
              <w:t>混凝土</w:t>
            </w:r>
          </w:p>
        </w:tc>
        <w:tc>
          <w:tcPr>
            <w:tcW w:w="845"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vAlign w:val="center"/>
          </w:tcPr>
          <w:p>
            <w:pPr>
              <w:pStyle w:val="136"/>
              <w:jc w:val="both"/>
            </w:pPr>
            <w:r>
              <w:t>m³/d</w:t>
            </w:r>
          </w:p>
        </w:tc>
        <w:tc>
          <w:tcPr>
            <w:tcW w:w="844" w:type="dxa"/>
            <w:vMerge w:val="continue"/>
            <w:vAlign w:val="center"/>
          </w:tcPr>
          <w:p>
            <w:pPr>
              <w:pStyle w:val="136"/>
            </w:pPr>
          </w:p>
        </w:tc>
        <w:tc>
          <w:tcPr>
            <w:tcW w:w="432" w:type="dxa"/>
            <w:shd w:val="clear" w:color="auto" w:fill="auto"/>
            <w:vAlign w:val="center"/>
          </w:tcPr>
          <w:p>
            <w:pPr>
              <w:pStyle w:val="136"/>
            </w:pPr>
            <w:r>
              <w:t>座</w:t>
            </w:r>
          </w:p>
        </w:tc>
        <w:tc>
          <w:tcPr>
            <w:tcW w:w="706" w:type="dxa"/>
            <w:shd w:val="clear" w:color="auto" w:fill="auto"/>
            <w:vAlign w:val="center"/>
          </w:tcPr>
          <w:p>
            <w:pPr>
              <w:pStyle w:val="136"/>
            </w:pPr>
            <w:r>
              <w:t>h</w:t>
            </w:r>
          </w:p>
        </w:tc>
        <w:tc>
          <w:tcPr>
            <w:tcW w:w="426" w:type="dxa"/>
            <w:shd w:val="clear" w:color="auto" w:fill="auto"/>
            <w:vAlign w:val="center"/>
          </w:tcPr>
          <w:p>
            <w:pPr>
              <w:pStyle w:val="136"/>
            </w:pPr>
            <w:r>
              <w:t>m</w:t>
            </w:r>
          </w:p>
        </w:tc>
        <w:tc>
          <w:tcPr>
            <w:tcW w:w="427" w:type="dxa"/>
            <w:shd w:val="clear" w:color="auto" w:fill="auto"/>
            <w:vAlign w:val="center"/>
          </w:tcPr>
          <w:p>
            <w:pPr>
              <w:pStyle w:val="136"/>
            </w:pPr>
            <w:r>
              <w:t>m</w:t>
            </w:r>
          </w:p>
        </w:tc>
        <w:tc>
          <w:tcPr>
            <w:tcW w:w="567" w:type="dxa"/>
            <w:shd w:val="clear" w:color="auto" w:fill="auto"/>
            <w:vAlign w:val="center"/>
          </w:tcPr>
          <w:p>
            <w:pPr>
              <w:pStyle w:val="136"/>
            </w:pPr>
            <w:r>
              <w:t>m</w:t>
            </w:r>
          </w:p>
        </w:tc>
        <w:tc>
          <w:tcPr>
            <w:tcW w:w="851" w:type="dxa"/>
            <w:shd w:val="clear" w:color="auto" w:fill="auto"/>
            <w:vAlign w:val="center"/>
          </w:tcPr>
          <w:p>
            <w:pPr>
              <w:pStyle w:val="136"/>
            </w:pPr>
          </w:p>
        </w:tc>
        <w:tc>
          <w:tcPr>
            <w:tcW w:w="708" w:type="dxa"/>
            <w:shd w:val="clear" w:color="auto" w:fill="auto"/>
            <w:vAlign w:val="center"/>
          </w:tcPr>
          <w:p>
            <w:pPr>
              <w:pStyle w:val="136"/>
            </w:pPr>
            <w:r>
              <w:t>m³</w:t>
            </w:r>
          </w:p>
        </w:tc>
        <w:tc>
          <w:tcPr>
            <w:tcW w:w="709" w:type="dxa"/>
            <w:shd w:val="clear" w:color="auto" w:fill="auto"/>
            <w:vAlign w:val="center"/>
          </w:tcPr>
          <w:p>
            <w:pPr>
              <w:pStyle w:val="136"/>
            </w:pPr>
            <w:r>
              <w:t>m³</w:t>
            </w:r>
          </w:p>
        </w:tc>
        <w:tc>
          <w:tcPr>
            <w:tcW w:w="709" w:type="dxa"/>
            <w:shd w:val="clear" w:color="auto" w:fill="auto"/>
            <w:vAlign w:val="center"/>
          </w:tcPr>
          <w:p>
            <w:pPr>
              <w:pStyle w:val="136"/>
            </w:pPr>
            <w:r>
              <w:t>t</w:t>
            </w:r>
          </w:p>
        </w:tc>
        <w:tc>
          <w:tcPr>
            <w:tcW w:w="850" w:type="dxa"/>
            <w:shd w:val="clear" w:color="auto" w:fill="auto"/>
            <w:vAlign w:val="center"/>
          </w:tcPr>
          <w:p>
            <w:pPr>
              <w:pStyle w:val="136"/>
            </w:pPr>
            <w:r>
              <w:t>m³</w:t>
            </w:r>
          </w:p>
        </w:tc>
        <w:tc>
          <w:tcPr>
            <w:tcW w:w="845"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Merge w:val="restart"/>
            <w:shd w:val="clear" w:color="auto" w:fill="auto"/>
            <w:vAlign w:val="center"/>
          </w:tcPr>
          <w:p>
            <w:pPr>
              <w:pStyle w:val="136"/>
            </w:pPr>
            <w:r>
              <w:t>4</w:t>
            </w:r>
          </w:p>
        </w:tc>
        <w:tc>
          <w:tcPr>
            <w:tcW w:w="844" w:type="dxa"/>
            <w:shd w:val="clear" w:color="auto" w:fill="auto"/>
            <w:vAlign w:val="center"/>
          </w:tcPr>
          <w:p>
            <w:pPr>
              <w:pStyle w:val="136"/>
            </w:pPr>
            <w:r>
              <w:t>预沉池</w:t>
            </w:r>
          </w:p>
        </w:tc>
        <w:tc>
          <w:tcPr>
            <w:tcW w:w="432" w:type="dxa"/>
            <w:shd w:val="clear" w:color="auto" w:fill="auto"/>
            <w:vAlign w:val="center"/>
          </w:tcPr>
          <w:p>
            <w:pPr>
              <w:pStyle w:val="136"/>
            </w:pPr>
            <w:r>
              <w:t>1</w:t>
            </w:r>
          </w:p>
        </w:tc>
        <w:tc>
          <w:tcPr>
            <w:tcW w:w="706" w:type="dxa"/>
            <w:shd w:val="clear" w:color="auto" w:fill="auto"/>
            <w:vAlign w:val="center"/>
          </w:tcPr>
          <w:p>
            <w:pPr>
              <w:pStyle w:val="136"/>
            </w:pPr>
            <w:r>
              <w:t>8</w:t>
            </w:r>
          </w:p>
        </w:tc>
        <w:tc>
          <w:tcPr>
            <w:tcW w:w="426" w:type="dxa"/>
            <w:shd w:val="clear" w:color="auto" w:fill="auto"/>
            <w:vAlign w:val="center"/>
          </w:tcPr>
          <w:p>
            <w:pPr>
              <w:pStyle w:val="136"/>
            </w:pPr>
            <w:r>
              <w:t>4</w:t>
            </w:r>
          </w:p>
        </w:tc>
        <w:tc>
          <w:tcPr>
            <w:tcW w:w="427" w:type="dxa"/>
            <w:shd w:val="clear" w:color="auto" w:fill="auto"/>
            <w:vAlign w:val="center"/>
          </w:tcPr>
          <w:p>
            <w:pPr>
              <w:pStyle w:val="136"/>
            </w:pPr>
            <w:r>
              <w:t>4</w:t>
            </w:r>
          </w:p>
        </w:tc>
        <w:tc>
          <w:tcPr>
            <w:tcW w:w="567" w:type="dxa"/>
            <w:shd w:val="clear" w:color="auto" w:fill="auto"/>
            <w:vAlign w:val="center"/>
          </w:tcPr>
          <w:p>
            <w:pPr>
              <w:pStyle w:val="136"/>
            </w:pPr>
            <w:r>
              <w:t>1.3</w:t>
            </w:r>
          </w:p>
        </w:tc>
        <w:tc>
          <w:tcPr>
            <w:tcW w:w="851" w:type="dxa"/>
            <w:shd w:val="clear" w:color="auto" w:fill="auto"/>
            <w:vAlign w:val="center"/>
          </w:tcPr>
          <w:p>
            <w:pPr>
              <w:pStyle w:val="136"/>
            </w:pPr>
            <w:r>
              <w:t>钢砼</w:t>
            </w:r>
          </w:p>
        </w:tc>
        <w:tc>
          <w:tcPr>
            <w:tcW w:w="708" w:type="dxa"/>
            <w:shd w:val="clear" w:color="auto" w:fill="auto"/>
            <w:vAlign w:val="center"/>
          </w:tcPr>
          <w:p>
            <w:pPr>
              <w:pStyle w:val="136"/>
            </w:pPr>
            <w:r>
              <w:t>24.96</w:t>
            </w:r>
          </w:p>
        </w:tc>
        <w:tc>
          <w:tcPr>
            <w:tcW w:w="709" w:type="dxa"/>
            <w:shd w:val="clear" w:color="auto" w:fill="auto"/>
            <w:vAlign w:val="center"/>
          </w:tcPr>
          <w:p>
            <w:pPr>
              <w:pStyle w:val="136"/>
            </w:pPr>
            <w:r>
              <w:t>3.36</w:t>
            </w:r>
          </w:p>
        </w:tc>
        <w:tc>
          <w:tcPr>
            <w:tcW w:w="709" w:type="dxa"/>
            <w:shd w:val="clear" w:color="auto" w:fill="auto"/>
            <w:vAlign w:val="center"/>
          </w:tcPr>
          <w:p>
            <w:pPr>
              <w:pStyle w:val="136"/>
            </w:pPr>
            <w:r>
              <w:t>2.496</w:t>
            </w:r>
          </w:p>
        </w:tc>
        <w:tc>
          <w:tcPr>
            <w:tcW w:w="850" w:type="dxa"/>
            <w:shd w:val="clear" w:color="auto" w:fill="auto"/>
            <w:vAlign w:val="center"/>
          </w:tcPr>
          <w:p>
            <w:pPr>
              <w:pStyle w:val="136"/>
            </w:pPr>
            <w:r>
              <w:t>3.68</w:t>
            </w:r>
          </w:p>
        </w:tc>
        <w:tc>
          <w:tcPr>
            <w:tcW w:w="845" w:type="dxa"/>
            <w:vMerge w:val="restart"/>
            <w:shd w:val="clear" w:color="auto" w:fill="auto"/>
            <w:vAlign w:val="center"/>
          </w:tcPr>
          <w:p>
            <w:pPr>
              <w:pStyle w:val="136"/>
            </w:pPr>
            <w:r>
              <w:t>2台（1用1备）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Merge w:val="continue"/>
            <w:vAlign w:val="center"/>
          </w:tcPr>
          <w:p>
            <w:pPr>
              <w:pStyle w:val="136"/>
            </w:pPr>
          </w:p>
        </w:tc>
        <w:tc>
          <w:tcPr>
            <w:tcW w:w="844" w:type="dxa"/>
            <w:shd w:val="clear" w:color="auto" w:fill="auto"/>
            <w:vAlign w:val="center"/>
          </w:tcPr>
          <w:p>
            <w:pPr>
              <w:pStyle w:val="136"/>
            </w:pPr>
            <w:r>
              <w:t>沉淀池</w:t>
            </w:r>
          </w:p>
        </w:tc>
        <w:tc>
          <w:tcPr>
            <w:tcW w:w="432" w:type="dxa"/>
            <w:shd w:val="clear" w:color="auto" w:fill="auto"/>
            <w:vAlign w:val="center"/>
          </w:tcPr>
          <w:p>
            <w:pPr>
              <w:pStyle w:val="136"/>
            </w:pPr>
            <w:r>
              <w:t>1</w:t>
            </w:r>
          </w:p>
        </w:tc>
        <w:tc>
          <w:tcPr>
            <w:tcW w:w="706" w:type="dxa"/>
            <w:shd w:val="clear" w:color="auto" w:fill="auto"/>
            <w:vAlign w:val="center"/>
          </w:tcPr>
          <w:p>
            <w:pPr>
              <w:pStyle w:val="136"/>
            </w:pPr>
            <w:r>
              <w:t>8</w:t>
            </w:r>
          </w:p>
        </w:tc>
        <w:tc>
          <w:tcPr>
            <w:tcW w:w="426" w:type="dxa"/>
            <w:shd w:val="clear" w:color="auto" w:fill="auto"/>
            <w:vAlign w:val="center"/>
          </w:tcPr>
          <w:p>
            <w:pPr>
              <w:pStyle w:val="136"/>
            </w:pPr>
            <w:r>
              <w:t>4</w:t>
            </w:r>
          </w:p>
        </w:tc>
        <w:tc>
          <w:tcPr>
            <w:tcW w:w="427" w:type="dxa"/>
            <w:shd w:val="clear" w:color="auto" w:fill="auto"/>
            <w:vAlign w:val="center"/>
          </w:tcPr>
          <w:p>
            <w:pPr>
              <w:pStyle w:val="136"/>
            </w:pPr>
            <w:r>
              <w:t>4</w:t>
            </w:r>
          </w:p>
        </w:tc>
        <w:tc>
          <w:tcPr>
            <w:tcW w:w="567" w:type="dxa"/>
            <w:shd w:val="clear" w:color="auto" w:fill="auto"/>
            <w:vAlign w:val="center"/>
          </w:tcPr>
          <w:p>
            <w:pPr>
              <w:pStyle w:val="136"/>
            </w:pPr>
            <w:r>
              <w:t>1.3</w:t>
            </w:r>
          </w:p>
        </w:tc>
        <w:tc>
          <w:tcPr>
            <w:tcW w:w="851" w:type="dxa"/>
            <w:shd w:val="clear" w:color="auto" w:fill="auto"/>
            <w:vAlign w:val="center"/>
          </w:tcPr>
          <w:p>
            <w:pPr>
              <w:pStyle w:val="136"/>
            </w:pPr>
            <w:r>
              <w:t>钢砼</w:t>
            </w:r>
          </w:p>
        </w:tc>
        <w:tc>
          <w:tcPr>
            <w:tcW w:w="708" w:type="dxa"/>
            <w:shd w:val="clear" w:color="auto" w:fill="auto"/>
            <w:vAlign w:val="center"/>
          </w:tcPr>
          <w:p>
            <w:pPr>
              <w:pStyle w:val="136"/>
            </w:pPr>
            <w:r>
              <w:t>24.96</w:t>
            </w:r>
          </w:p>
        </w:tc>
        <w:tc>
          <w:tcPr>
            <w:tcW w:w="709" w:type="dxa"/>
            <w:shd w:val="clear" w:color="auto" w:fill="auto"/>
            <w:vAlign w:val="center"/>
          </w:tcPr>
          <w:p>
            <w:pPr>
              <w:pStyle w:val="136"/>
            </w:pPr>
            <w:r>
              <w:t>3.36</w:t>
            </w:r>
          </w:p>
        </w:tc>
        <w:tc>
          <w:tcPr>
            <w:tcW w:w="709" w:type="dxa"/>
            <w:shd w:val="clear" w:color="auto" w:fill="auto"/>
            <w:vAlign w:val="center"/>
          </w:tcPr>
          <w:p>
            <w:pPr>
              <w:pStyle w:val="136"/>
            </w:pPr>
            <w:r>
              <w:t>2.496</w:t>
            </w:r>
          </w:p>
        </w:tc>
        <w:tc>
          <w:tcPr>
            <w:tcW w:w="850" w:type="dxa"/>
            <w:shd w:val="clear" w:color="auto" w:fill="auto"/>
            <w:vAlign w:val="center"/>
          </w:tcPr>
          <w:p>
            <w:pPr>
              <w:pStyle w:val="136"/>
            </w:pPr>
            <w:r>
              <w:t>3.68</w:t>
            </w:r>
          </w:p>
        </w:tc>
        <w:tc>
          <w:tcPr>
            <w:tcW w:w="845"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Merge w:val="continue"/>
            <w:vAlign w:val="center"/>
          </w:tcPr>
          <w:p>
            <w:pPr>
              <w:pStyle w:val="136"/>
            </w:pPr>
          </w:p>
        </w:tc>
        <w:tc>
          <w:tcPr>
            <w:tcW w:w="844" w:type="dxa"/>
            <w:shd w:val="clear" w:color="auto" w:fill="auto"/>
            <w:vAlign w:val="center"/>
          </w:tcPr>
          <w:p>
            <w:pPr>
              <w:pStyle w:val="136"/>
            </w:pPr>
            <w:r>
              <w:t>清水池</w:t>
            </w:r>
          </w:p>
        </w:tc>
        <w:tc>
          <w:tcPr>
            <w:tcW w:w="432" w:type="dxa"/>
            <w:shd w:val="clear" w:color="auto" w:fill="auto"/>
            <w:vAlign w:val="center"/>
          </w:tcPr>
          <w:p>
            <w:pPr>
              <w:pStyle w:val="136"/>
            </w:pPr>
            <w:r>
              <w:t>1</w:t>
            </w:r>
          </w:p>
        </w:tc>
        <w:tc>
          <w:tcPr>
            <w:tcW w:w="706" w:type="dxa"/>
            <w:shd w:val="clear" w:color="auto" w:fill="auto"/>
            <w:vAlign w:val="center"/>
          </w:tcPr>
          <w:p>
            <w:pPr>
              <w:pStyle w:val="136"/>
            </w:pPr>
            <w:r>
              <w:t>2</w:t>
            </w:r>
          </w:p>
        </w:tc>
        <w:tc>
          <w:tcPr>
            <w:tcW w:w="426" w:type="dxa"/>
            <w:shd w:val="clear" w:color="auto" w:fill="auto"/>
            <w:vAlign w:val="center"/>
          </w:tcPr>
          <w:p>
            <w:pPr>
              <w:pStyle w:val="136"/>
            </w:pPr>
            <w:r>
              <w:t>4</w:t>
            </w:r>
          </w:p>
        </w:tc>
        <w:tc>
          <w:tcPr>
            <w:tcW w:w="427" w:type="dxa"/>
            <w:shd w:val="clear" w:color="auto" w:fill="auto"/>
            <w:vAlign w:val="center"/>
          </w:tcPr>
          <w:p>
            <w:pPr>
              <w:pStyle w:val="136"/>
            </w:pPr>
            <w:r>
              <w:t>4</w:t>
            </w:r>
          </w:p>
        </w:tc>
        <w:tc>
          <w:tcPr>
            <w:tcW w:w="567" w:type="dxa"/>
            <w:shd w:val="clear" w:color="auto" w:fill="auto"/>
            <w:vAlign w:val="center"/>
          </w:tcPr>
          <w:p>
            <w:pPr>
              <w:pStyle w:val="136"/>
            </w:pPr>
            <w:r>
              <w:t>1.3</w:t>
            </w:r>
          </w:p>
        </w:tc>
        <w:tc>
          <w:tcPr>
            <w:tcW w:w="851" w:type="dxa"/>
            <w:shd w:val="clear" w:color="auto" w:fill="auto"/>
            <w:vAlign w:val="center"/>
          </w:tcPr>
          <w:p>
            <w:pPr>
              <w:pStyle w:val="136"/>
            </w:pPr>
          </w:p>
        </w:tc>
        <w:tc>
          <w:tcPr>
            <w:tcW w:w="708" w:type="dxa"/>
            <w:shd w:val="clear" w:color="auto" w:fill="auto"/>
            <w:vAlign w:val="center"/>
          </w:tcPr>
          <w:p>
            <w:pPr>
              <w:pStyle w:val="136"/>
            </w:pPr>
            <w:r>
              <w:t>12.48</w:t>
            </w:r>
          </w:p>
        </w:tc>
        <w:tc>
          <w:tcPr>
            <w:tcW w:w="709" w:type="dxa"/>
            <w:shd w:val="clear" w:color="auto" w:fill="auto"/>
            <w:vAlign w:val="center"/>
          </w:tcPr>
          <w:p>
            <w:pPr>
              <w:pStyle w:val="136"/>
            </w:pPr>
            <w:r>
              <w:t>3.06</w:t>
            </w:r>
          </w:p>
        </w:tc>
        <w:tc>
          <w:tcPr>
            <w:tcW w:w="709" w:type="dxa"/>
            <w:shd w:val="clear" w:color="auto" w:fill="auto"/>
            <w:vAlign w:val="center"/>
          </w:tcPr>
          <w:p>
            <w:pPr>
              <w:pStyle w:val="136"/>
            </w:pPr>
            <w:r>
              <w:t>1.248</w:t>
            </w:r>
          </w:p>
        </w:tc>
        <w:tc>
          <w:tcPr>
            <w:tcW w:w="850" w:type="dxa"/>
            <w:shd w:val="clear" w:color="auto" w:fill="auto"/>
            <w:vAlign w:val="center"/>
          </w:tcPr>
          <w:p>
            <w:pPr>
              <w:pStyle w:val="136"/>
            </w:pPr>
            <w:r>
              <w:t>2.36</w:t>
            </w:r>
          </w:p>
        </w:tc>
        <w:tc>
          <w:tcPr>
            <w:tcW w:w="845"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Merge w:val="continue"/>
            <w:vAlign w:val="center"/>
          </w:tcPr>
          <w:p>
            <w:pPr>
              <w:pStyle w:val="136"/>
            </w:pPr>
          </w:p>
        </w:tc>
        <w:tc>
          <w:tcPr>
            <w:tcW w:w="844" w:type="dxa"/>
            <w:shd w:val="clear" w:color="auto" w:fill="auto"/>
            <w:vAlign w:val="center"/>
          </w:tcPr>
          <w:p>
            <w:pPr>
              <w:pStyle w:val="136"/>
            </w:pPr>
            <w:r>
              <w:t>备用池</w:t>
            </w:r>
          </w:p>
        </w:tc>
        <w:tc>
          <w:tcPr>
            <w:tcW w:w="432" w:type="dxa"/>
            <w:shd w:val="clear" w:color="auto" w:fill="auto"/>
            <w:vAlign w:val="center"/>
          </w:tcPr>
          <w:p>
            <w:pPr>
              <w:pStyle w:val="136"/>
            </w:pPr>
            <w:r>
              <w:t>1</w:t>
            </w:r>
          </w:p>
        </w:tc>
        <w:tc>
          <w:tcPr>
            <w:tcW w:w="706" w:type="dxa"/>
            <w:shd w:val="clear" w:color="auto" w:fill="auto"/>
            <w:vAlign w:val="center"/>
          </w:tcPr>
          <w:p>
            <w:pPr>
              <w:pStyle w:val="136"/>
            </w:pPr>
            <w:r>
              <w:t>2</w:t>
            </w:r>
          </w:p>
        </w:tc>
        <w:tc>
          <w:tcPr>
            <w:tcW w:w="426" w:type="dxa"/>
            <w:shd w:val="clear" w:color="auto" w:fill="auto"/>
            <w:vAlign w:val="center"/>
          </w:tcPr>
          <w:p>
            <w:pPr>
              <w:pStyle w:val="136"/>
            </w:pPr>
            <w:r>
              <w:t>4</w:t>
            </w:r>
          </w:p>
        </w:tc>
        <w:tc>
          <w:tcPr>
            <w:tcW w:w="427" w:type="dxa"/>
            <w:shd w:val="clear" w:color="auto" w:fill="auto"/>
            <w:vAlign w:val="center"/>
          </w:tcPr>
          <w:p>
            <w:pPr>
              <w:pStyle w:val="136"/>
            </w:pPr>
            <w:r>
              <w:t>4</w:t>
            </w:r>
          </w:p>
        </w:tc>
        <w:tc>
          <w:tcPr>
            <w:tcW w:w="567" w:type="dxa"/>
            <w:shd w:val="clear" w:color="auto" w:fill="auto"/>
            <w:vAlign w:val="center"/>
          </w:tcPr>
          <w:p>
            <w:pPr>
              <w:pStyle w:val="136"/>
            </w:pPr>
            <w:r>
              <w:t>1.3</w:t>
            </w:r>
          </w:p>
        </w:tc>
        <w:tc>
          <w:tcPr>
            <w:tcW w:w="851" w:type="dxa"/>
            <w:shd w:val="clear" w:color="auto" w:fill="auto"/>
            <w:vAlign w:val="center"/>
          </w:tcPr>
          <w:p>
            <w:pPr>
              <w:pStyle w:val="136"/>
            </w:pPr>
          </w:p>
        </w:tc>
        <w:tc>
          <w:tcPr>
            <w:tcW w:w="708" w:type="dxa"/>
            <w:shd w:val="clear" w:color="auto" w:fill="auto"/>
            <w:vAlign w:val="center"/>
          </w:tcPr>
          <w:p>
            <w:pPr>
              <w:pStyle w:val="136"/>
            </w:pPr>
            <w:r>
              <w:t>12.48</w:t>
            </w:r>
          </w:p>
        </w:tc>
        <w:tc>
          <w:tcPr>
            <w:tcW w:w="709" w:type="dxa"/>
            <w:shd w:val="clear" w:color="auto" w:fill="auto"/>
            <w:vAlign w:val="center"/>
          </w:tcPr>
          <w:p>
            <w:pPr>
              <w:pStyle w:val="136"/>
            </w:pPr>
            <w:r>
              <w:t>3.06</w:t>
            </w:r>
          </w:p>
        </w:tc>
        <w:tc>
          <w:tcPr>
            <w:tcW w:w="709" w:type="dxa"/>
            <w:shd w:val="clear" w:color="auto" w:fill="auto"/>
            <w:vAlign w:val="center"/>
          </w:tcPr>
          <w:p>
            <w:pPr>
              <w:pStyle w:val="136"/>
            </w:pPr>
            <w:r>
              <w:t>1.248</w:t>
            </w:r>
          </w:p>
        </w:tc>
        <w:tc>
          <w:tcPr>
            <w:tcW w:w="850" w:type="dxa"/>
            <w:shd w:val="clear" w:color="auto" w:fill="auto"/>
            <w:vAlign w:val="center"/>
          </w:tcPr>
          <w:p>
            <w:pPr>
              <w:pStyle w:val="136"/>
            </w:pPr>
            <w:r>
              <w:t>2.36</w:t>
            </w:r>
          </w:p>
        </w:tc>
        <w:tc>
          <w:tcPr>
            <w:tcW w:w="845" w:type="dxa"/>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48" w:type="dxa"/>
            <w:gridSpan w:val="2"/>
            <w:shd w:val="clear" w:color="auto" w:fill="auto"/>
            <w:vAlign w:val="center"/>
          </w:tcPr>
          <w:p>
            <w:pPr>
              <w:pStyle w:val="136"/>
            </w:pPr>
            <w:r>
              <w:t>合计</w:t>
            </w:r>
          </w:p>
        </w:tc>
        <w:tc>
          <w:tcPr>
            <w:tcW w:w="432" w:type="dxa"/>
            <w:shd w:val="clear" w:color="auto" w:fill="auto"/>
            <w:vAlign w:val="center"/>
          </w:tcPr>
          <w:p>
            <w:pPr>
              <w:pStyle w:val="136"/>
            </w:pPr>
            <w:r>
              <w:t>4</w:t>
            </w:r>
          </w:p>
        </w:tc>
        <w:tc>
          <w:tcPr>
            <w:tcW w:w="706" w:type="dxa"/>
            <w:shd w:val="clear" w:color="auto" w:fill="auto"/>
            <w:vAlign w:val="center"/>
          </w:tcPr>
          <w:p>
            <w:pPr>
              <w:pStyle w:val="136"/>
            </w:pPr>
          </w:p>
        </w:tc>
        <w:tc>
          <w:tcPr>
            <w:tcW w:w="426" w:type="dxa"/>
            <w:shd w:val="clear" w:color="auto" w:fill="auto"/>
            <w:vAlign w:val="center"/>
          </w:tcPr>
          <w:p>
            <w:pPr>
              <w:pStyle w:val="136"/>
            </w:pPr>
            <w:r>
              <w:t>16</w:t>
            </w:r>
          </w:p>
        </w:tc>
        <w:tc>
          <w:tcPr>
            <w:tcW w:w="427" w:type="dxa"/>
            <w:shd w:val="clear" w:color="auto" w:fill="auto"/>
            <w:vAlign w:val="center"/>
          </w:tcPr>
          <w:p>
            <w:pPr>
              <w:pStyle w:val="136"/>
            </w:pPr>
            <w:r>
              <w:t>16</w:t>
            </w:r>
          </w:p>
        </w:tc>
        <w:tc>
          <w:tcPr>
            <w:tcW w:w="567" w:type="dxa"/>
            <w:shd w:val="clear" w:color="auto" w:fill="auto"/>
            <w:vAlign w:val="center"/>
          </w:tcPr>
          <w:p>
            <w:pPr>
              <w:pStyle w:val="136"/>
            </w:pPr>
            <w:r>
              <w:t>5.2</w:t>
            </w:r>
          </w:p>
        </w:tc>
        <w:tc>
          <w:tcPr>
            <w:tcW w:w="851" w:type="dxa"/>
            <w:shd w:val="clear" w:color="auto" w:fill="auto"/>
            <w:vAlign w:val="center"/>
          </w:tcPr>
          <w:p>
            <w:pPr>
              <w:pStyle w:val="136"/>
            </w:pPr>
          </w:p>
        </w:tc>
        <w:tc>
          <w:tcPr>
            <w:tcW w:w="708" w:type="dxa"/>
            <w:shd w:val="clear" w:color="auto" w:fill="auto"/>
            <w:vAlign w:val="center"/>
          </w:tcPr>
          <w:p>
            <w:pPr>
              <w:pStyle w:val="136"/>
            </w:pPr>
            <w:r>
              <w:t>74.88</w:t>
            </w:r>
          </w:p>
        </w:tc>
        <w:tc>
          <w:tcPr>
            <w:tcW w:w="709" w:type="dxa"/>
            <w:shd w:val="clear" w:color="auto" w:fill="auto"/>
            <w:vAlign w:val="center"/>
          </w:tcPr>
          <w:p>
            <w:pPr>
              <w:pStyle w:val="136"/>
            </w:pPr>
            <w:r>
              <w:t>12.84</w:t>
            </w:r>
          </w:p>
        </w:tc>
        <w:tc>
          <w:tcPr>
            <w:tcW w:w="709" w:type="dxa"/>
            <w:shd w:val="clear" w:color="auto" w:fill="auto"/>
            <w:vAlign w:val="center"/>
          </w:tcPr>
          <w:p>
            <w:pPr>
              <w:pStyle w:val="136"/>
            </w:pPr>
            <w:r>
              <w:t>7.488</w:t>
            </w:r>
          </w:p>
        </w:tc>
        <w:tc>
          <w:tcPr>
            <w:tcW w:w="850" w:type="dxa"/>
            <w:shd w:val="clear" w:color="auto" w:fill="auto"/>
            <w:vAlign w:val="center"/>
          </w:tcPr>
          <w:p>
            <w:pPr>
              <w:pStyle w:val="136"/>
            </w:pPr>
            <w:r>
              <w:t>12.08</w:t>
            </w:r>
          </w:p>
        </w:tc>
        <w:tc>
          <w:tcPr>
            <w:tcW w:w="845" w:type="dxa"/>
            <w:vMerge w:val="continue"/>
            <w:vAlign w:val="center"/>
          </w:tcPr>
          <w:p>
            <w:pPr>
              <w:pStyle w:val="136"/>
            </w:pPr>
          </w:p>
        </w:tc>
      </w:tr>
    </w:tbl>
    <w:p>
      <w:pPr>
        <w:ind w:firstLine="480"/>
        <w:rPr>
          <w:rFonts w:cs="Times New Roman"/>
        </w:rPr>
      </w:pPr>
    </w:p>
    <w:p>
      <w:pPr>
        <w:ind w:firstLine="480"/>
        <w:rPr>
          <w:rFonts w:cs="Times New Roman"/>
        </w:rPr>
      </w:pPr>
      <w:r>
        <w:rPr>
          <w:rFonts w:cs="Times New Roman"/>
        </w:rPr>
        <w:t>（5）废水回用方案可行性分析</w:t>
      </w:r>
    </w:p>
    <w:p>
      <w:pPr>
        <w:ind w:firstLine="480"/>
        <w:rPr>
          <w:rFonts w:cs="Times New Roman"/>
        </w:rPr>
      </w:pPr>
      <w:r>
        <w:rPr>
          <w:rFonts w:cs="Times New Roman"/>
        </w:rPr>
        <w:t>混凝土养护及拌和冲洗废水污染物以SS和pH值为主，经中和处理后pH值调整至中性，经沉淀池处理后SS浓度预计低于100mg/L，出水回用于混凝土拌和、养护等，水质完全满足要求。因此，本回用方案是可行的。</w:t>
      </w:r>
    </w:p>
    <w:p>
      <w:pPr>
        <w:ind w:firstLine="480"/>
        <w:rPr>
          <w:rFonts w:cs="Times New Roman"/>
        </w:rPr>
      </w:pPr>
      <w:r>
        <w:rPr>
          <w:rFonts w:cs="Times New Roman"/>
        </w:rPr>
        <w:t>（6）运行管理与维护</w:t>
      </w:r>
    </w:p>
    <w:p>
      <w:pPr>
        <w:ind w:firstLine="480"/>
        <w:rPr>
          <w:rFonts w:cs="Times New Roman"/>
        </w:rPr>
      </w:pPr>
      <w:r>
        <w:rPr>
          <w:rFonts w:hint="eastAsia" w:ascii="宋体" w:hAnsi="宋体" w:cs="宋体"/>
        </w:rPr>
        <w:t>①</w:t>
      </w:r>
      <w:r>
        <w:rPr>
          <w:rFonts w:cs="Times New Roman"/>
        </w:rPr>
        <w:t>为收集拌和站加水拌和中散落的水，以及混凝土养护中散排的废水，需在作业区周边设截水沟，</w:t>
      </w:r>
      <w:r>
        <w:rPr>
          <w:rFonts w:hint="eastAsia" w:cs="Times New Roman"/>
          <w:lang w:eastAsia="zh-CN"/>
        </w:rPr>
        <w:t>将</w:t>
      </w:r>
      <w:r>
        <w:rPr>
          <w:rFonts w:cs="Times New Roman"/>
        </w:rPr>
        <w:t>散落水集排入处理系统。</w:t>
      </w:r>
    </w:p>
    <w:p>
      <w:pPr>
        <w:ind w:firstLine="480"/>
        <w:rPr>
          <w:rFonts w:cs="Times New Roman"/>
        </w:rPr>
      </w:pPr>
      <w:r>
        <w:rPr>
          <w:rFonts w:hint="eastAsia" w:ascii="宋体" w:hAnsi="宋体" w:cs="宋体"/>
        </w:rPr>
        <w:t>②</w:t>
      </w:r>
      <w:r>
        <w:rPr>
          <w:rFonts w:cs="Times New Roman"/>
        </w:rPr>
        <w:t>根据废水处理效果，必要时投加絮凝剂；根据混凝土拌和对水质pH的要求，确定是否需要投加酸性中和剂加以中和。在污泥沉淀到一定程度则换备用处理系统，原沉淀池的污泥进行自然干化，干化后用抓斗机抓取装运载斗车运输至弃渣场。</w:t>
      </w:r>
    </w:p>
    <w:p>
      <w:pPr>
        <w:ind w:firstLine="480"/>
        <w:rPr>
          <w:rFonts w:cs="Times New Roman"/>
        </w:rPr>
      </w:pPr>
      <w:r>
        <w:rPr>
          <w:rFonts w:hint="eastAsia" w:ascii="宋体" w:hAnsi="宋体" w:cs="宋体"/>
        </w:rPr>
        <w:t>③</w:t>
      </w:r>
      <w:r>
        <w:rPr>
          <w:rFonts w:cs="Times New Roman"/>
        </w:rPr>
        <w:t>在运行过程中主要注意定时清理调节预沉池和砂滤池中的泥沙，及时更换砂滤池中的滤料。</w:t>
      </w:r>
      <w:r>
        <w:rPr>
          <w:rFonts w:hint="eastAsia" w:cs="Times New Roman"/>
          <w:lang w:eastAsia="zh-CN"/>
        </w:rPr>
        <w:t>将</w:t>
      </w:r>
      <w:r>
        <w:rPr>
          <w:rFonts w:cs="Times New Roman"/>
        </w:rPr>
        <w:t>管理和维护工作纳入操作规程，不另设机构和人员。</w:t>
      </w:r>
    </w:p>
    <w:p>
      <w:pPr>
        <w:pStyle w:val="62"/>
        <w:rPr>
          <w:rFonts w:cs="Times New Roman"/>
        </w:rPr>
      </w:pPr>
      <w:r>
        <w:rPr>
          <w:rFonts w:cs="Times New Roman"/>
        </w:rPr>
        <w:t>6.3.1.3 机械保养含油废水</w:t>
      </w:r>
    </w:p>
    <w:p>
      <w:pPr>
        <w:ind w:firstLine="480"/>
        <w:rPr>
          <w:rFonts w:cs="Times New Roman"/>
        </w:rPr>
      </w:pPr>
      <w:r>
        <w:rPr>
          <w:rFonts w:cs="Times New Roman"/>
        </w:rPr>
        <w:t>（1）废水排放情况</w:t>
      </w:r>
    </w:p>
    <w:p>
      <w:pPr>
        <w:ind w:firstLine="480"/>
        <w:rPr>
          <w:rFonts w:cs="Times New Roman"/>
        </w:rPr>
      </w:pPr>
      <w:r>
        <w:rPr>
          <w:rFonts w:cs="Times New Roman"/>
        </w:rPr>
        <w:t>本工程共布设一处机械保养站，高峰期机械保养含油废水排放量为4m³/d。含油废水中主要污染物成分为COD</w:t>
      </w:r>
      <w:r>
        <w:rPr>
          <w:rFonts w:cs="Times New Roman"/>
          <w:vertAlign w:val="subscript"/>
        </w:rPr>
        <w:t>Cr</w:t>
      </w:r>
      <w:r>
        <w:rPr>
          <w:rFonts w:cs="Times New Roman"/>
        </w:rPr>
        <w:t>、SS和石油类，其浓度分别为25mg/L～200mg/L、500mg/L～4000mg/L和100mg/L。</w:t>
      </w:r>
    </w:p>
    <w:p>
      <w:pPr>
        <w:ind w:firstLine="480"/>
        <w:rPr>
          <w:rFonts w:cs="Times New Roman"/>
        </w:rPr>
      </w:pPr>
      <w:r>
        <w:rPr>
          <w:rFonts w:cs="Times New Roman"/>
        </w:rPr>
        <w:t>（2）处理目标</w:t>
      </w:r>
    </w:p>
    <w:p>
      <w:pPr>
        <w:ind w:firstLine="480"/>
        <w:rPr>
          <w:rFonts w:cs="Times New Roman"/>
        </w:rPr>
      </w:pPr>
      <w:r>
        <w:rPr>
          <w:rFonts w:cs="Times New Roman"/>
        </w:rPr>
        <w:t>对含油废水进行油水分离，废油全部回收并交由具资质单位处置。出水石油浓度小于5mg/L，处理后的废水蓄于蓄水池，可完全用于机械或零部件的再次冲洗，或用于周边设施区道路洒水降尘。</w:t>
      </w:r>
    </w:p>
    <w:p>
      <w:pPr>
        <w:ind w:firstLine="480"/>
        <w:rPr>
          <w:rFonts w:cs="Times New Roman"/>
        </w:rPr>
      </w:pPr>
      <w:r>
        <w:rPr>
          <w:rFonts w:cs="Times New Roman"/>
        </w:rPr>
        <w:t>（3）处理方案</w:t>
      </w:r>
    </w:p>
    <w:p>
      <w:pPr>
        <w:ind w:firstLine="480"/>
        <w:rPr>
          <w:rFonts w:cs="Times New Roman"/>
        </w:rPr>
      </w:pPr>
      <w:r>
        <w:rPr>
          <w:rFonts w:cs="Times New Roman"/>
        </w:rPr>
        <w:t>拟定以下两种处理方案进行比选</w:t>
      </w:r>
    </w:p>
    <w:p>
      <w:pPr>
        <w:ind w:firstLine="480"/>
        <w:rPr>
          <w:rFonts w:cs="Times New Roman"/>
        </w:rPr>
      </w:pPr>
      <w:r>
        <w:rPr>
          <w:rFonts w:cs="Times New Roman"/>
        </w:rPr>
        <w:t>方案一：采用成套油水分离器。其特点是油水分离效果好，</w:t>
      </w:r>
      <w:r>
        <w:rPr>
          <w:rFonts w:hint="eastAsia" w:cs="Times New Roman"/>
          <w:lang w:eastAsia="zh-CN"/>
        </w:rPr>
        <w:t>油分回收率</w:t>
      </w:r>
      <w:r>
        <w:rPr>
          <w:rFonts w:cs="Times New Roman"/>
        </w:rPr>
        <w:t>和去除率高，适用于高含油量废水，能满足机修系统承担大修任务时石油类高峰浓度达标排放要求，但设备投资高，修理保养要求高。</w:t>
      </w:r>
    </w:p>
    <w:p>
      <w:pPr>
        <w:ind w:firstLine="480"/>
        <w:rPr>
          <w:rFonts w:cs="Times New Roman"/>
        </w:rPr>
      </w:pPr>
      <w:r>
        <w:rPr>
          <w:rFonts w:cs="Times New Roman"/>
        </w:rPr>
        <w:t>方案二：采用小型隔油池（间歇处理并投加混凝剂）。废水中的悬浮物及石油类在沉淀池内经絮凝沉淀后得以去除，其特点是构造简单，造价低，管理也方便，仅需定期清池。</w:t>
      </w:r>
    </w:p>
    <w:p>
      <w:pPr>
        <w:ind w:firstLine="480"/>
        <w:rPr>
          <w:rFonts w:cs="Times New Roman"/>
        </w:rPr>
      </w:pPr>
      <w:r>
        <w:rPr>
          <w:rFonts w:cs="Times New Roman"/>
        </w:rPr>
        <w:t>考虑到本工程机械保养场废水排放量少，拟采用方案二处理，处理流程见图6.3-5。在本工程机械保养场修建处理池，在处理池入口处设置隔油材料，含油废水通过集水沟经过隔油材料自流进入水池，蓄满后回收浮油，停留12h以上到第二天排放，处理后的废水用于机械或零部件的再次冲洗，或洒水降尘。</w:t>
      </w:r>
    </w:p>
    <w:p>
      <w:pPr>
        <w:ind w:firstLine="480"/>
        <w:jc w:val="center"/>
        <w:rPr>
          <w:rFonts w:cs="Times New Roman"/>
        </w:rPr>
      </w:pPr>
      <w:r>
        <w:rPr>
          <w:rFonts w:cs="Times New Roman"/>
        </w:rPr>
        <w:drawing>
          <wp:inline distT="0" distB="0" distL="0" distR="0">
            <wp:extent cx="4679950" cy="12141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80000" cy="1214201"/>
                    </a:xfrm>
                    <a:prstGeom prst="rect">
                      <a:avLst/>
                    </a:prstGeom>
                  </pic:spPr>
                </pic:pic>
              </a:graphicData>
            </a:graphic>
          </wp:inline>
        </w:drawing>
      </w:r>
    </w:p>
    <w:p>
      <w:pPr>
        <w:pStyle w:val="147"/>
      </w:pPr>
      <w:r>
        <w:t>图6.3-5  含油废水处理工艺流程示意图</w:t>
      </w:r>
    </w:p>
    <w:p>
      <w:pPr>
        <w:ind w:firstLine="480"/>
        <w:rPr>
          <w:rFonts w:cs="Times New Roman"/>
        </w:rPr>
      </w:pPr>
    </w:p>
    <w:p>
      <w:pPr>
        <w:ind w:firstLine="480"/>
        <w:rPr>
          <w:rFonts w:cs="Times New Roman"/>
        </w:rPr>
      </w:pPr>
      <w:r>
        <w:rPr>
          <w:rFonts w:cs="Times New Roman"/>
        </w:rPr>
        <w:t>（4）处理方案初步设计</w:t>
      </w:r>
    </w:p>
    <w:p>
      <w:pPr>
        <w:ind w:firstLine="480"/>
        <w:rPr>
          <w:rFonts w:cs="Times New Roman"/>
        </w:rPr>
      </w:pPr>
      <w:r>
        <w:rPr>
          <w:rFonts w:cs="Times New Roman"/>
        </w:rPr>
        <w:t>根据小型隔油池处理工艺，修建1座矩形处理池，内用隔油材料分割为隔油池和沉淀池，分别以1d和2d废水量修建，蓄水池按照6d废水量设计。根据工程特性，</w:t>
      </w:r>
      <w:r>
        <w:rPr>
          <w:rFonts w:hint="eastAsia" w:cs="Times New Roman"/>
          <w:lang w:eastAsia="zh-CN"/>
        </w:rPr>
        <w:t>将</w:t>
      </w:r>
      <w:r>
        <w:rPr>
          <w:rFonts w:cs="Times New Roman"/>
        </w:rPr>
        <w:t>含油废水处理设施纳入到机械修配保养场布置中统一考虑，构筑物利用场地内附近空地进行布置。具体选址结合现场实际条件进行调整，</w:t>
      </w:r>
      <w:r>
        <w:rPr>
          <w:rFonts w:hint="eastAsia" w:cs="Times New Roman"/>
          <w:lang w:eastAsia="zh-CN"/>
        </w:rPr>
        <w:t>以满足废水处理</w:t>
      </w:r>
      <w:r>
        <w:rPr>
          <w:rFonts w:cs="Times New Roman"/>
        </w:rPr>
        <w:t>功能为准。处理池剖面见图6.3-6，废水基坑设计图见图6.3-7，处理池工艺设计参数见表6.3-7，处理设施工程量见表6.3-8。</w:t>
      </w:r>
    </w:p>
    <w:p>
      <w:pPr>
        <w:ind w:firstLine="480"/>
        <w:jc w:val="center"/>
        <w:rPr>
          <w:rFonts w:cs="Times New Roman"/>
        </w:rPr>
      </w:pPr>
      <w:r>
        <w:rPr>
          <w:rFonts w:cs="Times New Roman"/>
        </w:rPr>
        <w:drawing>
          <wp:inline distT="0" distB="0" distL="0" distR="0">
            <wp:extent cx="4715510" cy="1464945"/>
            <wp:effectExtent l="19050" t="19050" r="8890" b="209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716000" cy="1465564"/>
                    </a:xfrm>
                    <a:prstGeom prst="rect">
                      <a:avLst/>
                    </a:prstGeom>
                    <a:ln w="12700">
                      <a:solidFill>
                        <a:schemeClr val="tx1"/>
                      </a:solidFill>
                    </a:ln>
                  </pic:spPr>
                </pic:pic>
              </a:graphicData>
            </a:graphic>
          </wp:inline>
        </w:drawing>
      </w:r>
    </w:p>
    <w:p>
      <w:pPr>
        <w:pStyle w:val="147"/>
      </w:pPr>
      <w:r>
        <w:t>图6.3-6  含油废水处理设施剖面图</w:t>
      </w:r>
    </w:p>
    <w:p>
      <w:pPr>
        <w:pStyle w:val="147"/>
      </w:pPr>
    </w:p>
    <w:p>
      <w:pPr>
        <w:ind w:firstLine="480"/>
        <w:jc w:val="center"/>
        <w:rPr>
          <w:rFonts w:cs="Times New Roman"/>
        </w:rPr>
      </w:pPr>
      <w:r>
        <w:rPr>
          <w:rFonts w:cs="Times New Roman"/>
        </w:rPr>
        <w:drawing>
          <wp:inline distT="0" distB="0" distL="0" distR="0">
            <wp:extent cx="4572000" cy="1965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72000" cy="1965522"/>
                    </a:xfrm>
                    <a:prstGeom prst="rect">
                      <a:avLst/>
                    </a:prstGeom>
                  </pic:spPr>
                </pic:pic>
              </a:graphicData>
            </a:graphic>
          </wp:inline>
        </w:drawing>
      </w:r>
    </w:p>
    <w:p>
      <w:pPr>
        <w:pStyle w:val="147"/>
      </w:pPr>
      <w:r>
        <w:t>图6.3-7  废污水处理池典型设计图</w:t>
      </w:r>
    </w:p>
    <w:p>
      <w:pPr>
        <w:pStyle w:val="147"/>
      </w:pPr>
    </w:p>
    <w:p>
      <w:pPr>
        <w:pStyle w:val="137"/>
        <w:spacing w:before="62"/>
      </w:pPr>
      <w:r>
        <w:t>表6.3-7               含油废水处理系统构筑物设计参数</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7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blHeader/>
          <w:jc w:val="center"/>
        </w:trPr>
        <w:tc>
          <w:tcPr>
            <w:tcW w:w="775" w:type="pct"/>
            <w:vAlign w:val="center"/>
          </w:tcPr>
          <w:p>
            <w:pPr>
              <w:pStyle w:val="136"/>
            </w:pPr>
            <w:r>
              <w:t>构筑物名称</w:t>
            </w:r>
          </w:p>
        </w:tc>
        <w:tc>
          <w:tcPr>
            <w:tcW w:w="4225" w:type="pct"/>
            <w:vAlign w:val="center"/>
          </w:tcPr>
          <w:p>
            <w:pPr>
              <w:pStyle w:val="136"/>
            </w:pPr>
            <w:r>
              <w:t>主要工艺参数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5" w:type="pct"/>
            <w:vAlign w:val="center"/>
          </w:tcPr>
          <w:p>
            <w:pPr>
              <w:pStyle w:val="136"/>
            </w:pPr>
            <w:r>
              <w:t>隔油池</w:t>
            </w:r>
          </w:p>
        </w:tc>
        <w:tc>
          <w:tcPr>
            <w:tcW w:w="4225" w:type="pct"/>
            <w:vAlign w:val="center"/>
          </w:tcPr>
          <w:p>
            <w:pPr>
              <w:pStyle w:val="136"/>
            </w:pPr>
            <w:r>
              <w:t>设计去除率80%，停留时间1.0h，隔油材料更换周期根据使用情况确定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Align w:val="center"/>
          </w:tcPr>
          <w:p>
            <w:pPr>
              <w:pStyle w:val="136"/>
            </w:pPr>
            <w:r>
              <w:t>沉淀池</w:t>
            </w:r>
          </w:p>
        </w:tc>
        <w:tc>
          <w:tcPr>
            <w:tcW w:w="4225" w:type="pct"/>
            <w:vAlign w:val="center"/>
          </w:tcPr>
          <w:p>
            <w:pPr>
              <w:pStyle w:val="136"/>
            </w:pPr>
            <w:r>
              <w:t>设计去除率90%，投加混凝剂，停留时间12h，浮油回收，定期清理底泥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Align w:val="center"/>
          </w:tcPr>
          <w:p>
            <w:pPr>
              <w:pStyle w:val="136"/>
            </w:pPr>
            <w:r>
              <w:t>蓄水池</w:t>
            </w:r>
          </w:p>
        </w:tc>
        <w:tc>
          <w:tcPr>
            <w:tcW w:w="4225" w:type="pct"/>
            <w:vAlign w:val="center"/>
          </w:tcPr>
          <w:p>
            <w:pPr>
              <w:pStyle w:val="136"/>
            </w:pPr>
            <w:r>
              <w:t>以容纳6d废水量设计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Align w:val="center"/>
          </w:tcPr>
          <w:p>
            <w:pPr>
              <w:pStyle w:val="136"/>
            </w:pPr>
            <w:r>
              <w:t>备用池</w:t>
            </w:r>
          </w:p>
        </w:tc>
        <w:tc>
          <w:tcPr>
            <w:tcW w:w="4225" w:type="pct"/>
            <w:vAlign w:val="center"/>
          </w:tcPr>
          <w:p>
            <w:pPr>
              <w:pStyle w:val="136"/>
            </w:pPr>
            <w:r>
              <w:t>以容纳1d废水量设计</w:t>
            </w:r>
          </w:p>
        </w:tc>
      </w:tr>
    </w:tbl>
    <w:p>
      <w:pPr>
        <w:ind w:firstLine="480"/>
        <w:rPr>
          <w:rFonts w:cs="Times New Roman"/>
        </w:rPr>
      </w:pPr>
    </w:p>
    <w:p>
      <w:pPr>
        <w:pStyle w:val="137"/>
        <w:spacing w:before="62"/>
      </w:pPr>
      <w:r>
        <w:t>表6.3-8                 含油废水处理设施工程表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618"/>
        <w:gridCol w:w="420"/>
        <w:gridCol w:w="420"/>
        <w:gridCol w:w="420"/>
        <w:gridCol w:w="420"/>
        <w:gridCol w:w="418"/>
        <w:gridCol w:w="418"/>
        <w:gridCol w:w="418"/>
        <w:gridCol w:w="467"/>
        <w:gridCol w:w="418"/>
        <w:gridCol w:w="418"/>
        <w:gridCol w:w="418"/>
        <w:gridCol w:w="467"/>
        <w:gridCol w:w="574"/>
        <w:gridCol w:w="601"/>
        <w:gridCol w:w="450"/>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44" w:hRule="atLeast"/>
          <w:tblHeader/>
          <w:jc w:val="center"/>
        </w:trPr>
        <w:tc>
          <w:tcPr>
            <w:tcW w:w="351" w:type="pct"/>
            <w:vMerge w:val="restart"/>
            <w:vAlign w:val="center"/>
          </w:tcPr>
          <w:p>
            <w:pPr>
              <w:pStyle w:val="136"/>
            </w:pPr>
            <w:r>
              <w:t>废水排放量(m</w:t>
            </w:r>
            <w:r>
              <w:rPr>
                <w:vertAlign w:val="superscript"/>
              </w:rPr>
              <w:t>3</w:t>
            </w:r>
            <w:r>
              <w:t>/d)</w:t>
            </w:r>
          </w:p>
        </w:tc>
        <w:tc>
          <w:tcPr>
            <w:tcW w:w="952" w:type="pct"/>
            <w:gridSpan w:val="4"/>
            <w:vAlign w:val="center"/>
          </w:tcPr>
          <w:p>
            <w:pPr>
              <w:pStyle w:val="136"/>
            </w:pPr>
            <w:r>
              <w:t>矩形处理池净尺寸</w:t>
            </w:r>
          </w:p>
        </w:tc>
        <w:tc>
          <w:tcPr>
            <w:tcW w:w="976" w:type="pct"/>
            <w:gridSpan w:val="4"/>
            <w:vAlign w:val="center"/>
          </w:tcPr>
          <w:p>
            <w:pPr>
              <w:pStyle w:val="136"/>
            </w:pPr>
            <w:r>
              <w:t>蓄水池净尺寸</w:t>
            </w:r>
          </w:p>
        </w:tc>
        <w:tc>
          <w:tcPr>
            <w:tcW w:w="976" w:type="pct"/>
            <w:gridSpan w:val="4"/>
            <w:vAlign w:val="center"/>
          </w:tcPr>
          <w:p>
            <w:pPr>
              <w:pStyle w:val="136"/>
              <w:rPr>
                <w:rFonts w:hint="eastAsia" w:eastAsia="宋体"/>
                <w:lang w:eastAsia="zh-CN"/>
              </w:rPr>
            </w:pPr>
            <w:r>
              <w:rPr>
                <w:rFonts w:hint="eastAsia"/>
                <w:lang w:eastAsia="zh-CN"/>
              </w:rPr>
              <w:t>备用水池尺寸</w:t>
            </w:r>
          </w:p>
        </w:tc>
        <w:tc>
          <w:tcPr>
            <w:tcW w:w="922" w:type="pct"/>
            <w:gridSpan w:val="3"/>
            <w:vAlign w:val="center"/>
          </w:tcPr>
          <w:p>
            <w:pPr>
              <w:pStyle w:val="136"/>
            </w:pPr>
            <w:r>
              <w:t>建筑工程</w:t>
            </w:r>
          </w:p>
        </w:tc>
        <w:tc>
          <w:tcPr>
            <w:tcW w:w="823" w:type="pct"/>
            <w:vAlign w:val="center"/>
          </w:tcPr>
          <w:p>
            <w:pPr>
              <w:pStyle w:val="136"/>
            </w:pPr>
            <w:r>
              <w:t>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764" w:hRule="atLeast"/>
          <w:tblHeader/>
          <w:jc w:val="center"/>
        </w:trPr>
        <w:tc>
          <w:tcPr>
            <w:tcW w:w="351" w:type="pct"/>
            <w:vMerge w:val="continue"/>
            <w:vAlign w:val="center"/>
          </w:tcPr>
          <w:p>
            <w:pPr>
              <w:pStyle w:val="136"/>
            </w:pPr>
          </w:p>
        </w:tc>
        <w:tc>
          <w:tcPr>
            <w:tcW w:w="238" w:type="pct"/>
            <w:vAlign w:val="center"/>
          </w:tcPr>
          <w:p>
            <w:pPr>
              <w:pStyle w:val="136"/>
            </w:pPr>
            <w:r>
              <w:t>池长</w:t>
            </w:r>
          </w:p>
          <w:p>
            <w:pPr>
              <w:pStyle w:val="136"/>
            </w:pPr>
            <w:r>
              <w:t>(m)</w:t>
            </w:r>
          </w:p>
        </w:tc>
        <w:tc>
          <w:tcPr>
            <w:tcW w:w="238" w:type="pct"/>
            <w:vAlign w:val="center"/>
          </w:tcPr>
          <w:p>
            <w:pPr>
              <w:pStyle w:val="136"/>
            </w:pPr>
            <w:r>
              <w:t>池宽</w:t>
            </w:r>
          </w:p>
          <w:p>
            <w:pPr>
              <w:pStyle w:val="136"/>
            </w:pPr>
            <w:r>
              <w:t>(m)</w:t>
            </w:r>
          </w:p>
        </w:tc>
        <w:tc>
          <w:tcPr>
            <w:tcW w:w="238" w:type="pct"/>
            <w:vAlign w:val="center"/>
          </w:tcPr>
          <w:p>
            <w:pPr>
              <w:pStyle w:val="136"/>
            </w:pPr>
            <w:r>
              <w:t>池深</w:t>
            </w:r>
          </w:p>
          <w:p>
            <w:pPr>
              <w:pStyle w:val="136"/>
            </w:pPr>
            <w:r>
              <w:t>(m)</w:t>
            </w:r>
          </w:p>
        </w:tc>
        <w:tc>
          <w:tcPr>
            <w:tcW w:w="238" w:type="pct"/>
            <w:vAlign w:val="center"/>
          </w:tcPr>
          <w:p>
            <w:pPr>
              <w:pStyle w:val="136"/>
            </w:pPr>
            <w:r>
              <w:t>占地面积(m</w:t>
            </w:r>
            <w:r>
              <w:rPr>
                <w:vertAlign w:val="superscript"/>
              </w:rPr>
              <w:t>2</w:t>
            </w:r>
            <w:r>
              <w:t>)</w:t>
            </w:r>
          </w:p>
        </w:tc>
        <w:tc>
          <w:tcPr>
            <w:tcW w:w="237" w:type="pct"/>
            <w:vAlign w:val="center"/>
          </w:tcPr>
          <w:p>
            <w:pPr>
              <w:pStyle w:val="136"/>
            </w:pPr>
            <w:r>
              <w:t>池长</w:t>
            </w:r>
          </w:p>
          <w:p>
            <w:pPr>
              <w:pStyle w:val="136"/>
            </w:pPr>
            <w:r>
              <w:t>(m)</w:t>
            </w:r>
          </w:p>
        </w:tc>
        <w:tc>
          <w:tcPr>
            <w:tcW w:w="237" w:type="pct"/>
            <w:vAlign w:val="center"/>
          </w:tcPr>
          <w:p>
            <w:pPr>
              <w:pStyle w:val="136"/>
            </w:pPr>
            <w:r>
              <w:t>池宽</w:t>
            </w:r>
          </w:p>
          <w:p>
            <w:pPr>
              <w:pStyle w:val="136"/>
            </w:pPr>
            <w:r>
              <w:t>(m)</w:t>
            </w:r>
          </w:p>
        </w:tc>
        <w:tc>
          <w:tcPr>
            <w:tcW w:w="237" w:type="pct"/>
            <w:vAlign w:val="center"/>
          </w:tcPr>
          <w:p>
            <w:pPr>
              <w:pStyle w:val="136"/>
            </w:pPr>
            <w:r>
              <w:t>池深</w:t>
            </w:r>
          </w:p>
          <w:p>
            <w:pPr>
              <w:pStyle w:val="136"/>
            </w:pPr>
            <w:r>
              <w:t>(m)</w:t>
            </w:r>
          </w:p>
        </w:tc>
        <w:tc>
          <w:tcPr>
            <w:tcW w:w="265" w:type="pct"/>
            <w:vAlign w:val="center"/>
          </w:tcPr>
          <w:p>
            <w:pPr>
              <w:pStyle w:val="136"/>
            </w:pPr>
            <w:r>
              <w:t>占地面积(m</w:t>
            </w:r>
            <w:r>
              <w:rPr>
                <w:vertAlign w:val="superscript"/>
              </w:rPr>
              <w:t>2</w:t>
            </w:r>
            <w:r>
              <w:t>)</w:t>
            </w:r>
          </w:p>
        </w:tc>
        <w:tc>
          <w:tcPr>
            <w:tcW w:w="237" w:type="pct"/>
            <w:vAlign w:val="center"/>
          </w:tcPr>
          <w:p>
            <w:pPr>
              <w:pStyle w:val="136"/>
            </w:pPr>
            <w:r>
              <w:t>池长</w:t>
            </w:r>
          </w:p>
          <w:p>
            <w:pPr>
              <w:pStyle w:val="136"/>
            </w:pPr>
            <w:r>
              <w:t>(m)</w:t>
            </w:r>
          </w:p>
        </w:tc>
        <w:tc>
          <w:tcPr>
            <w:tcW w:w="237" w:type="pct"/>
            <w:vAlign w:val="center"/>
          </w:tcPr>
          <w:p>
            <w:pPr>
              <w:pStyle w:val="136"/>
            </w:pPr>
            <w:r>
              <w:t>池宽</w:t>
            </w:r>
          </w:p>
          <w:p>
            <w:pPr>
              <w:pStyle w:val="136"/>
            </w:pPr>
            <w:r>
              <w:t>(m)</w:t>
            </w:r>
          </w:p>
        </w:tc>
        <w:tc>
          <w:tcPr>
            <w:tcW w:w="237" w:type="pct"/>
            <w:vAlign w:val="center"/>
          </w:tcPr>
          <w:p>
            <w:pPr>
              <w:pStyle w:val="136"/>
            </w:pPr>
            <w:r>
              <w:t>池深</w:t>
            </w:r>
          </w:p>
          <w:p>
            <w:pPr>
              <w:pStyle w:val="136"/>
            </w:pPr>
            <w:r>
              <w:t>(m)</w:t>
            </w:r>
          </w:p>
        </w:tc>
        <w:tc>
          <w:tcPr>
            <w:tcW w:w="265" w:type="pct"/>
            <w:vAlign w:val="center"/>
          </w:tcPr>
          <w:p>
            <w:pPr>
              <w:pStyle w:val="136"/>
            </w:pPr>
            <w:r>
              <w:t>占地面积(m</w:t>
            </w:r>
            <w:r>
              <w:rPr>
                <w:vertAlign w:val="superscript"/>
              </w:rPr>
              <w:t>2</w:t>
            </w:r>
            <w:r>
              <w:t>)</w:t>
            </w:r>
          </w:p>
        </w:tc>
        <w:tc>
          <w:tcPr>
            <w:tcW w:w="326" w:type="pct"/>
            <w:vAlign w:val="center"/>
          </w:tcPr>
          <w:p>
            <w:pPr>
              <w:pStyle w:val="136"/>
            </w:pPr>
            <w:r>
              <w:t>土石方(m</w:t>
            </w:r>
            <w:r>
              <w:rPr>
                <w:vertAlign w:val="superscript"/>
              </w:rPr>
              <w:t>3</w:t>
            </w:r>
            <w:r>
              <w:t>)</w:t>
            </w:r>
          </w:p>
        </w:tc>
        <w:tc>
          <w:tcPr>
            <w:tcW w:w="341" w:type="pct"/>
            <w:vAlign w:val="center"/>
          </w:tcPr>
          <w:p>
            <w:pPr>
              <w:pStyle w:val="136"/>
            </w:pPr>
            <w:r>
              <w:t>混凝土</w:t>
            </w:r>
          </w:p>
          <w:p>
            <w:pPr>
              <w:pStyle w:val="136"/>
            </w:pPr>
            <w:r>
              <w:t>(m</w:t>
            </w:r>
            <w:r>
              <w:rPr>
                <w:vertAlign w:val="superscript"/>
              </w:rPr>
              <w:t>3</w:t>
            </w:r>
            <w:r>
              <w:t>)</w:t>
            </w:r>
          </w:p>
        </w:tc>
        <w:tc>
          <w:tcPr>
            <w:tcW w:w="255" w:type="pct"/>
            <w:vAlign w:val="center"/>
          </w:tcPr>
          <w:p>
            <w:pPr>
              <w:pStyle w:val="136"/>
            </w:pPr>
            <w:r>
              <w:t>钢筋(t)</w:t>
            </w:r>
          </w:p>
        </w:tc>
        <w:tc>
          <w:tcPr>
            <w:tcW w:w="823" w:type="pct"/>
            <w:vAlign w:val="center"/>
          </w:tcPr>
          <w:p>
            <w:pPr>
              <w:pStyle w:val="136"/>
            </w:pPr>
            <w:r>
              <w:t>50W-10-10-0.75型潜污泵（单台功率0.75kW）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60" w:hRule="atLeast"/>
          <w:jc w:val="center"/>
        </w:trPr>
        <w:tc>
          <w:tcPr>
            <w:tcW w:w="351" w:type="pct"/>
            <w:vAlign w:val="center"/>
          </w:tcPr>
          <w:p>
            <w:pPr>
              <w:pStyle w:val="136"/>
            </w:pPr>
            <w:r>
              <w:t>4</w:t>
            </w:r>
          </w:p>
        </w:tc>
        <w:tc>
          <w:tcPr>
            <w:tcW w:w="238" w:type="pct"/>
            <w:vAlign w:val="center"/>
          </w:tcPr>
          <w:p>
            <w:pPr>
              <w:pStyle w:val="136"/>
            </w:pPr>
            <w:r>
              <w:t>3</w:t>
            </w:r>
          </w:p>
        </w:tc>
        <w:tc>
          <w:tcPr>
            <w:tcW w:w="238" w:type="pct"/>
            <w:vAlign w:val="center"/>
          </w:tcPr>
          <w:p>
            <w:pPr>
              <w:pStyle w:val="136"/>
            </w:pPr>
            <w:r>
              <w:t>3</w:t>
            </w:r>
          </w:p>
        </w:tc>
        <w:tc>
          <w:tcPr>
            <w:tcW w:w="238" w:type="pct"/>
            <w:vAlign w:val="center"/>
          </w:tcPr>
          <w:p>
            <w:pPr>
              <w:pStyle w:val="136"/>
            </w:pPr>
            <w:r>
              <w:t>2.2</w:t>
            </w:r>
          </w:p>
        </w:tc>
        <w:tc>
          <w:tcPr>
            <w:tcW w:w="238" w:type="pct"/>
            <w:vAlign w:val="center"/>
          </w:tcPr>
          <w:p>
            <w:pPr>
              <w:pStyle w:val="136"/>
            </w:pPr>
            <w:r>
              <w:t>9</w:t>
            </w:r>
          </w:p>
        </w:tc>
        <w:tc>
          <w:tcPr>
            <w:tcW w:w="237" w:type="pct"/>
            <w:vAlign w:val="center"/>
          </w:tcPr>
          <w:p>
            <w:pPr>
              <w:pStyle w:val="136"/>
            </w:pPr>
            <w:r>
              <w:t>6</w:t>
            </w:r>
          </w:p>
        </w:tc>
        <w:tc>
          <w:tcPr>
            <w:tcW w:w="237" w:type="pct"/>
            <w:vAlign w:val="center"/>
          </w:tcPr>
          <w:p>
            <w:pPr>
              <w:pStyle w:val="136"/>
            </w:pPr>
            <w:r>
              <w:t>3</w:t>
            </w:r>
          </w:p>
        </w:tc>
        <w:tc>
          <w:tcPr>
            <w:tcW w:w="237" w:type="pct"/>
            <w:vAlign w:val="center"/>
          </w:tcPr>
          <w:p>
            <w:pPr>
              <w:pStyle w:val="136"/>
            </w:pPr>
            <w:r>
              <w:t>2.2</w:t>
            </w:r>
          </w:p>
        </w:tc>
        <w:tc>
          <w:tcPr>
            <w:tcW w:w="265" w:type="pct"/>
            <w:vAlign w:val="center"/>
          </w:tcPr>
          <w:p>
            <w:pPr>
              <w:pStyle w:val="136"/>
            </w:pPr>
            <w:r>
              <w:t>21</w:t>
            </w:r>
          </w:p>
        </w:tc>
        <w:tc>
          <w:tcPr>
            <w:tcW w:w="237" w:type="pct"/>
            <w:vAlign w:val="center"/>
          </w:tcPr>
          <w:p>
            <w:pPr>
              <w:pStyle w:val="136"/>
            </w:pPr>
            <w:r>
              <w:t>3</w:t>
            </w:r>
          </w:p>
        </w:tc>
        <w:tc>
          <w:tcPr>
            <w:tcW w:w="237" w:type="pct"/>
            <w:vAlign w:val="center"/>
          </w:tcPr>
          <w:p>
            <w:pPr>
              <w:pStyle w:val="136"/>
            </w:pPr>
            <w:r>
              <w:t>3</w:t>
            </w:r>
          </w:p>
        </w:tc>
        <w:tc>
          <w:tcPr>
            <w:tcW w:w="237" w:type="pct"/>
            <w:vAlign w:val="center"/>
          </w:tcPr>
          <w:p>
            <w:pPr>
              <w:pStyle w:val="136"/>
            </w:pPr>
            <w:r>
              <w:t>2.2</w:t>
            </w:r>
          </w:p>
        </w:tc>
        <w:tc>
          <w:tcPr>
            <w:tcW w:w="265" w:type="pct"/>
            <w:vAlign w:val="center"/>
          </w:tcPr>
          <w:p>
            <w:pPr>
              <w:pStyle w:val="136"/>
            </w:pPr>
            <w:r>
              <w:t>9</w:t>
            </w:r>
          </w:p>
        </w:tc>
        <w:tc>
          <w:tcPr>
            <w:tcW w:w="326" w:type="pct"/>
            <w:vAlign w:val="center"/>
          </w:tcPr>
          <w:p>
            <w:pPr>
              <w:pStyle w:val="136"/>
            </w:pPr>
            <w:r>
              <w:t>103</w:t>
            </w:r>
          </w:p>
        </w:tc>
        <w:tc>
          <w:tcPr>
            <w:tcW w:w="341" w:type="pct"/>
            <w:vAlign w:val="center"/>
          </w:tcPr>
          <w:p>
            <w:pPr>
              <w:pStyle w:val="136"/>
            </w:pPr>
            <w:r>
              <w:t>45</w:t>
            </w:r>
          </w:p>
        </w:tc>
        <w:tc>
          <w:tcPr>
            <w:tcW w:w="255" w:type="pct"/>
            <w:vAlign w:val="center"/>
          </w:tcPr>
          <w:p>
            <w:pPr>
              <w:pStyle w:val="136"/>
            </w:pPr>
            <w:r>
              <w:t>1.4</w:t>
            </w:r>
          </w:p>
        </w:tc>
        <w:tc>
          <w:tcPr>
            <w:tcW w:w="823" w:type="pct"/>
            <w:vAlign w:val="center"/>
          </w:tcPr>
          <w:p>
            <w:pPr>
              <w:pStyle w:val="136"/>
            </w:pPr>
            <w:r>
              <w:t>2台/1用1备</w:t>
            </w:r>
          </w:p>
        </w:tc>
      </w:tr>
    </w:tbl>
    <w:p>
      <w:pPr>
        <w:ind w:firstLine="480"/>
        <w:rPr>
          <w:rFonts w:cs="Times New Roman"/>
        </w:rPr>
      </w:pPr>
    </w:p>
    <w:p>
      <w:pPr>
        <w:ind w:firstLine="480"/>
        <w:rPr>
          <w:rFonts w:cs="Times New Roman"/>
        </w:rPr>
      </w:pPr>
      <w:r>
        <w:rPr>
          <w:rFonts w:cs="Times New Roman"/>
        </w:rPr>
        <w:t>（5）运行管理与维护</w:t>
      </w:r>
    </w:p>
    <w:p>
      <w:pPr>
        <w:ind w:firstLine="480"/>
        <w:rPr>
          <w:rFonts w:cs="Times New Roman"/>
        </w:rPr>
      </w:pPr>
      <w:r>
        <w:rPr>
          <w:rFonts w:hint="eastAsia" w:ascii="宋体" w:hAnsi="宋体" w:cs="宋体"/>
        </w:rPr>
        <w:t>①</w:t>
      </w:r>
      <w:r>
        <w:rPr>
          <w:rFonts w:cs="Times New Roman"/>
        </w:rPr>
        <w:t>要求在设备停放场附近设置专门的集中冲洗场，对工程施工中的各类运输、装卸汽车等运输机械进行集中冲洗，冲洗废水通过集水沟进入隔油池进行处理，油污每周清理一次，清理时使用备用沉淀池继续收集废水处理。</w:t>
      </w:r>
    </w:p>
    <w:p>
      <w:pPr>
        <w:ind w:firstLine="480"/>
        <w:rPr>
          <w:rFonts w:cs="Times New Roman"/>
        </w:rPr>
      </w:pPr>
      <w:r>
        <w:rPr>
          <w:rFonts w:hint="eastAsia" w:ascii="宋体" w:hAnsi="宋体" w:cs="宋体"/>
        </w:rPr>
        <w:t>②</w:t>
      </w:r>
      <w:r>
        <w:rPr>
          <w:rFonts w:cs="Times New Roman"/>
        </w:rPr>
        <w:t>严禁</w:t>
      </w:r>
      <w:r>
        <w:rPr>
          <w:rFonts w:hint="eastAsia" w:cs="Times New Roman"/>
          <w:lang w:eastAsia="zh-CN"/>
        </w:rPr>
        <w:t>将</w:t>
      </w:r>
      <w:r>
        <w:rPr>
          <w:rFonts w:cs="Times New Roman"/>
        </w:rPr>
        <w:t>机械保养、机修废水直排周边环境，处理后的废水全部进入蓄水池，回收利用。</w:t>
      </w:r>
    </w:p>
    <w:p>
      <w:pPr>
        <w:ind w:firstLine="480"/>
        <w:rPr>
          <w:rFonts w:cs="Times New Roman"/>
        </w:rPr>
      </w:pPr>
      <w:r>
        <w:rPr>
          <w:rFonts w:hint="eastAsia" w:ascii="宋体" w:hAnsi="宋体" w:cs="宋体"/>
        </w:rPr>
        <w:t>③</w:t>
      </w:r>
      <w:r>
        <w:rPr>
          <w:rFonts w:cs="Times New Roman"/>
        </w:rPr>
        <w:t>运行过程中及时清洗更换隔油材料，及时回收浮油，含油废水处理设施的管理和维护工作需纳入机械停放场的日常管理，不另设机构和人员。</w:t>
      </w:r>
    </w:p>
    <w:p>
      <w:pPr>
        <w:ind w:firstLine="480"/>
        <w:rPr>
          <w:rFonts w:cs="Times New Roman"/>
        </w:rPr>
      </w:pPr>
      <w:r>
        <w:rPr>
          <w:rFonts w:hint="eastAsia" w:ascii="宋体" w:hAnsi="宋体" w:cs="宋体"/>
        </w:rPr>
        <w:t>④</w:t>
      </w:r>
      <w:r>
        <w:rPr>
          <w:rFonts w:cs="Times New Roman"/>
        </w:rPr>
        <w:t>施工结束后待沉淀池蒸发完后进行池底清理，清理废渣运到垃圾填埋场，清理后</w:t>
      </w:r>
      <w:r>
        <w:rPr>
          <w:rFonts w:hint="eastAsia" w:cs="Times New Roman"/>
          <w:lang w:eastAsia="zh-CN"/>
        </w:rPr>
        <w:t>将</w:t>
      </w:r>
      <w:r>
        <w:rPr>
          <w:rFonts w:cs="Times New Roman"/>
        </w:rPr>
        <w:t>沉淀池覆土填埋。</w:t>
      </w:r>
    </w:p>
    <w:p>
      <w:pPr>
        <w:pStyle w:val="62"/>
        <w:rPr>
          <w:rFonts w:cs="Times New Roman"/>
        </w:rPr>
      </w:pPr>
      <w:r>
        <w:rPr>
          <w:rFonts w:cs="Times New Roman"/>
        </w:rPr>
        <w:t>6.3.1.4 基坑排水</w:t>
      </w:r>
    </w:p>
    <w:p>
      <w:pPr>
        <w:ind w:firstLine="480"/>
        <w:rPr>
          <w:rFonts w:cs="Times New Roman"/>
        </w:rPr>
      </w:pPr>
      <w:r>
        <w:rPr>
          <w:rFonts w:cs="Times New Roman"/>
        </w:rPr>
        <w:t>（1）废水特点</w:t>
      </w:r>
    </w:p>
    <w:p>
      <w:pPr>
        <w:ind w:firstLine="480"/>
        <w:rPr>
          <w:rFonts w:cs="Times New Roman"/>
        </w:rPr>
      </w:pPr>
      <w:r>
        <w:rPr>
          <w:rFonts w:cs="Times New Roman"/>
        </w:rPr>
        <w:t>基坑初期排水主要为围堰闭气后基坑集水、基础和堰体渗水，成份为河水，污染物主要为SS，无其它有毒有害污染物，具有排水量大、历时短等特点。</w:t>
      </w:r>
    </w:p>
    <w:p>
      <w:pPr>
        <w:ind w:firstLine="480"/>
        <w:rPr>
          <w:rFonts w:cs="Times New Roman"/>
        </w:rPr>
      </w:pPr>
      <w:r>
        <w:rPr>
          <w:rFonts w:cs="Times New Roman"/>
        </w:rPr>
        <w:t>（2）处理目标及方案</w:t>
      </w:r>
    </w:p>
    <w:p>
      <w:pPr>
        <w:ind w:firstLine="480"/>
        <w:rPr>
          <w:rFonts w:cs="Times New Roman"/>
        </w:rPr>
      </w:pPr>
      <w:r>
        <w:rPr>
          <w:rFonts w:cs="Times New Roman"/>
        </w:rPr>
        <w:t>如果修建大型构筑物来处理这部分初期排水，工程开挖造成的环境破坏、修建过程中“三废”排放对环境的不利影响较大。因此，从技术经济角度分析，对基坑初期排水进行处理是既不经济也不</w:t>
      </w:r>
      <w:r>
        <w:rPr>
          <w:rFonts w:hint="eastAsia" w:cs="Times New Roman"/>
          <w:lang w:eastAsia="zh-CN"/>
        </w:rPr>
        <w:t>现实的</w:t>
      </w:r>
      <w:r>
        <w:rPr>
          <w:rFonts w:cs="Times New Roman"/>
        </w:rPr>
        <w:t>。</w:t>
      </w:r>
    </w:p>
    <w:p>
      <w:pPr>
        <w:ind w:firstLine="480"/>
        <w:rPr>
          <w:rFonts w:cs="Times New Roman"/>
        </w:rPr>
      </w:pPr>
      <w:r>
        <w:rPr>
          <w:rFonts w:cs="Times New Roman"/>
        </w:rPr>
        <w:t>根据以往一些工程施工经验，基坑排水若有条件可以用作混凝土拌和或砂石料加工系统生产用水。根据其它水电项目对基坑水的处理经验，仅向基坑投加聚合氯化铝絮凝剂，让坑水静止沉淀2h后悬浮物浓度一般能降到200mg/L以下，对初期排水中的SS消减作用显著。</w:t>
      </w:r>
    </w:p>
    <w:p>
      <w:pPr>
        <w:ind w:firstLine="480"/>
        <w:rPr>
          <w:rFonts w:cs="Times New Roman"/>
        </w:rPr>
      </w:pPr>
      <w:r>
        <w:rPr>
          <w:rFonts w:cs="Times New Roman"/>
        </w:rPr>
        <w:t>基坑经常性排水主要包括围堰堰体渗水、大坝基础开挖和混凝土填筑和雨季基坑积水及雨季右岸山体汇水等，主要污染物为SS，坑水呈碱性，排入河道后会使河水浑浊且pH值升高。因此，建议投加聚丙稀酰胺的混合物处理，该混合物对碱性高、SS含量高的水处理效果较好，建议使用这种絮凝剂。</w:t>
      </w:r>
    </w:p>
    <w:p>
      <w:pPr>
        <w:ind w:firstLine="480"/>
        <w:rPr>
          <w:rFonts w:cs="Times New Roman"/>
        </w:rPr>
      </w:pPr>
      <w:r>
        <w:rPr>
          <w:rFonts w:cs="Times New Roman"/>
        </w:rPr>
        <w:t>（4）运行管理与维护</w:t>
      </w:r>
    </w:p>
    <w:p>
      <w:pPr>
        <w:ind w:firstLine="480"/>
        <w:rPr>
          <w:rFonts w:cs="Times New Roman"/>
        </w:rPr>
      </w:pPr>
      <w:r>
        <w:rPr>
          <w:rFonts w:cs="Times New Roman"/>
        </w:rPr>
        <w:t>基坑废水处理设施简单，处理设施的管理与维护工作由施工人员执行，不另设机构和人员。处理设施周围布设围栏，避免野生动物跌入溺亡。施工结束后，对沉淀泥沙、防渗膜等进行清理，对开挖洼地进行回填，基地平整。</w:t>
      </w:r>
    </w:p>
    <w:p>
      <w:pPr>
        <w:pStyle w:val="62"/>
        <w:rPr>
          <w:rFonts w:cs="Times New Roman"/>
        </w:rPr>
      </w:pPr>
      <w:r>
        <w:rPr>
          <w:rFonts w:cs="Times New Roman"/>
        </w:rPr>
        <w:t>6.3.1.5 隧洞废水、炸药残留物</w:t>
      </w:r>
    </w:p>
    <w:p>
      <w:pPr>
        <w:ind w:firstLine="480"/>
        <w:rPr>
          <w:rFonts w:cs="Times New Roman"/>
        </w:rPr>
      </w:pPr>
      <w:r>
        <w:rPr>
          <w:rFonts w:cs="Times New Roman"/>
        </w:rPr>
        <w:t>（1）隧洞废水</w:t>
      </w:r>
    </w:p>
    <w:p>
      <w:pPr>
        <w:ind w:firstLine="480"/>
        <w:rPr>
          <w:rFonts w:cs="Times New Roman"/>
        </w:rPr>
      </w:pPr>
      <w:r>
        <w:rPr>
          <w:rFonts w:hint="eastAsia" w:ascii="宋体" w:hAnsi="宋体" w:cs="宋体"/>
        </w:rPr>
        <w:t>①</w:t>
      </w:r>
      <w:r>
        <w:rPr>
          <w:rFonts w:cs="Times New Roman"/>
        </w:rPr>
        <w:t>废水特征</w:t>
      </w:r>
    </w:p>
    <w:p>
      <w:pPr>
        <w:ind w:firstLine="480"/>
        <w:rPr>
          <w:rFonts w:cs="Times New Roman"/>
        </w:rPr>
      </w:pPr>
      <w:r>
        <w:rPr>
          <w:rFonts w:cs="Times New Roman"/>
        </w:rPr>
        <w:t>根据工程施工的特点，废水在隧洞施工过程中会大量流失，只有少部分能够被集中收集，该类废水中的主要污染物质除岩石碎屑、悬浮物外还有少量硝基苯等物质，通过采用环保乳化炸药，可消除硝基物质。</w:t>
      </w:r>
    </w:p>
    <w:p>
      <w:pPr>
        <w:ind w:firstLine="480"/>
        <w:rPr>
          <w:rFonts w:cs="Times New Roman"/>
        </w:rPr>
      </w:pPr>
      <w:r>
        <w:rPr>
          <w:rFonts w:hint="eastAsia" w:ascii="宋体" w:hAnsi="宋体" w:cs="宋体"/>
        </w:rPr>
        <w:t>②</w:t>
      </w:r>
      <w:r>
        <w:rPr>
          <w:rFonts w:cs="Times New Roman"/>
        </w:rPr>
        <w:t>处理目标</w:t>
      </w:r>
    </w:p>
    <w:p>
      <w:pPr>
        <w:ind w:firstLine="480"/>
        <w:rPr>
          <w:rFonts w:cs="Times New Roman"/>
        </w:rPr>
      </w:pPr>
      <w:r>
        <w:rPr>
          <w:rFonts w:cs="Times New Roman"/>
        </w:rPr>
        <w:t>采用沉淀池收集后，自然蒸发消耗，严禁以任何形式排入河道。</w:t>
      </w:r>
    </w:p>
    <w:p>
      <w:pPr>
        <w:ind w:firstLine="480"/>
        <w:rPr>
          <w:rFonts w:cs="Times New Roman"/>
        </w:rPr>
      </w:pPr>
      <w:r>
        <w:rPr>
          <w:rFonts w:hint="eastAsia" w:ascii="宋体" w:hAnsi="宋体" w:cs="宋体"/>
        </w:rPr>
        <w:t>③</w:t>
      </w:r>
      <w:r>
        <w:rPr>
          <w:rFonts w:cs="Times New Roman"/>
        </w:rPr>
        <w:t>处理工艺</w:t>
      </w:r>
    </w:p>
    <w:p>
      <w:pPr>
        <w:ind w:firstLine="480"/>
        <w:rPr>
          <w:rFonts w:cs="Times New Roman"/>
        </w:rPr>
      </w:pPr>
      <w:r>
        <w:rPr>
          <w:rFonts w:cs="Times New Roman"/>
        </w:rPr>
        <w:t>废水经收集后，通过排水管排出洞外沉淀池自然沉淀蒸发消耗。沉淀池的容积，根据废水排放量确定，各沉淀池均</w:t>
      </w:r>
      <w:r>
        <w:rPr>
          <w:rFonts w:hint="eastAsia" w:cs="Times New Roman"/>
          <w:lang w:eastAsia="zh-CN"/>
        </w:rPr>
        <w:t>需做防渗</w:t>
      </w:r>
      <w:r>
        <w:rPr>
          <w:rFonts w:cs="Times New Roman"/>
        </w:rPr>
        <w:t>衬砌，衬砌方式与机械冲洗废水沉淀池相同，施工结束后待各池蒸发完后进行池底清理，废渣清运至弃渣场，沉淀池清理后覆土掩埋。处理工艺见图6.3-8。</w:t>
      </w:r>
    </w:p>
    <w:p>
      <w:pPr>
        <w:ind w:firstLine="480"/>
        <w:jc w:val="center"/>
        <w:rPr>
          <w:rFonts w:cs="Times New Roman"/>
        </w:rPr>
      </w:pPr>
      <w:r>
        <w:rPr>
          <w:rFonts w:cs="Times New Roman"/>
        </w:rPr>
        <w:drawing>
          <wp:inline distT="0" distB="0" distL="0" distR="0">
            <wp:extent cx="4679950" cy="995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680000" cy="995859"/>
                    </a:xfrm>
                    <a:prstGeom prst="rect">
                      <a:avLst/>
                    </a:prstGeom>
                  </pic:spPr>
                </pic:pic>
              </a:graphicData>
            </a:graphic>
          </wp:inline>
        </w:drawing>
      </w:r>
    </w:p>
    <w:p>
      <w:pPr>
        <w:pStyle w:val="147"/>
      </w:pPr>
      <w:r>
        <w:t>图6.3-8  隧洞施工废水处理工艺流程图</w:t>
      </w:r>
    </w:p>
    <w:p>
      <w:pPr>
        <w:ind w:firstLine="480"/>
        <w:rPr>
          <w:rFonts w:cs="Times New Roman"/>
        </w:rPr>
      </w:pPr>
      <w:r>
        <w:rPr>
          <w:rFonts w:hint="eastAsia" w:ascii="宋体" w:hAnsi="宋体" w:cs="宋体"/>
        </w:rPr>
        <w:t>④</w:t>
      </w:r>
      <w:r>
        <w:rPr>
          <w:rFonts w:cs="Times New Roman"/>
        </w:rPr>
        <w:t>方案初步设计</w:t>
      </w:r>
    </w:p>
    <w:p>
      <w:pPr>
        <w:ind w:firstLine="480"/>
        <w:rPr>
          <w:rFonts w:cs="Times New Roman"/>
        </w:rPr>
      </w:pPr>
      <w:r>
        <w:rPr>
          <w:rFonts w:cs="Times New Roman"/>
        </w:rPr>
        <w:t>在隧洞</w:t>
      </w:r>
      <w:r>
        <w:rPr>
          <w:rFonts w:hint="eastAsia" w:cs="Times New Roman"/>
          <w:lang w:eastAsia="zh-CN"/>
        </w:rPr>
        <w:t>进出口各布设</w:t>
      </w:r>
      <w:r>
        <w:rPr>
          <w:rFonts w:cs="Times New Roman"/>
        </w:rPr>
        <w:t>1个沉淀池，每处沉淀池以容纳5d废水量为设计标准。池体采用浆砌石砌筑，底部为砂砾石垫层。施工废水处理设施工程量见表6.3-9。</w:t>
      </w:r>
    </w:p>
    <w:p>
      <w:pPr>
        <w:pStyle w:val="137"/>
        <w:spacing w:before="62"/>
      </w:pPr>
      <w:r>
        <w:t>表6.3-9               隧洞施工废水处理措施工程表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450"/>
        <w:gridCol w:w="679"/>
        <w:gridCol w:w="601"/>
        <w:gridCol w:w="537"/>
        <w:gridCol w:w="1414"/>
        <w:gridCol w:w="165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26" w:type="pct"/>
            <w:vMerge w:val="restart"/>
            <w:vAlign w:val="center"/>
          </w:tcPr>
          <w:p>
            <w:pPr>
              <w:pStyle w:val="136"/>
            </w:pPr>
            <w:r>
              <w:t>名称</w:t>
            </w:r>
          </w:p>
        </w:tc>
        <w:tc>
          <w:tcPr>
            <w:tcW w:w="805" w:type="pct"/>
            <w:vMerge w:val="restart"/>
            <w:vAlign w:val="center"/>
          </w:tcPr>
          <w:p>
            <w:pPr>
              <w:pStyle w:val="136"/>
            </w:pPr>
            <w:r>
              <w:t>5d废水排放量（m³）</w:t>
            </w:r>
          </w:p>
        </w:tc>
        <w:tc>
          <w:tcPr>
            <w:tcW w:w="1008" w:type="pct"/>
            <w:gridSpan w:val="3"/>
            <w:vAlign w:val="center"/>
          </w:tcPr>
          <w:p>
            <w:pPr>
              <w:pStyle w:val="136"/>
            </w:pPr>
            <w:r>
              <w:t>单池净尺寸（m）</w:t>
            </w:r>
          </w:p>
        </w:tc>
        <w:tc>
          <w:tcPr>
            <w:tcW w:w="2460" w:type="pct"/>
            <w:gridSpan w:val="3"/>
            <w:vAlign w:val="center"/>
          </w:tcPr>
          <w:p>
            <w:pPr>
              <w:pStyle w:val="136"/>
            </w:pPr>
            <w:r>
              <w:t>建筑工程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26" w:type="pct"/>
            <w:vMerge w:val="continue"/>
            <w:vAlign w:val="center"/>
          </w:tcPr>
          <w:p>
            <w:pPr>
              <w:pStyle w:val="136"/>
            </w:pPr>
          </w:p>
        </w:tc>
        <w:tc>
          <w:tcPr>
            <w:tcW w:w="805" w:type="pct"/>
            <w:vMerge w:val="continue"/>
            <w:vAlign w:val="center"/>
          </w:tcPr>
          <w:p>
            <w:pPr>
              <w:pStyle w:val="136"/>
            </w:pPr>
          </w:p>
        </w:tc>
        <w:tc>
          <w:tcPr>
            <w:tcW w:w="377" w:type="pct"/>
            <w:vAlign w:val="center"/>
          </w:tcPr>
          <w:p>
            <w:pPr>
              <w:pStyle w:val="136"/>
            </w:pPr>
            <w:r>
              <w:t>长</w:t>
            </w:r>
          </w:p>
        </w:tc>
        <w:tc>
          <w:tcPr>
            <w:tcW w:w="334" w:type="pct"/>
            <w:vAlign w:val="center"/>
          </w:tcPr>
          <w:p>
            <w:pPr>
              <w:pStyle w:val="136"/>
            </w:pPr>
            <w:r>
              <w:t>宽</w:t>
            </w:r>
          </w:p>
        </w:tc>
        <w:tc>
          <w:tcPr>
            <w:tcW w:w="298" w:type="pct"/>
            <w:vAlign w:val="center"/>
          </w:tcPr>
          <w:p>
            <w:pPr>
              <w:pStyle w:val="136"/>
            </w:pPr>
            <w:r>
              <w:t>高</w:t>
            </w:r>
          </w:p>
        </w:tc>
        <w:tc>
          <w:tcPr>
            <w:tcW w:w="785" w:type="pct"/>
            <w:vAlign w:val="center"/>
          </w:tcPr>
          <w:p>
            <w:pPr>
              <w:pStyle w:val="136"/>
            </w:pPr>
            <w:r>
              <w:t>土石方开挖（m³）</w:t>
            </w:r>
          </w:p>
        </w:tc>
        <w:tc>
          <w:tcPr>
            <w:tcW w:w="917" w:type="pct"/>
            <w:vAlign w:val="center"/>
          </w:tcPr>
          <w:p>
            <w:pPr>
              <w:pStyle w:val="136"/>
            </w:pPr>
            <w:r>
              <w:t>C25混凝土衬砌（m³）</w:t>
            </w:r>
          </w:p>
        </w:tc>
        <w:tc>
          <w:tcPr>
            <w:tcW w:w="758" w:type="pct"/>
            <w:vAlign w:val="center"/>
          </w:tcPr>
          <w:p>
            <w:pPr>
              <w:pStyle w:val="136"/>
            </w:pPr>
            <w:r>
              <w:t>建筑面积（m</w:t>
            </w:r>
            <w:r>
              <w:rPr>
                <w:vertAlign w:val="superscript"/>
              </w:rPr>
              <w:t>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Align w:val="center"/>
          </w:tcPr>
          <w:p>
            <w:pPr>
              <w:pStyle w:val="136"/>
            </w:pPr>
            <w:r>
              <w:t>导流放水隧洞进口</w:t>
            </w:r>
          </w:p>
        </w:tc>
        <w:tc>
          <w:tcPr>
            <w:tcW w:w="805" w:type="pct"/>
            <w:vAlign w:val="center"/>
          </w:tcPr>
          <w:p>
            <w:pPr>
              <w:pStyle w:val="136"/>
            </w:pPr>
            <w:r>
              <w:t>20×5</w:t>
            </w:r>
          </w:p>
        </w:tc>
        <w:tc>
          <w:tcPr>
            <w:tcW w:w="377" w:type="pct"/>
            <w:vAlign w:val="center"/>
          </w:tcPr>
          <w:p>
            <w:pPr>
              <w:pStyle w:val="136"/>
            </w:pPr>
            <w:r>
              <w:t>10</w:t>
            </w:r>
          </w:p>
        </w:tc>
        <w:tc>
          <w:tcPr>
            <w:tcW w:w="334" w:type="pct"/>
            <w:vAlign w:val="center"/>
          </w:tcPr>
          <w:p>
            <w:pPr>
              <w:pStyle w:val="136"/>
            </w:pPr>
            <w:r>
              <w:t>6</w:t>
            </w:r>
          </w:p>
        </w:tc>
        <w:tc>
          <w:tcPr>
            <w:tcW w:w="298" w:type="pct"/>
            <w:vAlign w:val="center"/>
          </w:tcPr>
          <w:p>
            <w:pPr>
              <w:pStyle w:val="136"/>
            </w:pPr>
            <w:r>
              <w:t>2</w:t>
            </w:r>
          </w:p>
        </w:tc>
        <w:tc>
          <w:tcPr>
            <w:tcW w:w="785" w:type="pct"/>
            <w:vAlign w:val="center"/>
          </w:tcPr>
          <w:p>
            <w:pPr>
              <w:pStyle w:val="136"/>
            </w:pPr>
            <w:r>
              <w:t>161</w:t>
            </w:r>
          </w:p>
        </w:tc>
        <w:tc>
          <w:tcPr>
            <w:tcW w:w="917" w:type="pct"/>
            <w:vAlign w:val="center"/>
          </w:tcPr>
          <w:p>
            <w:pPr>
              <w:pStyle w:val="136"/>
            </w:pPr>
            <w:r>
              <w:t>10</w:t>
            </w:r>
          </w:p>
        </w:tc>
        <w:tc>
          <w:tcPr>
            <w:tcW w:w="758" w:type="pct"/>
            <w:vAlign w:val="center"/>
          </w:tcPr>
          <w:p>
            <w:pPr>
              <w:pStyle w:val="136"/>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Align w:val="center"/>
          </w:tcPr>
          <w:p>
            <w:pPr>
              <w:pStyle w:val="136"/>
            </w:pPr>
            <w:r>
              <w:t>导流放水隧洞出口</w:t>
            </w:r>
          </w:p>
        </w:tc>
        <w:tc>
          <w:tcPr>
            <w:tcW w:w="805" w:type="pct"/>
            <w:vAlign w:val="center"/>
          </w:tcPr>
          <w:p>
            <w:pPr>
              <w:pStyle w:val="136"/>
            </w:pPr>
            <w:r>
              <w:t>15×5</w:t>
            </w:r>
          </w:p>
        </w:tc>
        <w:tc>
          <w:tcPr>
            <w:tcW w:w="377" w:type="pct"/>
            <w:vAlign w:val="center"/>
          </w:tcPr>
          <w:p>
            <w:pPr>
              <w:pStyle w:val="136"/>
            </w:pPr>
            <w:r>
              <w:t>8</w:t>
            </w:r>
          </w:p>
        </w:tc>
        <w:tc>
          <w:tcPr>
            <w:tcW w:w="334" w:type="pct"/>
            <w:vAlign w:val="center"/>
          </w:tcPr>
          <w:p>
            <w:pPr>
              <w:pStyle w:val="136"/>
            </w:pPr>
            <w:r>
              <w:t>5.5</w:t>
            </w:r>
          </w:p>
        </w:tc>
        <w:tc>
          <w:tcPr>
            <w:tcW w:w="298" w:type="pct"/>
            <w:vAlign w:val="center"/>
          </w:tcPr>
          <w:p>
            <w:pPr>
              <w:pStyle w:val="136"/>
            </w:pPr>
            <w:r>
              <w:t>2</w:t>
            </w:r>
          </w:p>
        </w:tc>
        <w:tc>
          <w:tcPr>
            <w:tcW w:w="785" w:type="pct"/>
            <w:vAlign w:val="center"/>
          </w:tcPr>
          <w:p>
            <w:pPr>
              <w:pStyle w:val="136"/>
            </w:pPr>
            <w:r>
              <w:t>121</w:t>
            </w:r>
          </w:p>
        </w:tc>
        <w:tc>
          <w:tcPr>
            <w:tcW w:w="917" w:type="pct"/>
            <w:vAlign w:val="center"/>
          </w:tcPr>
          <w:p>
            <w:pPr>
              <w:pStyle w:val="136"/>
            </w:pPr>
            <w:r>
              <w:t>9</w:t>
            </w:r>
          </w:p>
        </w:tc>
        <w:tc>
          <w:tcPr>
            <w:tcW w:w="758" w:type="pct"/>
            <w:vAlign w:val="center"/>
          </w:tcPr>
          <w:p>
            <w:pPr>
              <w:pStyle w:val="136"/>
            </w:pPr>
            <w: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Align w:val="center"/>
          </w:tcPr>
          <w:p>
            <w:pPr>
              <w:pStyle w:val="136"/>
            </w:pPr>
            <w:r>
              <w:t>合计</w:t>
            </w:r>
          </w:p>
        </w:tc>
        <w:tc>
          <w:tcPr>
            <w:tcW w:w="805" w:type="pct"/>
            <w:vAlign w:val="center"/>
          </w:tcPr>
          <w:p>
            <w:pPr>
              <w:pStyle w:val="136"/>
            </w:pPr>
            <w:r>
              <w:t>175</w:t>
            </w:r>
          </w:p>
        </w:tc>
        <w:tc>
          <w:tcPr>
            <w:tcW w:w="377" w:type="pct"/>
            <w:vAlign w:val="center"/>
          </w:tcPr>
          <w:p>
            <w:pPr>
              <w:pStyle w:val="136"/>
            </w:pPr>
          </w:p>
        </w:tc>
        <w:tc>
          <w:tcPr>
            <w:tcW w:w="334" w:type="pct"/>
            <w:vAlign w:val="center"/>
          </w:tcPr>
          <w:p>
            <w:pPr>
              <w:pStyle w:val="136"/>
            </w:pPr>
          </w:p>
        </w:tc>
        <w:tc>
          <w:tcPr>
            <w:tcW w:w="298" w:type="pct"/>
            <w:vAlign w:val="center"/>
          </w:tcPr>
          <w:p>
            <w:pPr>
              <w:pStyle w:val="136"/>
            </w:pPr>
          </w:p>
        </w:tc>
        <w:tc>
          <w:tcPr>
            <w:tcW w:w="785" w:type="pct"/>
            <w:vAlign w:val="center"/>
          </w:tcPr>
          <w:p>
            <w:pPr>
              <w:pStyle w:val="136"/>
            </w:pPr>
            <w:r>
              <w:t>282</w:t>
            </w:r>
          </w:p>
        </w:tc>
        <w:tc>
          <w:tcPr>
            <w:tcW w:w="917" w:type="pct"/>
            <w:vAlign w:val="center"/>
          </w:tcPr>
          <w:p>
            <w:pPr>
              <w:pStyle w:val="136"/>
            </w:pPr>
            <w:r>
              <w:t>19</w:t>
            </w:r>
          </w:p>
        </w:tc>
        <w:tc>
          <w:tcPr>
            <w:tcW w:w="758" w:type="pct"/>
            <w:vAlign w:val="center"/>
          </w:tcPr>
          <w:p>
            <w:pPr>
              <w:pStyle w:val="136"/>
            </w:pPr>
            <w:r>
              <w:t>122</w:t>
            </w:r>
          </w:p>
        </w:tc>
      </w:tr>
    </w:tbl>
    <w:p>
      <w:pPr>
        <w:pStyle w:val="113"/>
        <w:ind w:firstLine="180"/>
      </w:pPr>
      <w:r>
        <w:t>注：水池超高0.3m。</w:t>
      </w:r>
    </w:p>
    <w:p>
      <w:pPr>
        <w:ind w:firstLine="480"/>
        <w:rPr>
          <w:rFonts w:cs="Times New Roman"/>
        </w:rPr>
      </w:pPr>
    </w:p>
    <w:p>
      <w:pPr>
        <w:ind w:firstLine="480"/>
        <w:rPr>
          <w:rFonts w:cs="Times New Roman"/>
        </w:rPr>
      </w:pPr>
      <w:r>
        <w:rPr>
          <w:rFonts w:cs="Times New Roman"/>
        </w:rPr>
        <w:t>E．运行管理与维护</w:t>
      </w:r>
    </w:p>
    <w:p>
      <w:pPr>
        <w:ind w:firstLine="480"/>
        <w:rPr>
          <w:rFonts w:cs="Times New Roman"/>
        </w:rPr>
      </w:pPr>
      <w:r>
        <w:rPr>
          <w:rFonts w:cs="Times New Roman"/>
        </w:rPr>
        <w:t>隧洞施工废水处理设施简单，在运行的过程中主要注意定时清理沉淀池中的泥沙即可。隧洞施工废水处理设施的管理和维护工作由隧洞施工人员执行，不另设机构人员。</w:t>
      </w:r>
    </w:p>
    <w:p>
      <w:pPr>
        <w:ind w:firstLine="480"/>
        <w:rPr>
          <w:rFonts w:cs="Times New Roman"/>
        </w:rPr>
      </w:pPr>
      <w:r>
        <w:rPr>
          <w:rFonts w:cs="Times New Roman"/>
        </w:rPr>
        <w:t>此外，隧洞施工过程中一旦出现较多地下水涌出，及时堵断，并要求该部分水用于施工场地的洒水降尘或周边草场灌溉，避免以任何形式排入河道。</w:t>
      </w:r>
    </w:p>
    <w:p>
      <w:pPr>
        <w:ind w:firstLine="480"/>
        <w:rPr>
          <w:rFonts w:cs="Times New Roman"/>
        </w:rPr>
      </w:pPr>
      <w:r>
        <w:rPr>
          <w:rFonts w:cs="Times New Roman"/>
        </w:rPr>
        <w:t>（2）炸药残留物</w:t>
      </w:r>
    </w:p>
    <w:p>
      <w:pPr>
        <w:ind w:firstLine="480"/>
        <w:rPr>
          <w:rFonts w:cs="Times New Roman"/>
        </w:rPr>
      </w:pPr>
      <w:r>
        <w:rPr>
          <w:rFonts w:cs="Times New Roman"/>
        </w:rPr>
        <w:t>工程爆破施工要求使用安全、环保、高效的乳化炸药替代传统的硝基炸药。</w:t>
      </w:r>
    </w:p>
    <w:p>
      <w:pPr>
        <w:ind w:firstLine="480"/>
        <w:rPr>
          <w:rFonts w:cs="Times New Roman"/>
        </w:rPr>
      </w:pPr>
      <w:r>
        <w:rPr>
          <w:rFonts w:cs="Times New Roman"/>
        </w:rPr>
        <w:t>乳化炸药主要含无机氧化剂70%～85%、水分9%～13%、碳氢燃料3%～6%、乳化剂0.4%～1.5%和密度调节剂0.1%～5%，其中无机氧化剂由硝酸铵75%～90%、硝酸钠10%～25%、硝酸钙0%～10%、尿素0%～5%和高氯酸盐0%～5%组成。其爆破残留物主要为无机硝酸盐类，对人体水体没有危害，可大大降低导流放水隧洞等开挖石方爆破施工人员健康的不利影响。</w:t>
      </w:r>
    </w:p>
    <w:p>
      <w:pPr>
        <w:pStyle w:val="62"/>
        <w:rPr>
          <w:rFonts w:cs="Times New Roman"/>
        </w:rPr>
      </w:pPr>
      <w:r>
        <w:rPr>
          <w:rFonts w:cs="Times New Roman"/>
        </w:rPr>
        <w:t>6.3.1.6 生活污水</w:t>
      </w:r>
    </w:p>
    <w:p>
      <w:pPr>
        <w:ind w:firstLine="480"/>
        <w:rPr>
          <w:rFonts w:cs="Times New Roman"/>
        </w:rPr>
      </w:pPr>
      <w:r>
        <w:rPr>
          <w:rFonts w:cs="Times New Roman"/>
        </w:rPr>
        <w:t>施工期生活污水主要产生于临时生活区，其它场区生活污水基本属散排，排量很小，经蒸发消耗，随施工结束影响源消失。</w:t>
      </w:r>
    </w:p>
    <w:p>
      <w:pPr>
        <w:ind w:firstLine="480"/>
        <w:rPr>
          <w:rFonts w:cs="Times New Roman"/>
        </w:rPr>
      </w:pPr>
      <w:r>
        <w:rPr>
          <w:rFonts w:cs="Times New Roman"/>
        </w:rPr>
        <w:t>（1）生活污水排放情况</w:t>
      </w:r>
    </w:p>
    <w:p>
      <w:pPr>
        <w:ind w:firstLine="480"/>
        <w:rPr>
          <w:rFonts w:cs="Times New Roman"/>
        </w:rPr>
      </w:pPr>
      <w:r>
        <w:rPr>
          <w:rFonts w:cs="Times New Roman"/>
        </w:rPr>
        <w:t>工程共设一处临时生活区，工程施工高峰期人数约为310人，生活污水排放量为21.08m</w:t>
      </w:r>
      <w:r>
        <w:rPr>
          <w:rFonts w:cs="Times New Roman"/>
          <w:vertAlign w:val="superscript"/>
        </w:rPr>
        <w:t>3</w:t>
      </w:r>
      <w:r>
        <w:rPr>
          <w:rFonts w:cs="Times New Roman"/>
        </w:rPr>
        <w:t>/d，主要污染指标为BOD</w:t>
      </w:r>
      <w:r>
        <w:rPr>
          <w:rFonts w:cs="Times New Roman"/>
          <w:vertAlign w:val="subscript"/>
        </w:rPr>
        <w:t>5</w:t>
      </w:r>
      <w:r>
        <w:rPr>
          <w:rFonts w:cs="Times New Roman"/>
        </w:rPr>
        <w:t>、COD</w:t>
      </w:r>
      <w:r>
        <w:rPr>
          <w:rFonts w:cs="Times New Roman"/>
          <w:vertAlign w:val="subscript"/>
        </w:rPr>
        <w:t>Cr</w:t>
      </w:r>
      <w:r>
        <w:rPr>
          <w:rFonts w:cs="Times New Roman"/>
        </w:rPr>
        <w:t>、粪大肠杆菌等，其中BOD</w:t>
      </w:r>
      <w:r>
        <w:rPr>
          <w:rFonts w:cs="Times New Roman"/>
          <w:vertAlign w:val="subscript"/>
        </w:rPr>
        <w:t>5</w:t>
      </w:r>
      <w:r>
        <w:rPr>
          <w:rFonts w:cs="Times New Roman"/>
        </w:rPr>
        <w:t>浓度为200mg/L、COD</w:t>
      </w:r>
      <w:r>
        <w:rPr>
          <w:rFonts w:cs="Times New Roman"/>
          <w:vertAlign w:val="subscript"/>
        </w:rPr>
        <w:t>Cr</w:t>
      </w:r>
      <w:r>
        <w:rPr>
          <w:rFonts w:cs="Times New Roman"/>
        </w:rPr>
        <w:t>为400mg/L。</w:t>
      </w:r>
    </w:p>
    <w:p>
      <w:pPr>
        <w:ind w:firstLine="480"/>
        <w:rPr>
          <w:rFonts w:cs="Times New Roman"/>
        </w:rPr>
      </w:pPr>
      <w:r>
        <w:rPr>
          <w:rFonts w:cs="Times New Roman"/>
        </w:rPr>
        <w:t>（2）处理目标</w:t>
      </w:r>
    </w:p>
    <w:p>
      <w:pPr>
        <w:ind w:firstLine="480"/>
        <w:rPr>
          <w:rFonts w:cs="Times New Roman"/>
        </w:rPr>
      </w:pPr>
      <w:r>
        <w:rPr>
          <w:rFonts w:cs="Times New Roman"/>
        </w:rPr>
        <w:t>施工期生活污水处理后的水质参照新疆《农村生活污水处理排放标准》（DB654275-2019）中用于生态恢复治理的出水水质控制B级标准，出水用于荒漠草场灌溉，冬储夏灌。</w:t>
      </w:r>
    </w:p>
    <w:p>
      <w:pPr>
        <w:ind w:firstLine="480"/>
        <w:rPr>
          <w:rFonts w:cs="Times New Roman"/>
        </w:rPr>
      </w:pPr>
      <w:r>
        <w:rPr>
          <w:rFonts w:cs="Times New Roman"/>
        </w:rPr>
        <w:t>（3）处理工艺及设计参数</w:t>
      </w:r>
    </w:p>
    <w:p>
      <w:pPr>
        <w:ind w:firstLine="480"/>
        <w:rPr>
          <w:rFonts w:cs="Times New Roman"/>
        </w:rPr>
      </w:pPr>
      <w:r>
        <w:rPr>
          <w:rFonts w:cs="Times New Roman"/>
        </w:rPr>
        <w:t>本工程布设1处生活管理区，考虑生活营地位于代尔昆代郭勒河左岸III级阶地上，且涉及代尔昆代郭勒河段为II类水体，施工生活区推荐采用一体化成套污水处理设备。</w:t>
      </w:r>
    </w:p>
    <w:p>
      <w:pPr>
        <w:ind w:firstLine="480"/>
        <w:rPr>
          <w:rFonts w:cs="Times New Roman"/>
        </w:rPr>
      </w:pPr>
      <w:r>
        <w:rPr>
          <w:rFonts w:cs="Times New Roman"/>
        </w:rPr>
        <w:t>处理方案</w:t>
      </w:r>
    </w:p>
    <w:p>
      <w:pPr>
        <w:ind w:firstLine="480"/>
        <w:rPr>
          <w:rFonts w:cs="Times New Roman"/>
        </w:rPr>
      </w:pPr>
      <w:r>
        <w:rPr>
          <w:rFonts w:cs="Times New Roman"/>
        </w:rPr>
        <w:t>推荐采用一体化成套污水处理设备。</w:t>
      </w:r>
    </w:p>
    <w:p>
      <w:pPr>
        <w:ind w:firstLine="480"/>
        <w:rPr>
          <w:rFonts w:cs="Times New Roman"/>
        </w:rPr>
      </w:pPr>
      <w:r>
        <w:rPr>
          <w:rFonts w:cs="Times New Roman"/>
        </w:rPr>
        <w:t>处理工艺初步设计</w:t>
      </w:r>
    </w:p>
    <w:p>
      <w:pPr>
        <w:ind w:firstLine="480"/>
        <w:rPr>
          <w:rFonts w:cs="Times New Roman"/>
        </w:rPr>
      </w:pPr>
      <w:r>
        <w:rPr>
          <w:rFonts w:cs="Times New Roman"/>
        </w:rPr>
        <w:t>污水首先进入调节池进行水量和水质调节，调节池停留时间为4～8h，然后通过提升泵提升进入一元化污水处理装置，装置出水即可排放。工艺流程详见图6.3-9、6.3-10。</w:t>
      </w:r>
    </w:p>
    <w:p>
      <w:pPr>
        <w:ind w:firstLine="480"/>
        <w:jc w:val="center"/>
        <w:rPr>
          <w:rFonts w:cs="Times New Roman"/>
        </w:rPr>
      </w:pPr>
      <w:r>
        <w:rPr>
          <w:rFonts w:cs="Times New Roman"/>
        </w:rPr>
        <w:drawing>
          <wp:inline distT="0" distB="0" distL="0" distR="0">
            <wp:extent cx="4859655" cy="5949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60000" cy="595058"/>
                    </a:xfrm>
                    <a:prstGeom prst="rect">
                      <a:avLst/>
                    </a:prstGeom>
                  </pic:spPr>
                </pic:pic>
              </a:graphicData>
            </a:graphic>
          </wp:inline>
        </w:drawing>
      </w:r>
    </w:p>
    <w:p>
      <w:pPr>
        <w:pStyle w:val="147"/>
      </w:pPr>
      <w:r>
        <w:t>图6.3-9  施工生活区生活污水处理工艺流程</w:t>
      </w:r>
    </w:p>
    <w:p>
      <w:pPr>
        <w:pStyle w:val="147"/>
      </w:pPr>
    </w:p>
    <w:p>
      <w:pPr>
        <w:ind w:firstLine="480"/>
        <w:jc w:val="center"/>
        <w:rPr>
          <w:rFonts w:cs="Times New Roman"/>
        </w:rPr>
      </w:pPr>
      <w:r>
        <w:rPr>
          <w:rFonts w:cs="Times New Roman"/>
        </w:rPr>
        <w:drawing>
          <wp:inline distT="0" distB="0" distL="0" distR="0">
            <wp:extent cx="4859655" cy="19272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60000" cy="1927297"/>
                    </a:xfrm>
                    <a:prstGeom prst="rect">
                      <a:avLst/>
                    </a:prstGeom>
                  </pic:spPr>
                </pic:pic>
              </a:graphicData>
            </a:graphic>
          </wp:inline>
        </w:drawing>
      </w:r>
    </w:p>
    <w:p>
      <w:pPr>
        <w:pStyle w:val="147"/>
      </w:pPr>
      <w:r>
        <w:t>图6.3-10  一体化污水处理装置工艺流程图</w:t>
      </w:r>
    </w:p>
    <w:p>
      <w:pPr>
        <w:ind w:firstLine="480"/>
        <w:rPr>
          <w:rFonts w:cs="Times New Roman"/>
          <w:bCs/>
        </w:rPr>
      </w:pPr>
    </w:p>
    <w:p>
      <w:pPr>
        <w:ind w:firstLine="480"/>
        <w:rPr>
          <w:rFonts w:cs="Times New Roman"/>
        </w:rPr>
      </w:pPr>
      <w:r>
        <w:rPr>
          <w:rFonts w:hint="eastAsia" w:ascii="宋体" w:hAnsi="宋体" w:cs="宋体"/>
        </w:rPr>
        <w:t>②</w:t>
      </w:r>
      <w:r>
        <w:rPr>
          <w:rFonts w:cs="Times New Roman"/>
        </w:rPr>
        <w:t>处理工艺初步设计及工程量</w:t>
      </w:r>
    </w:p>
    <w:p>
      <w:pPr>
        <w:ind w:firstLine="480"/>
        <w:rPr>
          <w:rFonts w:cs="Times New Roman"/>
        </w:rPr>
      </w:pPr>
      <w:r>
        <w:rPr>
          <w:rFonts w:cs="Times New Roman"/>
        </w:rPr>
        <w:t>A.工艺参数</w:t>
      </w:r>
    </w:p>
    <w:p>
      <w:pPr>
        <w:ind w:firstLine="480"/>
        <w:rPr>
          <w:rFonts w:cs="Times New Roman"/>
        </w:rPr>
      </w:pPr>
      <w:r>
        <w:rPr>
          <w:rFonts w:cs="Times New Roman"/>
        </w:rPr>
        <w:t>主要技术参数如下：</w:t>
      </w:r>
    </w:p>
    <w:p>
      <w:pPr>
        <w:ind w:firstLine="480"/>
        <w:rPr>
          <w:rFonts w:cs="Times New Roman"/>
        </w:rPr>
      </w:pPr>
      <w:r>
        <w:rPr>
          <w:rFonts w:cs="Times New Roman"/>
        </w:rPr>
        <w:t>初沉池：采用竖流式沉淀池，污水流速为0.5～0.8mm/s。污泥利用空气提至污泥池。污水停留时间2.5～6h。</w:t>
      </w:r>
    </w:p>
    <w:p>
      <w:pPr>
        <w:ind w:firstLine="480"/>
        <w:rPr>
          <w:rFonts w:cs="Times New Roman"/>
        </w:rPr>
      </w:pPr>
      <w:r>
        <w:rPr>
          <w:rFonts w:cs="Times New Roman"/>
        </w:rPr>
        <w:t>接触氧化池：分为三级，总停留时间为4.5～6h，曝气系统采用微孔曝气器，水气比为1:15～20。</w:t>
      </w:r>
    </w:p>
    <w:p>
      <w:pPr>
        <w:ind w:firstLine="480"/>
        <w:rPr>
          <w:rFonts w:cs="Times New Roman"/>
        </w:rPr>
      </w:pPr>
      <w:r>
        <w:rPr>
          <w:rFonts w:cs="Times New Roman"/>
        </w:rPr>
        <w:t>二沉池：为斜板沉淀池，总停留时间1～2h。</w:t>
      </w:r>
    </w:p>
    <w:p>
      <w:pPr>
        <w:ind w:firstLine="480"/>
        <w:rPr>
          <w:rFonts w:cs="Times New Roman"/>
        </w:rPr>
      </w:pPr>
      <w:r>
        <w:rPr>
          <w:rFonts w:cs="Times New Roman"/>
        </w:rPr>
        <w:t>消毒池：接触时间为30min，采用固体氯片消毒。</w:t>
      </w:r>
    </w:p>
    <w:p>
      <w:pPr>
        <w:ind w:firstLine="480"/>
        <w:rPr>
          <w:rFonts w:cs="Times New Roman"/>
        </w:rPr>
      </w:pPr>
      <w:r>
        <w:rPr>
          <w:rFonts w:cs="Times New Roman"/>
        </w:rPr>
        <w:t>污泥池：初沉池和二沉池所有污泥均排至污泥池进行好氧消化，上清液回流到接触氧化池，因剩余污泥量很少，一般运行9～15月清理一次。</w:t>
      </w:r>
    </w:p>
    <w:p>
      <w:pPr>
        <w:ind w:firstLine="480"/>
        <w:rPr>
          <w:rFonts w:cs="Times New Roman"/>
        </w:rPr>
      </w:pPr>
      <w:r>
        <w:rPr>
          <w:rFonts w:cs="Times New Roman"/>
        </w:rPr>
        <w:t>考虑设备运行温度要求和方便检修，在地面修建砖混结构暖房，</w:t>
      </w:r>
      <w:r>
        <w:rPr>
          <w:rFonts w:hint="eastAsia" w:cs="Times New Roman"/>
          <w:lang w:eastAsia="zh-CN"/>
        </w:rPr>
        <w:t>将</w:t>
      </w:r>
      <w:r>
        <w:rPr>
          <w:rFonts w:cs="Times New Roman"/>
        </w:rPr>
        <w:t>成套处理装置安置其中。</w:t>
      </w:r>
    </w:p>
    <w:p>
      <w:pPr>
        <w:ind w:firstLine="480"/>
        <w:rPr>
          <w:rFonts w:cs="Times New Roman"/>
        </w:rPr>
      </w:pPr>
      <w:r>
        <w:rPr>
          <w:rFonts w:cs="Times New Roman"/>
        </w:rPr>
        <w:t>B.主要构筑物</w:t>
      </w:r>
    </w:p>
    <w:p>
      <w:pPr>
        <w:ind w:firstLine="480"/>
        <w:rPr>
          <w:rFonts w:cs="Times New Roman"/>
        </w:rPr>
      </w:pPr>
      <w:r>
        <w:rPr>
          <w:rFonts w:cs="Times New Roman"/>
        </w:rPr>
        <w:t>a.化粪池</w:t>
      </w:r>
    </w:p>
    <w:p>
      <w:pPr>
        <w:ind w:firstLine="480"/>
        <w:rPr>
          <w:rFonts w:cs="Times New Roman"/>
        </w:rPr>
      </w:pPr>
      <w:r>
        <w:rPr>
          <w:rFonts w:cs="Times New Roman"/>
        </w:rPr>
        <w:t>根据处理要求，修建容积为60m</w:t>
      </w:r>
      <w:r>
        <w:rPr>
          <w:rFonts w:cs="Times New Roman"/>
          <w:vertAlign w:val="superscript"/>
        </w:rPr>
        <w:t>3</w:t>
      </w:r>
      <w:r>
        <w:rPr>
          <w:rFonts w:cs="Times New Roman"/>
        </w:rPr>
        <w:t>化粪池一座，格栅井和调节池各一座，安装水泵</w:t>
      </w:r>
      <w:r>
        <w:rPr>
          <w:rFonts w:hint="eastAsia" w:cs="Times New Roman"/>
          <w:lang w:eastAsia="zh-CN"/>
        </w:rPr>
        <w:t>将</w:t>
      </w:r>
      <w:r>
        <w:rPr>
          <w:rFonts w:cs="Times New Roman"/>
        </w:rPr>
        <w:t>污水抽至地面成套污水处理设备处理。化粪池</w:t>
      </w:r>
      <w:r>
        <w:rPr>
          <w:rFonts w:hint="eastAsia" w:cs="Times New Roman"/>
          <w:lang w:eastAsia="zh-CN"/>
        </w:rPr>
        <w:t>底部和四周</w:t>
      </w:r>
      <w:r>
        <w:rPr>
          <w:rFonts w:cs="Times New Roman"/>
        </w:rPr>
        <w:t>砌筑20cm厚的C25混凝土，底部铺设10</w:t>
      </w:r>
      <w:r>
        <w:rPr>
          <w:rFonts w:hint="eastAsia" w:cs="Times New Roman"/>
          <w:lang w:eastAsia="zh-CN"/>
        </w:rPr>
        <w:t>cm厚砂砾</w:t>
      </w:r>
      <w:r>
        <w:rPr>
          <w:rFonts w:cs="Times New Roman"/>
        </w:rPr>
        <w:t>石垫层。每座化粪池配备1台潜污泵，用于抽取处理后的污水。化粪池的典型设计图见图6.3-11，主要工程量见表6.3-10。</w:t>
      </w:r>
    </w:p>
    <w:p>
      <w:pPr>
        <w:ind w:firstLine="480"/>
        <w:jc w:val="center"/>
        <w:rPr>
          <w:rFonts w:cs="Times New Roman"/>
          <w:bCs/>
        </w:rPr>
      </w:pPr>
      <w:r>
        <w:rPr>
          <w:rFonts w:cs="Times New Roman"/>
          <w:bCs/>
        </w:rPr>
        <w:drawing>
          <wp:inline distT="0" distB="0" distL="0" distR="0">
            <wp:extent cx="5579745" cy="2677795"/>
            <wp:effectExtent l="0" t="0" r="190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7" cstate="print">
                      <a:extLst>
                        <a:ext uri="{28A0092B-C50C-407E-A947-70E740481C1C}">
                          <a14:useLocalDpi xmlns:a14="http://schemas.microsoft.com/office/drawing/2010/main" val="0"/>
                        </a:ext>
                      </a:extLst>
                    </a:blip>
                    <a:srcRect t="19935" b="20072"/>
                    <a:stretch>
                      <a:fillRect/>
                    </a:stretch>
                  </pic:blipFill>
                  <pic:spPr>
                    <a:xfrm>
                      <a:off x="0" y="0"/>
                      <a:ext cx="5580380" cy="2678157"/>
                    </a:xfrm>
                    <a:prstGeom prst="rect">
                      <a:avLst/>
                    </a:prstGeom>
                    <a:ln>
                      <a:noFill/>
                    </a:ln>
                  </pic:spPr>
                </pic:pic>
              </a:graphicData>
            </a:graphic>
          </wp:inline>
        </w:drawing>
      </w:r>
    </w:p>
    <w:p>
      <w:pPr>
        <w:pStyle w:val="147"/>
      </w:pPr>
      <w:r>
        <w:t>图6.3-11  化粪池典型设计图</w:t>
      </w:r>
    </w:p>
    <w:p>
      <w:pPr>
        <w:ind w:firstLine="480"/>
        <w:rPr>
          <w:rFonts w:cs="Times New Roman"/>
          <w:bCs/>
        </w:rPr>
      </w:pPr>
    </w:p>
    <w:p>
      <w:pPr>
        <w:pStyle w:val="137"/>
        <w:spacing w:before="62"/>
      </w:pPr>
      <w:r>
        <w:t>表6.3-10    施工营地生活污水临时处理措施工程量表一览表（化粪池）</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1965"/>
        <w:gridCol w:w="1756"/>
        <w:gridCol w:w="1336"/>
        <w:gridCol w:w="1337"/>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restart"/>
            <w:vAlign w:val="center"/>
          </w:tcPr>
          <w:p>
            <w:pPr>
              <w:pStyle w:val="136"/>
            </w:pPr>
            <w:r>
              <w:t>主要设备</w:t>
            </w:r>
          </w:p>
        </w:tc>
        <w:tc>
          <w:tcPr>
            <w:tcW w:w="1091" w:type="pct"/>
            <w:vMerge w:val="restart"/>
            <w:vAlign w:val="center"/>
          </w:tcPr>
          <w:p>
            <w:pPr>
              <w:pStyle w:val="136"/>
            </w:pPr>
            <w:r>
              <w:t>化粪池</w:t>
            </w:r>
          </w:p>
        </w:tc>
        <w:tc>
          <w:tcPr>
            <w:tcW w:w="2459" w:type="pct"/>
            <w:gridSpan w:val="3"/>
            <w:vAlign w:val="center"/>
          </w:tcPr>
          <w:p>
            <w:pPr>
              <w:pStyle w:val="136"/>
            </w:pPr>
            <w:r>
              <w:t>尺寸（m）</w:t>
            </w:r>
          </w:p>
        </w:tc>
        <w:tc>
          <w:tcPr>
            <w:tcW w:w="742" w:type="pct"/>
            <w:vMerge w:val="restart"/>
            <w:vAlign w:val="center"/>
          </w:tcPr>
          <w:p>
            <w:pPr>
              <w:pStyle w:val="136"/>
            </w:pPr>
            <w:r>
              <w:t>容积（m³）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pPr>
              <w:pStyle w:val="136"/>
            </w:pPr>
          </w:p>
        </w:tc>
        <w:tc>
          <w:tcPr>
            <w:tcW w:w="1091" w:type="pct"/>
            <w:vMerge w:val="continue"/>
            <w:vAlign w:val="center"/>
          </w:tcPr>
          <w:p>
            <w:pPr>
              <w:pStyle w:val="136"/>
            </w:pPr>
          </w:p>
        </w:tc>
        <w:tc>
          <w:tcPr>
            <w:tcW w:w="975" w:type="pct"/>
            <w:vAlign w:val="center"/>
          </w:tcPr>
          <w:p>
            <w:pPr>
              <w:pStyle w:val="136"/>
            </w:pPr>
            <w:r>
              <w:t>长</w:t>
            </w:r>
          </w:p>
        </w:tc>
        <w:tc>
          <w:tcPr>
            <w:tcW w:w="742" w:type="pct"/>
            <w:vAlign w:val="center"/>
          </w:tcPr>
          <w:p>
            <w:pPr>
              <w:pStyle w:val="136"/>
            </w:pPr>
            <w:r>
              <w:t>宽</w:t>
            </w:r>
          </w:p>
        </w:tc>
        <w:tc>
          <w:tcPr>
            <w:tcW w:w="742" w:type="pct"/>
            <w:vAlign w:val="center"/>
          </w:tcPr>
          <w:p>
            <w:pPr>
              <w:pStyle w:val="136"/>
            </w:pPr>
            <w:r>
              <w:t>高</w:t>
            </w:r>
          </w:p>
        </w:tc>
        <w:tc>
          <w:tcPr>
            <w:tcW w:w="742" w:type="pct"/>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pPr>
              <w:pStyle w:val="136"/>
            </w:pPr>
          </w:p>
        </w:tc>
        <w:tc>
          <w:tcPr>
            <w:tcW w:w="1091" w:type="pct"/>
            <w:vMerge w:val="continue"/>
            <w:vAlign w:val="center"/>
          </w:tcPr>
          <w:p>
            <w:pPr>
              <w:pStyle w:val="136"/>
            </w:pPr>
          </w:p>
        </w:tc>
        <w:tc>
          <w:tcPr>
            <w:tcW w:w="975" w:type="pct"/>
            <w:vAlign w:val="center"/>
          </w:tcPr>
          <w:p>
            <w:pPr>
              <w:pStyle w:val="136"/>
            </w:pPr>
            <w:r>
              <w:t>10</w:t>
            </w:r>
          </w:p>
        </w:tc>
        <w:tc>
          <w:tcPr>
            <w:tcW w:w="742" w:type="pct"/>
            <w:vAlign w:val="center"/>
          </w:tcPr>
          <w:p>
            <w:pPr>
              <w:pStyle w:val="136"/>
            </w:pPr>
            <w:r>
              <w:t>2.83</w:t>
            </w:r>
          </w:p>
        </w:tc>
        <w:tc>
          <w:tcPr>
            <w:tcW w:w="742" w:type="pct"/>
            <w:vAlign w:val="center"/>
          </w:tcPr>
          <w:p>
            <w:pPr>
              <w:pStyle w:val="136"/>
            </w:pPr>
            <w:r>
              <w:t>2.8</w:t>
            </w:r>
          </w:p>
        </w:tc>
        <w:tc>
          <w:tcPr>
            <w:tcW w:w="742" w:type="pct"/>
            <w:vAlign w:val="center"/>
          </w:tcPr>
          <w:p>
            <w:pPr>
              <w:pStyle w:val="136"/>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restart"/>
            <w:vAlign w:val="center"/>
          </w:tcPr>
          <w:p>
            <w:pPr>
              <w:pStyle w:val="136"/>
            </w:pPr>
            <w:r>
              <w:t>建筑工程量</w:t>
            </w:r>
          </w:p>
        </w:tc>
        <w:tc>
          <w:tcPr>
            <w:tcW w:w="1091" w:type="pct"/>
            <w:vAlign w:val="center"/>
          </w:tcPr>
          <w:p>
            <w:pPr>
              <w:pStyle w:val="136"/>
            </w:pPr>
            <w:r>
              <w:t>土石方开挖（m³）</w:t>
            </w:r>
          </w:p>
        </w:tc>
        <w:tc>
          <w:tcPr>
            <w:tcW w:w="975" w:type="pct"/>
            <w:vAlign w:val="center"/>
          </w:tcPr>
          <w:p>
            <w:pPr>
              <w:pStyle w:val="136"/>
            </w:pPr>
            <w:r>
              <w:t>土方回填（m³）</w:t>
            </w:r>
          </w:p>
        </w:tc>
        <w:tc>
          <w:tcPr>
            <w:tcW w:w="742" w:type="pct"/>
            <w:vAlign w:val="center"/>
          </w:tcPr>
          <w:p>
            <w:pPr>
              <w:pStyle w:val="136"/>
            </w:pPr>
            <w:r>
              <w:t>灰土（m³）</w:t>
            </w:r>
          </w:p>
        </w:tc>
        <w:tc>
          <w:tcPr>
            <w:tcW w:w="742" w:type="pct"/>
            <w:vAlign w:val="center"/>
          </w:tcPr>
          <w:p>
            <w:pPr>
              <w:pStyle w:val="136"/>
            </w:pPr>
            <w:r>
              <w:t>砂土（m³）</w:t>
            </w:r>
          </w:p>
        </w:tc>
        <w:tc>
          <w:tcPr>
            <w:tcW w:w="742" w:type="pct"/>
            <w:vAlign w:val="center"/>
          </w:tcPr>
          <w:p>
            <w:pPr>
              <w:pStyle w:val="136"/>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pPr>
              <w:pStyle w:val="136"/>
            </w:pPr>
          </w:p>
        </w:tc>
        <w:tc>
          <w:tcPr>
            <w:tcW w:w="1091" w:type="pct"/>
            <w:vAlign w:val="center"/>
          </w:tcPr>
          <w:p>
            <w:pPr>
              <w:pStyle w:val="136"/>
            </w:pPr>
            <w:r>
              <w:t>170</w:t>
            </w:r>
          </w:p>
        </w:tc>
        <w:tc>
          <w:tcPr>
            <w:tcW w:w="975" w:type="pct"/>
            <w:vAlign w:val="center"/>
          </w:tcPr>
          <w:p>
            <w:pPr>
              <w:pStyle w:val="136"/>
            </w:pPr>
            <w:r>
              <w:t>87</w:t>
            </w:r>
          </w:p>
        </w:tc>
        <w:tc>
          <w:tcPr>
            <w:tcW w:w="742" w:type="pct"/>
            <w:vAlign w:val="center"/>
          </w:tcPr>
          <w:p>
            <w:pPr>
              <w:pStyle w:val="136"/>
            </w:pPr>
            <w:r>
              <w:t>8</w:t>
            </w:r>
          </w:p>
        </w:tc>
        <w:tc>
          <w:tcPr>
            <w:tcW w:w="742" w:type="pct"/>
            <w:vAlign w:val="center"/>
          </w:tcPr>
          <w:p>
            <w:pPr>
              <w:pStyle w:val="136"/>
            </w:pPr>
            <w:r>
              <w:t>8</w:t>
            </w:r>
          </w:p>
        </w:tc>
        <w:tc>
          <w:tcPr>
            <w:tcW w:w="742" w:type="pct"/>
            <w:vAlign w:val="center"/>
          </w:tcPr>
          <w:p>
            <w:pPr>
              <w:pStyle w:val="136"/>
            </w:pPr>
            <w:r>
              <w:t>-</w:t>
            </w:r>
          </w:p>
        </w:tc>
      </w:tr>
    </w:tbl>
    <w:p>
      <w:pPr>
        <w:ind w:firstLine="480"/>
        <w:rPr>
          <w:rFonts w:cs="Times New Roman"/>
          <w:bCs/>
        </w:rPr>
      </w:pPr>
    </w:p>
    <w:p>
      <w:pPr>
        <w:ind w:firstLine="480"/>
        <w:rPr>
          <w:rFonts w:cs="Times New Roman"/>
        </w:rPr>
      </w:pPr>
      <w:r>
        <w:rPr>
          <w:rFonts w:cs="Times New Roman"/>
        </w:rPr>
        <w:t>此外，修建19m×11m×3.5m清水池（水池安全超高为0.3m），冬季（12月～次年2月）处理后的清水储存。清水池池壁浆砌块石30cm，抹20cmC25混凝土，顶部加盖30cm水泥预制板。地面修建一砖混结构暖房，高4.5m，建筑面积30m</w:t>
      </w:r>
      <w:r>
        <w:rPr>
          <w:rFonts w:cs="Times New Roman"/>
          <w:vertAlign w:val="superscript"/>
        </w:rPr>
        <w:t>2</w:t>
      </w:r>
      <w:r>
        <w:rPr>
          <w:rFonts w:cs="Times New Roman"/>
        </w:rPr>
        <w:t>，用于安放鼓风机房和处理装置。主要工程量和设备见表6.3-10及表6.3-11。</w:t>
      </w:r>
    </w:p>
    <w:p>
      <w:pPr>
        <w:pStyle w:val="137"/>
        <w:spacing w:before="62"/>
      </w:pPr>
      <w:r>
        <w:t>表6.3-11           施工营地生活污水临时处理措施工程量表一览表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276"/>
        <w:gridCol w:w="1017"/>
        <w:gridCol w:w="742"/>
        <w:gridCol w:w="1050"/>
        <w:gridCol w:w="970"/>
        <w:gridCol w:w="1173"/>
        <w:gridCol w:w="94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restart"/>
            <w:vAlign w:val="center"/>
          </w:tcPr>
          <w:p>
            <w:pPr>
              <w:pStyle w:val="136"/>
            </w:pPr>
            <w:r>
              <w:t>主要设备</w:t>
            </w:r>
          </w:p>
        </w:tc>
        <w:tc>
          <w:tcPr>
            <w:tcW w:w="2293" w:type="dxa"/>
            <w:gridSpan w:val="2"/>
            <w:vAlign w:val="center"/>
          </w:tcPr>
          <w:p>
            <w:pPr>
              <w:pStyle w:val="136"/>
            </w:pPr>
            <w:r>
              <w:t>一体化生活污水处理装置</w:t>
            </w:r>
          </w:p>
        </w:tc>
        <w:tc>
          <w:tcPr>
            <w:tcW w:w="0" w:type="auto"/>
            <w:gridSpan w:val="3"/>
            <w:vAlign w:val="center"/>
          </w:tcPr>
          <w:p>
            <w:pPr>
              <w:pStyle w:val="136"/>
            </w:pPr>
            <w:r>
              <w:t>风机</w:t>
            </w:r>
          </w:p>
        </w:tc>
        <w:tc>
          <w:tcPr>
            <w:tcW w:w="0" w:type="auto"/>
            <w:gridSpan w:val="3"/>
            <w:vAlign w:val="center"/>
          </w:tcPr>
          <w:p>
            <w:pPr>
              <w:pStyle w:val="136"/>
            </w:pPr>
            <w:r>
              <w:t>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continue"/>
            <w:vAlign w:val="center"/>
          </w:tcPr>
          <w:p>
            <w:pPr>
              <w:pStyle w:val="136"/>
            </w:pPr>
          </w:p>
        </w:tc>
        <w:tc>
          <w:tcPr>
            <w:tcW w:w="1276" w:type="dxa"/>
            <w:vAlign w:val="center"/>
          </w:tcPr>
          <w:p>
            <w:pPr>
              <w:pStyle w:val="136"/>
            </w:pPr>
            <w:r>
              <w:t>型号</w:t>
            </w:r>
          </w:p>
        </w:tc>
        <w:tc>
          <w:tcPr>
            <w:tcW w:w="1017" w:type="dxa"/>
            <w:vAlign w:val="center"/>
          </w:tcPr>
          <w:p>
            <w:pPr>
              <w:pStyle w:val="136"/>
            </w:pPr>
            <w:r>
              <w:t>设备件数（件）</w:t>
            </w:r>
          </w:p>
        </w:tc>
        <w:tc>
          <w:tcPr>
            <w:tcW w:w="0" w:type="auto"/>
            <w:vAlign w:val="center"/>
          </w:tcPr>
          <w:p>
            <w:pPr>
              <w:pStyle w:val="136"/>
            </w:pPr>
            <w:r>
              <w:t>型号</w:t>
            </w:r>
          </w:p>
        </w:tc>
        <w:tc>
          <w:tcPr>
            <w:tcW w:w="0" w:type="auto"/>
            <w:vAlign w:val="center"/>
          </w:tcPr>
          <w:p>
            <w:pPr>
              <w:pStyle w:val="136"/>
            </w:pPr>
            <w:r>
              <w:t>功率（Kw）</w:t>
            </w:r>
          </w:p>
        </w:tc>
        <w:tc>
          <w:tcPr>
            <w:tcW w:w="0" w:type="auto"/>
            <w:vAlign w:val="center"/>
          </w:tcPr>
          <w:p>
            <w:pPr>
              <w:pStyle w:val="136"/>
            </w:pPr>
            <w:r>
              <w:t>数量（台）</w:t>
            </w:r>
          </w:p>
        </w:tc>
        <w:tc>
          <w:tcPr>
            <w:tcW w:w="1173" w:type="dxa"/>
            <w:vAlign w:val="center"/>
          </w:tcPr>
          <w:p>
            <w:pPr>
              <w:pStyle w:val="136"/>
            </w:pPr>
            <w:r>
              <w:t>型号</w:t>
            </w:r>
          </w:p>
        </w:tc>
        <w:tc>
          <w:tcPr>
            <w:tcW w:w="940" w:type="dxa"/>
            <w:vAlign w:val="center"/>
          </w:tcPr>
          <w:p>
            <w:pPr>
              <w:pStyle w:val="136"/>
            </w:pPr>
            <w:r>
              <w:t>功率（Kw）</w:t>
            </w:r>
          </w:p>
        </w:tc>
        <w:tc>
          <w:tcPr>
            <w:tcW w:w="0" w:type="auto"/>
            <w:vAlign w:val="center"/>
          </w:tcPr>
          <w:p>
            <w:pPr>
              <w:pStyle w:val="136"/>
            </w:pPr>
            <w: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continue"/>
            <w:vAlign w:val="center"/>
          </w:tcPr>
          <w:p>
            <w:pPr>
              <w:pStyle w:val="136"/>
            </w:pPr>
          </w:p>
        </w:tc>
        <w:tc>
          <w:tcPr>
            <w:tcW w:w="1276" w:type="dxa"/>
            <w:vAlign w:val="center"/>
          </w:tcPr>
          <w:p>
            <w:pPr>
              <w:pStyle w:val="136"/>
            </w:pPr>
            <w:r>
              <w:t>SEJ-2</w:t>
            </w:r>
          </w:p>
        </w:tc>
        <w:tc>
          <w:tcPr>
            <w:tcW w:w="1017" w:type="dxa"/>
            <w:vAlign w:val="center"/>
          </w:tcPr>
          <w:p>
            <w:pPr>
              <w:pStyle w:val="136"/>
            </w:pPr>
            <w:r>
              <w:t>1</w:t>
            </w:r>
          </w:p>
        </w:tc>
        <w:tc>
          <w:tcPr>
            <w:tcW w:w="0" w:type="auto"/>
            <w:vAlign w:val="center"/>
          </w:tcPr>
          <w:p>
            <w:pPr>
              <w:pStyle w:val="136"/>
            </w:pPr>
            <w:r>
              <w:t>SSR50</w:t>
            </w:r>
          </w:p>
        </w:tc>
        <w:tc>
          <w:tcPr>
            <w:tcW w:w="0" w:type="auto"/>
            <w:vAlign w:val="center"/>
          </w:tcPr>
          <w:p>
            <w:pPr>
              <w:pStyle w:val="136"/>
            </w:pPr>
            <w:r>
              <w:t>2.20</w:t>
            </w:r>
          </w:p>
        </w:tc>
        <w:tc>
          <w:tcPr>
            <w:tcW w:w="0" w:type="auto"/>
            <w:vAlign w:val="center"/>
          </w:tcPr>
          <w:p>
            <w:pPr>
              <w:pStyle w:val="136"/>
            </w:pPr>
            <w:r>
              <w:t>2</w:t>
            </w:r>
          </w:p>
        </w:tc>
        <w:tc>
          <w:tcPr>
            <w:tcW w:w="1173" w:type="dxa"/>
            <w:vAlign w:val="center"/>
          </w:tcPr>
          <w:p>
            <w:pPr>
              <w:pStyle w:val="136"/>
            </w:pPr>
            <w:r>
              <w:t>AS10-2CB</w:t>
            </w:r>
          </w:p>
        </w:tc>
        <w:tc>
          <w:tcPr>
            <w:tcW w:w="940" w:type="dxa"/>
            <w:vAlign w:val="center"/>
          </w:tcPr>
          <w:p>
            <w:pPr>
              <w:pStyle w:val="136"/>
            </w:pPr>
            <w:r>
              <w:t>1.10</w:t>
            </w:r>
          </w:p>
        </w:tc>
        <w:tc>
          <w:tcPr>
            <w:tcW w:w="0" w:type="auto"/>
            <w:vAlign w:val="center"/>
          </w:tcPr>
          <w:p>
            <w:pPr>
              <w:pStyle w:val="136"/>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restart"/>
            <w:vAlign w:val="center"/>
          </w:tcPr>
          <w:p>
            <w:pPr>
              <w:pStyle w:val="136"/>
            </w:pPr>
            <w:r>
              <w:t>建筑工程量</w:t>
            </w:r>
          </w:p>
        </w:tc>
        <w:tc>
          <w:tcPr>
            <w:tcW w:w="1276" w:type="dxa"/>
            <w:vAlign w:val="center"/>
          </w:tcPr>
          <w:p>
            <w:pPr>
              <w:pStyle w:val="136"/>
            </w:pPr>
            <w:r>
              <w:t>土方开挖（m</w:t>
            </w:r>
            <w:r>
              <w:rPr>
                <w:vertAlign w:val="superscript"/>
              </w:rPr>
              <w:t>3</w:t>
            </w:r>
            <w:r>
              <w:t>）</w:t>
            </w:r>
          </w:p>
        </w:tc>
        <w:tc>
          <w:tcPr>
            <w:tcW w:w="1017" w:type="dxa"/>
            <w:vAlign w:val="center"/>
          </w:tcPr>
          <w:p>
            <w:pPr>
              <w:pStyle w:val="136"/>
            </w:pPr>
            <w:r>
              <w:t>砌石（m</w:t>
            </w:r>
            <w:r>
              <w:rPr>
                <w:vertAlign w:val="superscript"/>
              </w:rPr>
              <w:t>3</w:t>
            </w:r>
            <w:r>
              <w:t>）</w:t>
            </w:r>
          </w:p>
        </w:tc>
        <w:tc>
          <w:tcPr>
            <w:tcW w:w="0" w:type="auto"/>
            <w:gridSpan w:val="2"/>
            <w:vAlign w:val="center"/>
          </w:tcPr>
          <w:p>
            <w:pPr>
              <w:pStyle w:val="136"/>
            </w:pPr>
            <w:r>
              <w:t>C25混凝土（m</w:t>
            </w:r>
            <w:r>
              <w:rPr>
                <w:vertAlign w:val="superscript"/>
              </w:rPr>
              <w:t>3</w:t>
            </w:r>
            <w:r>
              <w:t>）</w:t>
            </w:r>
          </w:p>
        </w:tc>
        <w:tc>
          <w:tcPr>
            <w:tcW w:w="0" w:type="auto"/>
            <w:vAlign w:val="center"/>
          </w:tcPr>
          <w:p>
            <w:pPr>
              <w:pStyle w:val="136"/>
            </w:pPr>
            <w:r>
              <w:t>钢筋（t）</w:t>
            </w:r>
          </w:p>
        </w:tc>
        <w:tc>
          <w:tcPr>
            <w:tcW w:w="2113" w:type="dxa"/>
            <w:gridSpan w:val="2"/>
            <w:vAlign w:val="center"/>
          </w:tcPr>
          <w:p>
            <w:pPr>
              <w:pStyle w:val="136"/>
            </w:pPr>
            <w:r>
              <w:t>混凝土预制板（m</w:t>
            </w:r>
            <w:r>
              <w:rPr>
                <w:vertAlign w:val="superscript"/>
              </w:rPr>
              <w:t>3</w:t>
            </w:r>
            <w:r>
              <w:t>）</w:t>
            </w:r>
          </w:p>
        </w:tc>
        <w:tc>
          <w:tcPr>
            <w:tcW w:w="0" w:type="auto"/>
            <w:vAlign w:val="center"/>
          </w:tcPr>
          <w:p>
            <w:pPr>
              <w:pStyle w:val="136"/>
            </w:pPr>
            <w:r>
              <w:t>暖房（m</w:t>
            </w:r>
            <w:r>
              <w:rPr>
                <w:vertAlign w:val="superscript"/>
              </w:rPr>
              <w:t>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continue"/>
            <w:vAlign w:val="center"/>
          </w:tcPr>
          <w:p>
            <w:pPr>
              <w:pStyle w:val="136"/>
            </w:pPr>
          </w:p>
        </w:tc>
        <w:tc>
          <w:tcPr>
            <w:tcW w:w="1276" w:type="dxa"/>
            <w:vAlign w:val="center"/>
          </w:tcPr>
          <w:p>
            <w:pPr>
              <w:pStyle w:val="136"/>
            </w:pPr>
            <w:r>
              <w:t>1495</w:t>
            </w:r>
          </w:p>
        </w:tc>
        <w:tc>
          <w:tcPr>
            <w:tcW w:w="1017" w:type="dxa"/>
            <w:vAlign w:val="center"/>
          </w:tcPr>
          <w:p>
            <w:pPr>
              <w:pStyle w:val="136"/>
            </w:pPr>
            <w:r>
              <w:t>256</w:t>
            </w:r>
          </w:p>
        </w:tc>
        <w:tc>
          <w:tcPr>
            <w:tcW w:w="0" w:type="auto"/>
            <w:gridSpan w:val="2"/>
            <w:vAlign w:val="center"/>
          </w:tcPr>
          <w:p>
            <w:pPr>
              <w:pStyle w:val="136"/>
            </w:pPr>
            <w:r>
              <w:t>156</w:t>
            </w:r>
          </w:p>
        </w:tc>
        <w:tc>
          <w:tcPr>
            <w:tcW w:w="0" w:type="auto"/>
            <w:vAlign w:val="center"/>
          </w:tcPr>
          <w:p>
            <w:pPr>
              <w:pStyle w:val="136"/>
            </w:pPr>
            <w:r>
              <w:t>20</w:t>
            </w:r>
          </w:p>
        </w:tc>
        <w:tc>
          <w:tcPr>
            <w:tcW w:w="2113" w:type="dxa"/>
            <w:gridSpan w:val="2"/>
            <w:vAlign w:val="center"/>
          </w:tcPr>
          <w:p>
            <w:pPr>
              <w:pStyle w:val="136"/>
            </w:pPr>
            <w:r>
              <w:t>25</w:t>
            </w:r>
          </w:p>
        </w:tc>
        <w:tc>
          <w:tcPr>
            <w:tcW w:w="0" w:type="auto"/>
            <w:vAlign w:val="center"/>
          </w:tcPr>
          <w:p>
            <w:pPr>
              <w:pStyle w:val="136"/>
            </w:pPr>
            <w:r>
              <w:t>30</w:t>
            </w:r>
          </w:p>
        </w:tc>
      </w:tr>
    </w:tbl>
    <w:p>
      <w:pPr>
        <w:ind w:firstLine="480"/>
        <w:rPr>
          <w:rFonts w:cs="Times New Roman"/>
        </w:rPr>
      </w:pPr>
    </w:p>
    <w:p>
      <w:pPr>
        <w:ind w:firstLine="480"/>
        <w:rPr>
          <w:rFonts w:cs="Times New Roman"/>
        </w:rPr>
      </w:pPr>
      <w:r>
        <w:rPr>
          <w:rFonts w:cs="Times New Roman"/>
        </w:rPr>
        <w:t>另外，工程各施工作业区面积较大、人员分散，为解决施工作业区粪便污水，需要设置移动型环保厕所。为防止施工人员的粪便污水对水体造成污染，本次设计考虑采用移动式真空环保厕所，移动式真空厕所粪便污水采用污水箱收集后，每周清理一次，拉运至施工区生活污水一体化处理设施一并处理。根据现场实际情况，移动式真空环保厕所布置主要考虑施工作业面，根据施工规划人数，工程施工作业区共布置4处环保厕所。</w:t>
      </w:r>
    </w:p>
    <w:p>
      <w:pPr>
        <w:ind w:firstLine="480"/>
        <w:rPr>
          <w:rFonts w:cs="Times New Roman"/>
        </w:rPr>
      </w:pPr>
      <w:r>
        <w:rPr>
          <w:rFonts w:cs="Times New Roman"/>
        </w:rPr>
        <w:t>（4）污水综合利用可行性分析</w:t>
      </w:r>
    </w:p>
    <w:p>
      <w:pPr>
        <w:ind w:firstLine="480"/>
        <w:rPr>
          <w:rFonts w:cs="Times New Roman"/>
        </w:rPr>
      </w:pPr>
      <w:r>
        <w:rPr>
          <w:rFonts w:cs="Times New Roman"/>
        </w:rPr>
        <w:t>生活</w:t>
      </w:r>
      <w:r>
        <w:rPr>
          <w:rFonts w:hint="eastAsia" w:cs="Times New Roman"/>
          <w:lang w:eastAsia="zh-CN"/>
        </w:rPr>
        <w:t>污水经厌氧和</w:t>
      </w:r>
      <w:r>
        <w:rPr>
          <w:rFonts w:cs="Times New Roman"/>
        </w:rPr>
        <w:t>接触好氧处理后，预计出水中COD浓度小于50mg/L、BOD</w:t>
      </w:r>
      <w:r>
        <w:rPr>
          <w:rFonts w:cs="Times New Roman"/>
          <w:vertAlign w:val="subscript"/>
        </w:rPr>
        <w:t>5</w:t>
      </w:r>
      <w:r>
        <w:rPr>
          <w:rFonts w:cs="Times New Roman"/>
        </w:rPr>
        <w:t>浓度小于10mg/L，氨氮浓度小于8mg/L，且污水异味大幅度降低，可用于附近人员活动较少的弃渣场洒水降尘及周边荒漠草地浇灌。因此，生活污水处理方案可行。</w:t>
      </w:r>
    </w:p>
    <w:p>
      <w:pPr>
        <w:ind w:firstLine="480"/>
        <w:rPr>
          <w:rFonts w:cs="Times New Roman"/>
        </w:rPr>
      </w:pPr>
      <w:r>
        <w:rPr>
          <w:rFonts w:cs="Times New Roman"/>
        </w:rPr>
        <w:t>（5）运行管理措施</w:t>
      </w:r>
    </w:p>
    <w:p>
      <w:pPr>
        <w:ind w:firstLine="480"/>
        <w:rPr>
          <w:rFonts w:cs="Times New Roman"/>
        </w:rPr>
      </w:pPr>
      <w:r>
        <w:rPr>
          <w:rFonts w:cs="Times New Roman"/>
        </w:rPr>
        <w:t>施工结束后应对化粪池进行清运、消毒、掩埋等处理，以消除对环境的影响，如若冬季不施工，需</w:t>
      </w:r>
      <w:r>
        <w:rPr>
          <w:rFonts w:hint="eastAsia" w:cs="Times New Roman"/>
          <w:lang w:eastAsia="zh-CN"/>
        </w:rPr>
        <w:t>将</w:t>
      </w:r>
      <w:r>
        <w:rPr>
          <w:rFonts w:cs="Times New Roman"/>
        </w:rPr>
        <w:t>池内污泥污水清排干净，防治化粪池冻裂。</w:t>
      </w:r>
    </w:p>
    <w:p>
      <w:pPr>
        <w:ind w:firstLine="480"/>
        <w:rPr>
          <w:rFonts w:cs="Times New Roman"/>
        </w:rPr>
      </w:pPr>
      <w:r>
        <w:rPr>
          <w:rFonts w:cs="Times New Roman"/>
        </w:rPr>
        <w:t>化粪池</w:t>
      </w:r>
      <w:r>
        <w:rPr>
          <w:rFonts w:hint="eastAsia" w:cs="Times New Roman"/>
          <w:lang w:eastAsia="zh-CN"/>
        </w:rPr>
        <w:t>需要定期清</w:t>
      </w:r>
      <w:r>
        <w:rPr>
          <w:rFonts w:cs="Times New Roman"/>
        </w:rPr>
        <w:t>掏，若日常维护不到位，会出现沼气中毒，爆炸等</w:t>
      </w:r>
      <w:r>
        <w:rPr>
          <w:rFonts w:hint="eastAsia" w:cs="Times New Roman"/>
          <w:lang w:eastAsia="zh-CN"/>
        </w:rPr>
        <w:t>安全隐患</w:t>
      </w:r>
      <w:r>
        <w:rPr>
          <w:rFonts w:cs="Times New Roman"/>
        </w:rPr>
        <w:t>，需做到定期检查和定期清掏，杜绝危险事故发生。化粪池管理需纳入施工区统一管理，不另设机构和管理人员。</w:t>
      </w:r>
    </w:p>
    <w:p>
      <w:pPr>
        <w:pStyle w:val="4"/>
        <w:rPr>
          <w:rFonts w:cs="Times New Roman"/>
        </w:rPr>
      </w:pPr>
      <w:r>
        <w:rPr>
          <w:rFonts w:cs="Times New Roman"/>
        </w:rPr>
        <w:t>6.3.2 环境空气保护措施</w:t>
      </w:r>
    </w:p>
    <w:p>
      <w:pPr>
        <w:pStyle w:val="62"/>
        <w:rPr>
          <w:rFonts w:cs="Times New Roman"/>
        </w:rPr>
      </w:pPr>
      <w:r>
        <w:rPr>
          <w:rFonts w:cs="Times New Roman"/>
        </w:rPr>
        <w:t>6.3.2.1 保护目标</w:t>
      </w:r>
    </w:p>
    <w:p>
      <w:pPr>
        <w:ind w:firstLine="480"/>
        <w:rPr>
          <w:rFonts w:cs="Times New Roman"/>
        </w:rPr>
      </w:pPr>
      <w:r>
        <w:rPr>
          <w:rFonts w:cs="Times New Roman"/>
        </w:rPr>
        <w:t>工程区大气环境质量依照《环境空气质量标准》(GB3095-2018)二级标准要求，TSP控制目标为24h平均0.3mg/L；污染物排放执行《大气污染物综合排放标准》(GB16297-1996)表2中的无组织排放监控浓度限值二级标准，TSP控制目标为1.0mg/m</w:t>
      </w:r>
      <w:r>
        <w:rPr>
          <w:rFonts w:cs="Times New Roman"/>
          <w:vertAlign w:val="superscript"/>
        </w:rPr>
        <w:t>3</w:t>
      </w:r>
      <w:r>
        <w:rPr>
          <w:rFonts w:cs="Times New Roman"/>
        </w:rPr>
        <w:t>。工程所处区域大风天气多发，需加强施工管理，削减施工环境空气污染物排放量，减轻污染物扩散，改善施工现场工作条件，保护施工区环境空气质量。</w:t>
      </w:r>
    </w:p>
    <w:p>
      <w:pPr>
        <w:pStyle w:val="62"/>
        <w:rPr>
          <w:rFonts w:cs="Times New Roman"/>
        </w:rPr>
      </w:pPr>
      <w:r>
        <w:rPr>
          <w:rFonts w:cs="Times New Roman"/>
        </w:rPr>
        <w:t>6.3.2.2 对策措施</w:t>
      </w:r>
    </w:p>
    <w:p>
      <w:pPr>
        <w:ind w:firstLine="480"/>
        <w:rPr>
          <w:rFonts w:cs="Times New Roman"/>
        </w:rPr>
      </w:pPr>
      <w:r>
        <w:rPr>
          <w:rFonts w:cs="Times New Roman"/>
        </w:rPr>
        <w:t>（1）扬尘影响防护对策措施</w:t>
      </w:r>
    </w:p>
    <w:p>
      <w:pPr>
        <w:ind w:firstLine="480"/>
        <w:rPr>
          <w:rFonts w:cs="Times New Roman"/>
        </w:rPr>
      </w:pPr>
      <w:r>
        <w:rPr>
          <w:rFonts w:hint="eastAsia" w:ascii="宋体" w:hAnsi="宋体" w:cs="宋体"/>
        </w:rPr>
        <w:t>①</w:t>
      </w:r>
      <w:r>
        <w:rPr>
          <w:rFonts w:cs="Times New Roman"/>
        </w:rPr>
        <w:t>土石方挖装扬尘及爆破粉尘</w:t>
      </w:r>
    </w:p>
    <w:p>
      <w:pPr>
        <w:ind w:firstLine="480"/>
        <w:rPr>
          <w:rFonts w:cs="Times New Roman"/>
        </w:rPr>
      </w:pPr>
      <w:r>
        <w:rPr>
          <w:rFonts w:cs="Times New Roman"/>
        </w:rPr>
        <w:t>A.为保护施工人员工作环境，在开挖和填筑较集中的工程区、堆料场、弃渣场等地，非雨日采取洒水措施。具体为：在高温燥热时间，一日内洒水4～6次；气候温和时间至少洒水3次。</w:t>
      </w:r>
    </w:p>
    <w:p>
      <w:pPr>
        <w:ind w:firstLine="480"/>
        <w:rPr>
          <w:rFonts w:cs="Times New Roman"/>
        </w:rPr>
      </w:pPr>
      <w:r>
        <w:rPr>
          <w:rFonts w:cs="Times New Roman"/>
        </w:rPr>
        <w:t>B.对爆破施工产生的粉尘，首先应确保施工人员撤离爆破警戒线以外，其次，爆破前洒水1～2次，爆破结束待飞石下落稳定后，及时对爆破点集中洒水2～3次，控制粉尘影响范围。</w:t>
      </w:r>
    </w:p>
    <w:p>
      <w:pPr>
        <w:ind w:firstLine="480"/>
        <w:rPr>
          <w:rFonts w:cs="Times New Roman"/>
        </w:rPr>
      </w:pPr>
      <w:r>
        <w:rPr>
          <w:rFonts w:hint="eastAsia" w:ascii="宋体" w:hAnsi="宋体" w:cs="宋体"/>
        </w:rPr>
        <w:t>②</w:t>
      </w:r>
      <w:r>
        <w:rPr>
          <w:rFonts w:cs="Times New Roman"/>
        </w:rPr>
        <w:t>车辆运输扬尘</w:t>
      </w:r>
    </w:p>
    <w:p>
      <w:pPr>
        <w:ind w:firstLine="480"/>
        <w:rPr>
          <w:rFonts w:cs="Times New Roman"/>
        </w:rPr>
      </w:pPr>
      <w:r>
        <w:rPr>
          <w:rFonts w:cs="Times New Roman"/>
        </w:rPr>
        <w:t>车辆运输扬尘产生自车辆碾压和运输物料泄露两方面，主要通过三类措施加以控制：一是加强路面养护，控制车速；二是多尘物料运输时需密闭、加湿或苫盖；三是根据天气情况，进行路面洒水抑尘。</w:t>
      </w:r>
    </w:p>
    <w:p>
      <w:pPr>
        <w:ind w:firstLine="480"/>
        <w:rPr>
          <w:rFonts w:cs="Times New Roman"/>
        </w:rPr>
      </w:pPr>
      <w:r>
        <w:rPr>
          <w:rFonts w:cs="Times New Roman"/>
        </w:rPr>
        <w:t>洒水要求具体为：在高温燥热时间，车辆行驶密集区要求一日内路面洒水4～6次，其余路面2～4次；气候温和时间，车辆行驶密集区要求一日内路面洒水至少3次。</w:t>
      </w:r>
    </w:p>
    <w:p>
      <w:pPr>
        <w:ind w:firstLine="480"/>
        <w:rPr>
          <w:rFonts w:cs="Times New Roman"/>
        </w:rPr>
      </w:pPr>
      <w:r>
        <w:rPr>
          <w:rFonts w:hint="eastAsia" w:ascii="宋体" w:hAnsi="宋体" w:cs="宋体"/>
        </w:rPr>
        <w:t>③</w:t>
      </w:r>
      <w:r>
        <w:rPr>
          <w:rFonts w:cs="Times New Roman"/>
        </w:rPr>
        <w:t>混凝土拌和系统粉尘</w:t>
      </w:r>
    </w:p>
    <w:p>
      <w:pPr>
        <w:ind w:firstLine="480"/>
        <w:rPr>
          <w:rFonts w:cs="Times New Roman"/>
        </w:rPr>
      </w:pPr>
      <w:r>
        <w:rPr>
          <w:rFonts w:cs="Times New Roman"/>
        </w:rPr>
        <w:t>在混凝土拌和站操作区、水泥堆放区附近辅以洒水降尘措施。在高温燥热时间，一日内洒水2～4次，气候温和时间，至少洒水3次。</w:t>
      </w:r>
    </w:p>
    <w:p>
      <w:pPr>
        <w:ind w:firstLine="480"/>
        <w:rPr>
          <w:rFonts w:cs="Times New Roman"/>
        </w:rPr>
      </w:pPr>
      <w:r>
        <w:rPr>
          <w:rFonts w:hint="eastAsia" w:ascii="宋体" w:hAnsi="宋体" w:cs="宋体"/>
        </w:rPr>
        <w:t>④</w:t>
      </w:r>
      <w:r>
        <w:rPr>
          <w:rFonts w:cs="Times New Roman"/>
        </w:rPr>
        <w:t>砂石料加工系统粉尘</w:t>
      </w:r>
    </w:p>
    <w:p>
      <w:pPr>
        <w:ind w:firstLine="480"/>
        <w:rPr>
          <w:rFonts w:cs="Times New Roman"/>
        </w:rPr>
      </w:pPr>
      <w:r>
        <w:rPr>
          <w:rFonts w:cs="Times New Roman"/>
        </w:rPr>
        <w:t>一是根据天气情况，及时为卸料区、粗筛区洒水降尘；二是要保持系统运行良好，防止粉尘大量溢出。在高温燥热时间，一日内洒水2～4次，气候温和时间，至少洒水3次。</w:t>
      </w:r>
    </w:p>
    <w:p>
      <w:pPr>
        <w:ind w:firstLine="480"/>
        <w:rPr>
          <w:rFonts w:cs="Times New Roman"/>
        </w:rPr>
      </w:pPr>
      <w:r>
        <w:rPr>
          <w:rFonts w:hint="eastAsia" w:ascii="宋体" w:hAnsi="宋体" w:cs="宋体"/>
        </w:rPr>
        <w:t>⑤</w:t>
      </w:r>
      <w:r>
        <w:rPr>
          <w:rFonts w:cs="Times New Roman"/>
        </w:rPr>
        <w:t>施工人员劳动保护</w:t>
      </w:r>
    </w:p>
    <w:p>
      <w:pPr>
        <w:ind w:firstLine="480"/>
        <w:rPr>
          <w:rFonts w:cs="Times New Roman"/>
        </w:rPr>
      </w:pPr>
      <w:r>
        <w:rPr>
          <w:rFonts w:cs="Times New Roman"/>
        </w:rPr>
        <w:t>按照国家有关劳动保护的规定，应向施工人员发放防尘用具，特别对土石方作业、混凝土拌和作业、砂石加工作业、水泥装卸作业的施工人员，应发放防护标准高的防尘器具，施工过程中还应及时清洗更换。</w:t>
      </w:r>
    </w:p>
    <w:p>
      <w:pPr>
        <w:ind w:firstLine="480"/>
        <w:rPr>
          <w:rFonts w:cs="Times New Roman"/>
        </w:rPr>
      </w:pPr>
      <w:r>
        <w:rPr>
          <w:rFonts w:cs="Times New Roman"/>
        </w:rPr>
        <w:t>（2）燃油废气控制措施</w:t>
      </w:r>
    </w:p>
    <w:p>
      <w:pPr>
        <w:ind w:firstLine="480"/>
        <w:rPr>
          <w:rFonts w:cs="Times New Roman"/>
        </w:rPr>
      </w:pPr>
      <w:r>
        <w:rPr>
          <w:rFonts w:cs="Times New Roman"/>
        </w:rPr>
        <w:t>选用符合国家有关卫生标准的施工机械和运输车辆，并且安装排气净化器，使用符合标准的油料或清洁能源，使其排放的废气能够达到国家标准。</w:t>
      </w:r>
    </w:p>
    <w:p>
      <w:pPr>
        <w:ind w:firstLine="480"/>
        <w:rPr>
          <w:rFonts w:cs="Times New Roman"/>
        </w:rPr>
      </w:pPr>
      <w:r>
        <w:rPr>
          <w:rFonts w:cs="Times New Roman"/>
        </w:rPr>
        <w:t>严格执行《在用汽车报废标准》，推行强制更新报废制度。特别是发动机耗油多、效率低、排放尾气严重超标的老旧车辆，应予以更新。并实施《汽车排污监管办法》和《汽车排放监测制度》，并制定《施工区运输车辆排气监测办法》。</w:t>
      </w:r>
    </w:p>
    <w:p>
      <w:pPr>
        <w:ind w:firstLine="480"/>
        <w:rPr>
          <w:rFonts w:cs="Times New Roman"/>
        </w:rPr>
      </w:pPr>
      <w:r>
        <w:rPr>
          <w:rFonts w:cs="Times New Roman"/>
        </w:rPr>
        <w:t>加强对燃油机械设备的维护和保养，使发动机处于正常、良好的工作状态。</w:t>
      </w:r>
    </w:p>
    <w:p>
      <w:pPr>
        <w:pStyle w:val="4"/>
        <w:rPr>
          <w:rFonts w:cs="Times New Roman"/>
        </w:rPr>
      </w:pPr>
      <w:r>
        <w:rPr>
          <w:rFonts w:cs="Times New Roman"/>
        </w:rPr>
        <w:t>6.3.3 声环境保护措施</w:t>
      </w:r>
    </w:p>
    <w:p>
      <w:pPr>
        <w:pStyle w:val="62"/>
        <w:rPr>
          <w:rFonts w:cs="Times New Roman"/>
        </w:rPr>
      </w:pPr>
      <w:r>
        <w:rPr>
          <w:rFonts w:cs="Times New Roman"/>
        </w:rPr>
        <w:t>6.3.3.1 保护目标</w:t>
      </w:r>
    </w:p>
    <w:p>
      <w:pPr>
        <w:ind w:firstLine="480"/>
        <w:rPr>
          <w:rFonts w:cs="Times New Roman"/>
        </w:rPr>
      </w:pPr>
      <w:r>
        <w:rPr>
          <w:rFonts w:cs="Times New Roman"/>
        </w:rPr>
        <w:t>各施工作业区应满足《建筑施工场界环境噪声排放标准》(GB12523-2011)，昼、夜间噪声限值分别为70dB(A)、55dB(A)。整个工程区执行《声环境质量标准》(GB3096-2008)1类标准，昼、夜噪声控制标准分别为55dB(A)、45dB(A)。</w:t>
      </w:r>
    </w:p>
    <w:p>
      <w:pPr>
        <w:pStyle w:val="62"/>
        <w:rPr>
          <w:rFonts w:cs="Times New Roman"/>
        </w:rPr>
      </w:pPr>
      <w:r>
        <w:rPr>
          <w:rFonts w:cs="Times New Roman"/>
        </w:rPr>
        <w:t>6.3.3.2 噪声源控制措施</w:t>
      </w:r>
    </w:p>
    <w:p>
      <w:pPr>
        <w:ind w:firstLine="480"/>
        <w:rPr>
          <w:rFonts w:cs="Times New Roman"/>
        </w:rPr>
      </w:pPr>
      <w:r>
        <w:rPr>
          <w:rFonts w:cs="Times New Roman"/>
        </w:rPr>
        <w:t>本工程施工噪声影响对象主要为施工人员，主要从声源上降低噪声影响和受声者保护两个方面采取以下噪声防治措施：</w:t>
      </w:r>
    </w:p>
    <w:p>
      <w:pPr>
        <w:ind w:firstLine="480"/>
        <w:rPr>
          <w:rFonts w:cs="Times New Roman"/>
        </w:rPr>
      </w:pPr>
      <w:r>
        <w:rPr>
          <w:rFonts w:cs="Times New Roman"/>
        </w:rPr>
        <w:t>（1）从声源上降低噪声</w:t>
      </w:r>
    </w:p>
    <w:p>
      <w:pPr>
        <w:ind w:firstLine="480"/>
        <w:rPr>
          <w:rFonts w:cs="Times New Roman"/>
        </w:rPr>
      </w:pPr>
      <w:r>
        <w:rPr>
          <w:rFonts w:hint="eastAsia" w:ascii="宋体" w:hAnsi="宋体" w:cs="宋体"/>
        </w:rPr>
        <w:t>①</w:t>
      </w:r>
      <w:r>
        <w:rPr>
          <w:rFonts w:cs="Times New Roman"/>
        </w:rPr>
        <w:t>采用符合相关噪声标准要求的混凝土拌和、砂石料加工等设备，加强设备维护保养，保持设备润滑，减少运行噪声。</w:t>
      </w:r>
    </w:p>
    <w:p>
      <w:pPr>
        <w:ind w:firstLine="480"/>
        <w:rPr>
          <w:rFonts w:cs="Times New Roman"/>
        </w:rPr>
      </w:pPr>
      <w:r>
        <w:rPr>
          <w:rFonts w:hint="eastAsia" w:ascii="宋体" w:hAnsi="宋体" w:cs="宋体"/>
        </w:rPr>
        <w:t>②</w:t>
      </w:r>
      <w:r>
        <w:rPr>
          <w:rFonts w:cs="Times New Roman"/>
        </w:rPr>
        <w:t>对一些振动强烈的机械设备，有选择地使用减振机座。</w:t>
      </w:r>
    </w:p>
    <w:p>
      <w:pPr>
        <w:ind w:firstLine="480"/>
        <w:rPr>
          <w:rFonts w:cs="Times New Roman"/>
        </w:rPr>
      </w:pPr>
      <w:r>
        <w:rPr>
          <w:rFonts w:hint="eastAsia" w:ascii="宋体" w:hAnsi="宋体" w:cs="宋体"/>
        </w:rPr>
        <w:t>③</w:t>
      </w:r>
      <w:r>
        <w:rPr>
          <w:rFonts w:cs="Times New Roman"/>
        </w:rPr>
        <w:t>使用的车辆必须符合《汽车定置噪声限值》(GB16170-1996)和《机动车辆允许噪声》(GB1495-79)，并尽量选用低噪声车辆，加强车辆维修养护。</w:t>
      </w:r>
    </w:p>
    <w:p>
      <w:pPr>
        <w:ind w:firstLine="480"/>
        <w:rPr>
          <w:rFonts w:cs="Times New Roman"/>
        </w:rPr>
      </w:pPr>
      <w:r>
        <w:rPr>
          <w:rFonts w:hint="eastAsia" w:ascii="宋体" w:hAnsi="宋体" w:cs="宋体"/>
        </w:rPr>
        <w:t>④</w:t>
      </w:r>
      <w:r>
        <w:rPr>
          <w:rFonts w:cs="Times New Roman"/>
        </w:rPr>
        <w:t>加强场内施工道路养护，特别是应保持碎石路面的施工道路路面平整。</w:t>
      </w:r>
    </w:p>
    <w:p>
      <w:pPr>
        <w:ind w:firstLine="480"/>
        <w:rPr>
          <w:rFonts w:cs="Times New Roman"/>
        </w:rPr>
      </w:pPr>
      <w:r>
        <w:rPr>
          <w:rFonts w:hint="eastAsia" w:ascii="宋体" w:hAnsi="宋体" w:cs="宋体"/>
        </w:rPr>
        <w:t>⑤</w:t>
      </w:r>
      <w:r>
        <w:rPr>
          <w:rFonts w:cs="Times New Roman"/>
        </w:rPr>
        <w:t>合理安排车辆运输时间，车辆经过当地县乡集镇道路应避开中午和晚间，并控制车速，以免影响当地居民休息。</w:t>
      </w:r>
    </w:p>
    <w:p>
      <w:pPr>
        <w:ind w:firstLine="480"/>
        <w:rPr>
          <w:rFonts w:cs="Times New Roman"/>
        </w:rPr>
      </w:pPr>
      <w:r>
        <w:rPr>
          <w:rFonts w:cs="Times New Roman"/>
        </w:rPr>
        <w:t>（2）施工人员防护措施</w:t>
      </w:r>
    </w:p>
    <w:p>
      <w:pPr>
        <w:ind w:firstLine="480"/>
        <w:rPr>
          <w:rFonts w:cs="Times New Roman"/>
        </w:rPr>
      </w:pPr>
      <w:r>
        <w:rPr>
          <w:rFonts w:hint="eastAsia" w:ascii="宋体" w:hAnsi="宋体" w:cs="宋体"/>
        </w:rPr>
        <w:t>①</w:t>
      </w:r>
      <w:r>
        <w:rPr>
          <w:rFonts w:cs="Times New Roman"/>
        </w:rPr>
        <w:t>为长时间接触高噪声设备的施工人员发放防噪器具，如混凝土拌和站和砂石料筛分系统操作人员，并保证及时更换。</w:t>
      </w:r>
    </w:p>
    <w:p>
      <w:pPr>
        <w:ind w:firstLine="480"/>
        <w:rPr>
          <w:rFonts w:cs="Times New Roman"/>
        </w:rPr>
      </w:pPr>
      <w:r>
        <w:rPr>
          <w:rFonts w:hint="eastAsia" w:ascii="宋体" w:hAnsi="宋体" w:cs="宋体"/>
        </w:rPr>
        <w:t>②</w:t>
      </w:r>
      <w:r>
        <w:rPr>
          <w:rFonts w:cs="Times New Roman"/>
        </w:rPr>
        <w:t>适当缩短砂石料加工系统、混凝土拌和系统操作人员的每班工作时长，或采取轮班制，防止其听力受损。</w:t>
      </w:r>
    </w:p>
    <w:p>
      <w:pPr>
        <w:pStyle w:val="4"/>
        <w:rPr>
          <w:rFonts w:cs="Times New Roman"/>
        </w:rPr>
      </w:pPr>
      <w:r>
        <w:rPr>
          <w:rFonts w:cs="Times New Roman"/>
        </w:rPr>
        <w:t>6.3.4 固体废物处理</w:t>
      </w:r>
    </w:p>
    <w:p>
      <w:pPr>
        <w:pStyle w:val="62"/>
        <w:rPr>
          <w:rFonts w:cs="Times New Roman"/>
        </w:rPr>
      </w:pPr>
      <w:r>
        <w:rPr>
          <w:rFonts w:cs="Times New Roman"/>
        </w:rPr>
        <w:t>6.3.4.1 生产废渣处理措施</w:t>
      </w:r>
    </w:p>
    <w:p>
      <w:pPr>
        <w:ind w:firstLine="480"/>
        <w:rPr>
          <w:rFonts w:cs="Times New Roman"/>
        </w:rPr>
      </w:pPr>
      <w:r>
        <w:rPr>
          <w:rFonts w:cs="Times New Roman"/>
        </w:rPr>
        <w:t>根据土石方平衡计算，工程共布置1处永久弃渣场及1处临时弃渣场和3处临时转存料场，可满足弃渣要求。为避免弃渣造成水土流失，对各弃渣场采取了适宜的工程、植物及临时防护措施，详见本工程</w:t>
      </w:r>
      <w:r>
        <w:rPr>
          <w:rFonts w:cs="Times New Roman"/>
          <w:b/>
          <w:color w:val="FF0000"/>
        </w:rPr>
        <w:t>水土保持方案报告书</w:t>
      </w:r>
      <w:r>
        <w:rPr>
          <w:rFonts w:cs="Times New Roman"/>
          <w:b/>
        </w:rPr>
        <w:t>。</w:t>
      </w:r>
    </w:p>
    <w:p>
      <w:pPr>
        <w:pStyle w:val="62"/>
        <w:rPr>
          <w:rFonts w:cs="Times New Roman"/>
        </w:rPr>
      </w:pPr>
      <w:r>
        <w:rPr>
          <w:rFonts w:cs="Times New Roman"/>
        </w:rPr>
        <w:t>6.3.4.2 生活垃圾处理措施</w:t>
      </w:r>
    </w:p>
    <w:p>
      <w:pPr>
        <w:ind w:firstLine="480"/>
        <w:rPr>
          <w:rFonts w:cs="Times New Roman"/>
        </w:rPr>
      </w:pPr>
      <w:r>
        <w:rPr>
          <w:rFonts w:cs="Times New Roman"/>
        </w:rPr>
        <w:t>工程高峰期施工人数</w:t>
      </w:r>
      <w:r>
        <w:rPr>
          <w:rFonts w:hint="eastAsia" w:cs="Times New Roman"/>
          <w:lang w:eastAsia="zh-CN"/>
        </w:rPr>
        <w:t>将</w:t>
      </w:r>
      <w:r>
        <w:rPr>
          <w:rFonts w:cs="Times New Roman"/>
        </w:rPr>
        <w:t>达到310人，按每人每天排放0.2kg生活垃圾计算，施工生活区高峰期日产生活垃圾</w:t>
      </w:r>
      <w:r>
        <w:rPr>
          <w:rFonts w:hint="eastAsia" w:cs="Times New Roman"/>
          <w:lang w:eastAsia="zh-CN"/>
        </w:rPr>
        <w:t>将</w:t>
      </w:r>
      <w:r>
        <w:rPr>
          <w:rFonts w:cs="Times New Roman"/>
        </w:rPr>
        <w:t>达到0.062t，整个运行期的生活垃圾累计达44t。</w:t>
      </w:r>
    </w:p>
    <w:p>
      <w:pPr>
        <w:ind w:firstLine="480"/>
        <w:rPr>
          <w:rFonts w:cs="Times New Roman"/>
        </w:rPr>
      </w:pPr>
      <w:r>
        <w:rPr>
          <w:rFonts w:cs="Times New Roman"/>
        </w:rPr>
        <w:t>工程运行期，管理人员预设为10人，按每人每天排放0.8kg生活垃圾计算，高峰期日产生活垃圾</w:t>
      </w:r>
      <w:r>
        <w:rPr>
          <w:rFonts w:hint="eastAsia" w:cs="Times New Roman"/>
          <w:lang w:eastAsia="zh-CN"/>
        </w:rPr>
        <w:t>将达</w:t>
      </w:r>
      <w:r>
        <w:rPr>
          <w:rFonts w:cs="Times New Roman"/>
        </w:rPr>
        <w:t>8kg。</w:t>
      </w:r>
    </w:p>
    <w:p>
      <w:pPr>
        <w:ind w:firstLine="480"/>
        <w:rPr>
          <w:rFonts w:cs="Times New Roman"/>
        </w:rPr>
      </w:pPr>
      <w:r>
        <w:rPr>
          <w:rFonts w:cs="Times New Roman"/>
        </w:rPr>
        <w:t>（1）生活垃圾成分及特点</w:t>
      </w:r>
    </w:p>
    <w:p>
      <w:pPr>
        <w:ind w:firstLine="480"/>
        <w:rPr>
          <w:rFonts w:cs="Times New Roman"/>
        </w:rPr>
      </w:pPr>
      <w:r>
        <w:rPr>
          <w:rFonts w:cs="Times New Roman"/>
        </w:rPr>
        <w:t>由于生活垃圾是苍蝇、</w:t>
      </w:r>
      <w:r>
        <w:rPr>
          <w:rFonts w:hint="eastAsia" w:cs="Times New Roman"/>
          <w:lang w:eastAsia="zh-CN"/>
        </w:rPr>
        <w:t>蚊虫滋生</w:t>
      </w:r>
      <w:r>
        <w:rPr>
          <w:rFonts w:cs="Times New Roman"/>
        </w:rPr>
        <w:t>、致病细菌繁衍、鼠类肆虐的场所，是传染病的重要传播源，垃圾处理不当，不仅会危害施工人群健康，同时还会严重影响施工区景观，污染周边环境。</w:t>
      </w:r>
    </w:p>
    <w:p>
      <w:pPr>
        <w:ind w:firstLine="480"/>
        <w:rPr>
          <w:rFonts w:cs="Times New Roman"/>
        </w:rPr>
      </w:pPr>
      <w:r>
        <w:rPr>
          <w:rFonts w:cs="Times New Roman"/>
        </w:rPr>
        <w:t>大中型水电工程生活垃圾组成特性较为相似，具有以下特点：</w:t>
      </w:r>
    </w:p>
    <w:p>
      <w:pPr>
        <w:ind w:firstLine="480"/>
        <w:rPr>
          <w:rFonts w:cs="Times New Roman"/>
        </w:rPr>
      </w:pPr>
      <w:r>
        <w:rPr>
          <w:rFonts w:cs="Times New Roman"/>
        </w:rPr>
        <w:t>A.垃圾中难降解物及无机物含量高(由塑料、玻璃和金属等组成)约60％；</w:t>
      </w:r>
    </w:p>
    <w:p>
      <w:pPr>
        <w:ind w:firstLine="480"/>
        <w:rPr>
          <w:rFonts w:cs="Times New Roman"/>
        </w:rPr>
      </w:pPr>
      <w:r>
        <w:rPr>
          <w:rFonts w:cs="Times New Roman"/>
        </w:rPr>
        <w:t>B.垃圾中有机成分主要以厨余为主；</w:t>
      </w:r>
    </w:p>
    <w:p>
      <w:pPr>
        <w:ind w:firstLine="480"/>
        <w:rPr>
          <w:rFonts w:cs="Times New Roman"/>
        </w:rPr>
      </w:pPr>
      <w:r>
        <w:rPr>
          <w:rFonts w:cs="Times New Roman"/>
        </w:rPr>
        <w:t>C.有机物中木草、塑料、织品、废纸等可燃物含量低；</w:t>
      </w:r>
    </w:p>
    <w:p>
      <w:pPr>
        <w:ind w:firstLine="480"/>
        <w:rPr>
          <w:rFonts w:cs="Times New Roman"/>
        </w:rPr>
      </w:pPr>
      <w:r>
        <w:rPr>
          <w:rFonts w:cs="Times New Roman"/>
        </w:rPr>
        <w:t>D.垃圾含水率高约30％，容重为0.7kg/L；</w:t>
      </w:r>
    </w:p>
    <w:p>
      <w:pPr>
        <w:ind w:firstLine="480"/>
        <w:rPr>
          <w:rFonts w:cs="Times New Roman"/>
        </w:rPr>
      </w:pPr>
      <w:r>
        <w:rPr>
          <w:rFonts w:cs="Times New Roman"/>
        </w:rPr>
        <w:t>E.垃圾低位发热值低。</w:t>
      </w:r>
    </w:p>
    <w:p>
      <w:pPr>
        <w:ind w:firstLine="480"/>
        <w:rPr>
          <w:rFonts w:cs="Times New Roman"/>
        </w:rPr>
      </w:pPr>
      <w:r>
        <w:rPr>
          <w:rFonts w:cs="Times New Roman"/>
        </w:rPr>
        <w:t>（2）处理目标</w:t>
      </w:r>
    </w:p>
    <w:p>
      <w:pPr>
        <w:ind w:firstLine="480"/>
        <w:rPr>
          <w:rFonts w:cs="Times New Roman"/>
        </w:rPr>
      </w:pPr>
      <w:r>
        <w:rPr>
          <w:rFonts w:cs="Times New Roman"/>
        </w:rPr>
        <w:t>生活垃圾处置率达100%。</w:t>
      </w:r>
    </w:p>
    <w:p>
      <w:pPr>
        <w:ind w:firstLine="480"/>
        <w:rPr>
          <w:rFonts w:cs="Times New Roman"/>
        </w:rPr>
      </w:pPr>
      <w:r>
        <w:rPr>
          <w:rFonts w:cs="Times New Roman"/>
        </w:rPr>
        <w:t>（3）处理方案</w:t>
      </w:r>
    </w:p>
    <w:p>
      <w:pPr>
        <w:ind w:firstLine="480"/>
        <w:rPr>
          <w:rFonts w:cs="Times New Roman"/>
        </w:rPr>
      </w:pPr>
      <w:r>
        <w:rPr>
          <w:rFonts w:cs="Times New Roman"/>
        </w:rPr>
        <w:t>根据本工程施工人数，在施工管理区设置2处生活垃圾收集站，垃圾收集站具体选址及占地结合现场实际条件进行调整，满足生活垃圾收集、暂存处置的要求，同时购备1辆垃圾车用于清运垃圾，在施工筹建期按就近原则与伊吾县生活垃圾填埋场签订施工期生活垃圾处置协议，垃圾最终运往符合当地环保、环卫部门要求处置点进行处理。此外，按每100人设置3个垃圾桶考虑，在施工管理生活区配置13个垃圾桶，分散安放在各施工区域，定期清运至垃圾填埋场卫生填埋。</w:t>
      </w:r>
    </w:p>
    <w:p>
      <w:pPr>
        <w:ind w:firstLine="480"/>
        <w:rPr>
          <w:rFonts w:cs="Times New Roman"/>
        </w:rPr>
      </w:pPr>
      <w:r>
        <w:rPr>
          <w:rFonts w:cs="Times New Roman"/>
        </w:rPr>
        <w:t>工程运行期，管理人员预设为10人，在管理站设置生活垃圾收集站及垃圾桶等设施，定期清理，装运至上述生活垃圾填埋场卫生填埋，避免对管理站周围环境及管理人员的生活环境产生影响。</w:t>
      </w:r>
    </w:p>
    <w:p>
      <w:pPr>
        <w:pStyle w:val="62"/>
        <w:rPr>
          <w:rFonts w:cs="Times New Roman"/>
        </w:rPr>
      </w:pPr>
      <w:r>
        <w:rPr>
          <w:rFonts w:cs="Times New Roman"/>
        </w:rPr>
        <w:t>6.3.4.3 危废</w:t>
      </w:r>
    </w:p>
    <w:p>
      <w:pPr>
        <w:ind w:firstLine="480"/>
        <w:rPr>
          <w:rFonts w:cs="Times New Roman"/>
        </w:rPr>
      </w:pPr>
      <w:r>
        <w:rPr>
          <w:rFonts w:cs="Times New Roman"/>
        </w:rPr>
        <w:t>工程施工期产生的危险废物主要为：工程机械设备维修保养和清洗等过程产生的废机油、废润滑油，清洗金属零件过程中产生的废弃煤油、柴油、汽油及其他溶剂油，以及油污手套等用具和沾染油污的土壤，含油废水处理设施内沉积的油污也属于危险废物。工程运行期危险废物主要来源于水库各类机械闸门检修维护和管理站车辆检修和保养过程中产生的废油，以及沾有油污的手套等清洁用具，危废产生量小。</w:t>
      </w:r>
    </w:p>
    <w:p>
      <w:pPr>
        <w:ind w:firstLine="480"/>
        <w:rPr>
          <w:rFonts w:cs="Times New Roman"/>
        </w:rPr>
      </w:pPr>
      <w:r>
        <w:rPr>
          <w:rFonts w:cs="Times New Roman"/>
        </w:rPr>
        <w:t>上述危险废物须按相关危险废物管理规定，进行收集、贮存、转运、处置，避免随意丢弃，禁止混入生活垃圾处置。</w:t>
      </w:r>
    </w:p>
    <w:p>
      <w:pPr>
        <w:ind w:firstLine="480"/>
        <w:rPr>
          <w:rFonts w:cs="Times New Roman"/>
        </w:rPr>
      </w:pPr>
      <w:r>
        <w:rPr>
          <w:rFonts w:cs="Times New Roman"/>
        </w:rPr>
        <w:t>（1）应编制《危险废物管理计划》、《危险废物意外事故防范措施和应急预案》等，按当地</w:t>
      </w:r>
      <w:r>
        <w:rPr>
          <w:rFonts w:hint="eastAsia" w:cs="Times New Roman"/>
          <w:lang w:eastAsia="zh-CN"/>
        </w:rPr>
        <w:t>生态环境部</w:t>
      </w:r>
      <w:r>
        <w:rPr>
          <w:rFonts w:cs="Times New Roman"/>
        </w:rPr>
        <w:t>门要求履行备案手续；</w:t>
      </w:r>
    </w:p>
    <w:p>
      <w:pPr>
        <w:ind w:firstLine="480"/>
        <w:rPr>
          <w:rFonts w:cs="Times New Roman"/>
        </w:rPr>
      </w:pPr>
      <w:r>
        <w:rPr>
          <w:rFonts w:cs="Times New Roman"/>
        </w:rPr>
        <w:t>（2）产生危险废物的施工单位，按设计要求建设危险废物暂存设施；</w:t>
      </w:r>
    </w:p>
    <w:p>
      <w:pPr>
        <w:ind w:firstLine="480"/>
        <w:rPr>
          <w:rFonts w:cs="Times New Roman"/>
        </w:rPr>
      </w:pPr>
      <w:r>
        <w:rPr>
          <w:rFonts w:cs="Times New Roman"/>
        </w:rPr>
        <w:t>（3）按照国家有关规定和环境保护标准要求贮存、利用、处置危险废物，不得擅自倾倒、堆放；建立危险废物管理台账，如实记录有关信息。转移危险废物的，应当按照国家有关规定填写、运行危险废物电子或者纸质转移联单；</w:t>
      </w:r>
    </w:p>
    <w:p>
      <w:pPr>
        <w:ind w:firstLine="480"/>
        <w:rPr>
          <w:rFonts w:cs="Times New Roman"/>
        </w:rPr>
      </w:pPr>
      <w:r>
        <w:rPr>
          <w:rFonts w:cs="Times New Roman"/>
        </w:rPr>
        <w:t>（4）禁止混合收集、贮存、运输、处置性质不相容而未经安全性处置的危险废物；禁止</w:t>
      </w:r>
      <w:r>
        <w:rPr>
          <w:rFonts w:hint="eastAsia" w:cs="Times New Roman"/>
          <w:lang w:eastAsia="zh-CN"/>
        </w:rPr>
        <w:t>将</w:t>
      </w:r>
      <w:r>
        <w:rPr>
          <w:rFonts w:cs="Times New Roman"/>
        </w:rPr>
        <w:t>危险废物混入非危险废物中贮存。</w:t>
      </w:r>
    </w:p>
    <w:p>
      <w:pPr>
        <w:pStyle w:val="4"/>
        <w:rPr>
          <w:rFonts w:cs="Times New Roman"/>
        </w:rPr>
      </w:pPr>
      <w:r>
        <w:rPr>
          <w:rFonts w:cs="Times New Roman"/>
        </w:rPr>
        <w:t>6.3.5 土壤环境保护对策措施</w:t>
      </w:r>
    </w:p>
    <w:p>
      <w:pPr>
        <w:ind w:firstLine="480"/>
        <w:rPr>
          <w:rFonts w:cs="Times New Roman"/>
        </w:rPr>
      </w:pPr>
      <w:r>
        <w:rPr>
          <w:rFonts w:cs="Times New Roman"/>
        </w:rPr>
        <w:t>（1）工程施工期应进一步优化施工布置、加强施工管理，禁止超范围施工，禁止扰动非占地区土壤。</w:t>
      </w:r>
    </w:p>
    <w:p>
      <w:pPr>
        <w:ind w:firstLine="480"/>
        <w:rPr>
          <w:rFonts w:cs="Times New Roman"/>
        </w:rPr>
      </w:pPr>
      <w:r>
        <w:rPr>
          <w:rFonts w:cs="Times New Roman"/>
        </w:rPr>
        <w:t>（2）施工前应对临时占地区表土进行剥离，单独堆放，施工结束后，结合水土保持方案中的植物措施，</w:t>
      </w:r>
      <w:r>
        <w:rPr>
          <w:rFonts w:hint="eastAsia" w:cs="Times New Roman"/>
          <w:lang w:eastAsia="zh-CN"/>
        </w:rPr>
        <w:t>将</w:t>
      </w:r>
      <w:r>
        <w:rPr>
          <w:rFonts w:cs="Times New Roman"/>
        </w:rPr>
        <w:t>表土用于临时占地区的植被恢复，减少对土壤资源的破坏。</w:t>
      </w:r>
    </w:p>
    <w:p>
      <w:pPr>
        <w:ind w:firstLine="480"/>
        <w:rPr>
          <w:rFonts w:cs="Times New Roman"/>
        </w:rPr>
      </w:pPr>
      <w:r>
        <w:rPr>
          <w:rFonts w:cs="Times New Roman"/>
        </w:rPr>
        <w:t>（3）施工结束后，结合水土保持措施，对施工临时占地区采取土地平整、覆土及植被恢复措施，为扰动区土壤的恢复创造有利条件。</w:t>
      </w:r>
    </w:p>
    <w:p>
      <w:pPr>
        <w:ind w:firstLine="480"/>
        <w:rPr>
          <w:rFonts w:cs="Times New Roman"/>
        </w:rPr>
      </w:pPr>
      <w:r>
        <w:rPr>
          <w:rFonts w:cs="Times New Roman"/>
        </w:rPr>
        <w:t>（4）各类污废水应严格按设计要求处理和综合利用，禁止随意排放，避免造成溶泄区土壤硬化、板结或被含油污的废水污染。</w:t>
      </w:r>
    </w:p>
    <w:p>
      <w:pPr>
        <w:pStyle w:val="3"/>
        <w:rPr>
          <w:rFonts w:cs="Times New Roman"/>
        </w:rPr>
      </w:pPr>
      <w:bookmarkStart w:id="134" w:name="_Toc181381627"/>
      <w:r>
        <w:rPr>
          <w:rFonts w:cs="Times New Roman"/>
        </w:rPr>
        <w:t>6.4 运行期水环境保护措施</w:t>
      </w:r>
      <w:bookmarkEnd w:id="134"/>
    </w:p>
    <w:p>
      <w:pPr>
        <w:pStyle w:val="4"/>
        <w:rPr>
          <w:rFonts w:cs="Times New Roman"/>
        </w:rPr>
      </w:pPr>
      <w:r>
        <w:rPr>
          <w:rFonts w:cs="Times New Roman"/>
        </w:rPr>
        <w:t>6.4.1 生态流量保证措施</w:t>
      </w:r>
    </w:p>
    <w:p>
      <w:pPr>
        <w:ind w:firstLine="480"/>
        <w:rPr>
          <w:rFonts w:cs="Times New Roman"/>
        </w:rPr>
      </w:pPr>
      <w:r>
        <w:rPr>
          <w:rFonts w:cs="Times New Roman"/>
        </w:rPr>
        <w:t>（1）可研阶段生态流量的确定</w:t>
      </w:r>
    </w:p>
    <w:p>
      <w:pPr>
        <w:ind w:firstLine="480"/>
        <w:rPr>
          <w:rFonts w:cs="Times New Roman"/>
        </w:rPr>
      </w:pPr>
      <w:r>
        <w:rPr>
          <w:rFonts w:cs="Times New Roman"/>
        </w:rPr>
        <w:t>根据《新疆重要江河湖泊生态水量保障方案》及《新疆内陆河湖基本生态水量（流量）确定技术指南（试行）》，确定代尔昆代郭勒河流域基本生态水量保证率取85%。</w:t>
      </w:r>
    </w:p>
    <w:p>
      <w:pPr>
        <w:ind w:firstLine="480"/>
        <w:rPr>
          <w:rFonts w:cs="Times New Roman"/>
        </w:rPr>
      </w:pPr>
      <w:r>
        <w:rPr>
          <w:rFonts w:cs="Times New Roman"/>
        </w:rPr>
        <w:t>根据《水利水电工程生态流量计算与泄放设计规范》（SL/T820-2023）附录A表A.1.3，代尔昆代郭勒河河道内生态状态取为一般。</w:t>
      </w:r>
    </w:p>
    <w:p>
      <w:pPr>
        <w:ind w:firstLine="480"/>
        <w:rPr>
          <w:rFonts w:cs="Times New Roman"/>
        </w:rPr>
      </w:pPr>
      <w:r>
        <w:rPr>
          <w:rFonts w:cs="Times New Roman"/>
        </w:rPr>
        <w:t>基于以上分析，代尔昆代水库坝址断面生态流量取值为坝址断面多年平均来水条件下各月月均天然流量的10%；代尔昆代水库坝址断面多年平均径流量为834.4万m</w:t>
      </w:r>
      <w:r>
        <w:rPr>
          <w:rFonts w:cs="Times New Roman"/>
          <w:vertAlign w:val="superscript"/>
        </w:rPr>
        <w:t>3</w:t>
      </w:r>
      <w:r>
        <w:rPr>
          <w:rFonts w:cs="Times New Roman"/>
        </w:rPr>
        <w:t>，则生态水量为83.44万m</w:t>
      </w:r>
      <w:r>
        <w:rPr>
          <w:rFonts w:cs="Times New Roman"/>
          <w:vertAlign w:val="superscript"/>
        </w:rPr>
        <w:t>3</w:t>
      </w:r>
      <w:r>
        <w:rPr>
          <w:rFonts w:cs="Times New Roman"/>
        </w:rPr>
        <w:t>。</w:t>
      </w:r>
    </w:p>
    <w:p>
      <w:pPr>
        <w:ind w:firstLine="480"/>
        <w:rPr>
          <w:rFonts w:cs="Times New Roman"/>
        </w:rPr>
      </w:pPr>
      <w:r>
        <w:rPr>
          <w:rFonts w:cs="Times New Roman"/>
        </w:rPr>
        <w:t>（2）优化调整建议</w:t>
      </w:r>
    </w:p>
    <w:p>
      <w:pPr>
        <w:ind w:firstLine="480"/>
        <w:rPr>
          <w:rFonts w:cs="Times New Roman"/>
        </w:rPr>
      </w:pPr>
      <w:r>
        <w:rPr>
          <w:rFonts w:cs="Times New Roman"/>
        </w:rPr>
        <w:t>代尔昆代郭勒河属于季节性河流，流域多年平均径流量834万m</w:t>
      </w:r>
      <w:r>
        <w:rPr>
          <w:rFonts w:cs="Times New Roman"/>
          <w:vertAlign w:val="superscript"/>
        </w:rPr>
        <w:t>3</w:t>
      </w:r>
      <w:r>
        <w:rPr>
          <w:rFonts w:cs="Times New Roman"/>
        </w:rPr>
        <w:t>，多年平均流量0.26m</w:t>
      </w:r>
      <w:r>
        <w:rPr>
          <w:rFonts w:cs="Times New Roman"/>
          <w:vertAlign w:val="superscript"/>
        </w:rPr>
        <w:t>3</w:t>
      </w:r>
      <w:r>
        <w:rPr>
          <w:rFonts w:cs="Times New Roman"/>
        </w:rPr>
        <w:t>/s。流域规划阶段，哈密市水利局根据《新疆内陆河湖基本生态水量（流量）确定技术指南（试行）》，结合流域特点，确定代尔昆代流域基本生态水量保证率取85%，下泄基本生态水量合计120.74万m</w:t>
      </w:r>
      <w:r>
        <w:rPr>
          <w:rFonts w:cs="Times New Roman"/>
          <w:vertAlign w:val="superscript"/>
        </w:rPr>
        <w:t>3</w:t>
      </w:r>
      <w:r>
        <w:rPr>
          <w:rFonts w:cs="Times New Roman"/>
        </w:rPr>
        <w:t>，为多年平均径流量的14.47%，并取得哈密市生态环境局同意，详见附件《关于对＜关于征求伊吾县代尔昆代郭勒河流域生态基流相关事宜意见建议的函＞复函》。</w:t>
      </w:r>
    </w:p>
    <w:p>
      <w:pPr>
        <w:ind w:firstLine="480"/>
        <w:rPr>
          <w:rFonts w:cs="Times New Roman"/>
        </w:rPr>
      </w:pPr>
      <w:r>
        <w:rPr>
          <w:rFonts w:cs="Times New Roman"/>
        </w:rPr>
        <w:t>流域规划环评阶段对生态流量进行细化提出，代尔昆代水库坝址断面生态流量保证率为p=85%，具体要求为：代尔昆代水库坝址断面（1～5月、10～12月）下泄生态流量不低于多年平均流量的10%；6月、9月下泄生态流量不低于多年平均流量的19%；汛期7月、8月下泄生态流量不低于多年平均流量的30%。后期在淖毛湖区域工业用水有替代水源或通过提高工业用水重复利用率、灌溉节水效率后，适当减少代尔昆代水库向淖毛湖区域供水，使代尔昆代郭勒流域6月、9月下泄生态水量达到多年平均天然流量的30%。规划环评审查意见提出水库工程坝址断面下泄生态流量：丰水期不小于多年平均天然径流量的30%、枯水期不小于多年平均天然径流量的10%。</w:t>
      </w:r>
    </w:p>
    <w:p>
      <w:pPr>
        <w:ind w:firstLine="480"/>
        <w:rPr>
          <w:rFonts w:cs="Times New Roman"/>
        </w:rPr>
      </w:pPr>
      <w:r>
        <w:rPr>
          <w:rFonts w:cs="Times New Roman"/>
        </w:rPr>
        <w:t>经对比分析，可研阶段代尔昆代水库坝址断面生态流量下泄要求不符合流域规划环评。</w:t>
      </w:r>
    </w:p>
    <w:p>
      <w:pPr>
        <w:ind w:firstLine="480"/>
        <w:rPr>
          <w:rFonts w:cs="Times New Roman"/>
        </w:rPr>
      </w:pPr>
      <w:r>
        <w:rPr>
          <w:rFonts w:cs="Times New Roman"/>
        </w:rPr>
        <w:t>本次评价提出，下阶段优化代尔昆代水库规模论证及调度运行，重点确保生态流量年下泄总量符合流域规划环评阶段生态流量下泄总量124.13万m</w:t>
      </w:r>
      <w:r>
        <w:rPr>
          <w:rFonts w:cs="Times New Roman"/>
          <w:vertAlign w:val="superscript"/>
        </w:rPr>
        <w:t>3</w:t>
      </w:r>
      <w:r>
        <w:rPr>
          <w:rFonts w:cs="Times New Roman"/>
        </w:rPr>
        <w:t>的要求，其次水库坝址断面各月生态流量下泄尽可能符合流域规划环评提出的生态流量泄放过程。</w:t>
      </w:r>
    </w:p>
    <w:p>
      <w:pPr>
        <w:ind w:firstLine="480"/>
        <w:rPr>
          <w:rFonts w:cs="Times New Roman"/>
        </w:rPr>
      </w:pPr>
      <w:r>
        <w:rPr>
          <w:rFonts w:cs="Times New Roman"/>
        </w:rPr>
        <w:t>严格落实流域规划环评要求，项目实施过程中，通过提高淖毛湖区域各业用水效率，加强中水回用，以降低地区用水总量，从而适当减少代尔昆代水库向淖毛湖区域供水，确保代尔昆代水库生态流量下泄过程及总量符合流域规划环评要求。</w:t>
      </w:r>
    </w:p>
    <w:p>
      <w:pPr>
        <w:ind w:firstLine="480"/>
        <w:rPr>
          <w:rFonts w:cs="Times New Roman"/>
        </w:rPr>
      </w:pPr>
      <w:r>
        <w:rPr>
          <w:rFonts w:cs="Times New Roman"/>
        </w:rPr>
        <w:t>可研阶段，主体设计拟通过放水管泄放生态流量及供水，放水管布设在导流隧洞底部，其管道末端阀井内布置了生态放水管（DN200mm、设计流量0.068m</w:t>
      </w:r>
      <w:r>
        <w:rPr>
          <w:rFonts w:cs="Times New Roman"/>
          <w:vertAlign w:val="superscript"/>
        </w:rPr>
        <w:t>3</w:t>
      </w:r>
      <w:r>
        <w:rPr>
          <w:rFonts w:cs="Times New Roman"/>
        </w:rPr>
        <w:t>/s），经复核生态放水管设计流量偏小无法泄放30%生态流量。本次工程环评提出，适当扩大生态放水管设计规模，使其能下泄30%生态流量。</w:t>
      </w:r>
    </w:p>
    <w:p>
      <w:pPr>
        <w:pStyle w:val="4"/>
        <w:rPr>
          <w:rFonts w:cs="Times New Roman"/>
        </w:rPr>
      </w:pPr>
      <w:r>
        <w:rPr>
          <w:rFonts w:cs="Times New Roman"/>
        </w:rPr>
        <w:t>6.4.2 水资源管理措施</w:t>
      </w:r>
    </w:p>
    <w:p>
      <w:pPr>
        <w:ind w:firstLine="480"/>
        <w:rPr>
          <w:rFonts w:cs="Times New Roman"/>
        </w:rPr>
      </w:pPr>
      <w:r>
        <w:rPr>
          <w:rFonts w:cs="Times New Roman"/>
        </w:rPr>
        <w:t>（1）实施最严格的水资源管理制度，强化流域水资源统一管理。设计水平年流域通过落实最严格水资源管理规定，实行灌区用水总量控制；同时，切实强化流域水资源管理，对流域水资源进行统一调度，优化保证生态用水，严格控制社会经济用水规模。</w:t>
      </w:r>
    </w:p>
    <w:p>
      <w:pPr>
        <w:ind w:firstLine="480"/>
        <w:rPr>
          <w:rFonts w:cs="Times New Roman"/>
        </w:rPr>
      </w:pPr>
      <w:r>
        <w:rPr>
          <w:rFonts w:cs="Times New Roman"/>
        </w:rPr>
        <w:t>（2）严格控制流域社会经济用水总量。应严格落实流域灌区面积消减和实施高效节水措施，以保障设计水平年流域社会经济用水总量低于现状水平。</w:t>
      </w:r>
    </w:p>
    <w:p>
      <w:pPr>
        <w:ind w:firstLine="480"/>
        <w:rPr>
          <w:rFonts w:cs="Times New Roman"/>
        </w:rPr>
      </w:pPr>
      <w:r>
        <w:rPr>
          <w:rFonts w:cs="Times New Roman"/>
        </w:rPr>
        <w:t>（3）切实强化流域灌区取水管理。严格按照水资源配置方案拟定的各供水灌区供水量引水，采取有力措施加强各引水口取水管理，避免超引水。</w:t>
      </w:r>
    </w:p>
    <w:p>
      <w:pPr>
        <w:ind w:firstLine="480"/>
        <w:rPr>
          <w:rFonts w:cs="Times New Roman"/>
        </w:rPr>
      </w:pPr>
      <w:r>
        <w:rPr>
          <w:rFonts w:cs="Times New Roman"/>
        </w:rPr>
        <w:t>（4）优先考虑流域生态用水。流域管理机构在制定流域用水计划时，应优先考虑主要控制断面生态基流；合理分配灌区用水，避免流域社会经济用水所占份额过大挤占生态用水，以保证生态用水。</w:t>
      </w:r>
    </w:p>
    <w:p>
      <w:pPr>
        <w:ind w:firstLine="480"/>
        <w:rPr>
          <w:rFonts w:cs="Times New Roman"/>
        </w:rPr>
      </w:pPr>
      <w:r>
        <w:rPr>
          <w:rFonts w:cs="Times New Roman"/>
        </w:rPr>
        <w:t>（5）建立用水效率控制制度。确立用水效率控制红线，坚决遏制用水浪费。加快制定流域各行业用水效率指标体系，加强用水定额和计划管理。</w:t>
      </w:r>
    </w:p>
    <w:p>
      <w:pPr>
        <w:ind w:firstLine="480"/>
        <w:rPr>
          <w:rFonts w:cs="Times New Roman"/>
        </w:rPr>
      </w:pPr>
      <w:r>
        <w:rPr>
          <w:rFonts w:cs="Times New Roman"/>
        </w:rPr>
        <w:t>（6）建立水资源管理责任和考核制度。流域机构主要负责人对本流域水资源管理和保护工作负总责。</w:t>
      </w:r>
    </w:p>
    <w:p>
      <w:pPr>
        <w:pStyle w:val="4"/>
        <w:rPr>
          <w:rFonts w:cs="Times New Roman"/>
        </w:rPr>
      </w:pPr>
      <w:r>
        <w:rPr>
          <w:rFonts w:cs="Times New Roman"/>
        </w:rPr>
        <w:t>6.4.3 水质保护措施</w:t>
      </w:r>
    </w:p>
    <w:p>
      <w:pPr>
        <w:ind w:firstLine="480"/>
        <w:rPr>
          <w:rFonts w:cs="Times New Roman"/>
        </w:rPr>
      </w:pPr>
      <w:r>
        <w:rPr>
          <w:rFonts w:cs="Times New Roman"/>
        </w:rPr>
        <w:t>（1）工程管理区生活污水治理措施</w:t>
      </w:r>
    </w:p>
    <w:p>
      <w:pPr>
        <w:ind w:firstLine="480"/>
        <w:rPr>
          <w:rFonts w:cs="Times New Roman"/>
        </w:rPr>
      </w:pPr>
      <w:r>
        <w:rPr>
          <w:rFonts w:hint="eastAsia" w:ascii="宋体" w:hAnsi="宋体" w:cs="宋体"/>
        </w:rPr>
        <w:t>①</w:t>
      </w:r>
      <w:r>
        <w:rPr>
          <w:rFonts w:cs="Times New Roman"/>
        </w:rPr>
        <w:t>污水排放量</w:t>
      </w:r>
    </w:p>
    <w:p>
      <w:pPr>
        <w:ind w:firstLine="480"/>
        <w:rPr>
          <w:rFonts w:cs="Times New Roman"/>
        </w:rPr>
      </w:pPr>
      <w:r>
        <w:rPr>
          <w:rFonts w:cs="Times New Roman"/>
        </w:rPr>
        <w:t>运行期管理区定员10人，按生活用水每人每天120L计，排放率为80%计算，高峰期生活污水排放量为0.96m</w:t>
      </w:r>
      <w:r>
        <w:rPr>
          <w:rFonts w:cs="Times New Roman"/>
          <w:vertAlign w:val="superscript"/>
        </w:rPr>
        <w:t>3</w:t>
      </w:r>
      <w:r>
        <w:rPr>
          <w:rFonts w:cs="Times New Roman"/>
        </w:rPr>
        <w:t>/d。</w:t>
      </w:r>
    </w:p>
    <w:p>
      <w:pPr>
        <w:ind w:firstLine="480"/>
        <w:rPr>
          <w:rFonts w:cs="Times New Roman"/>
        </w:rPr>
      </w:pPr>
      <w:r>
        <w:rPr>
          <w:rFonts w:hint="eastAsia" w:ascii="宋体" w:hAnsi="宋体" w:cs="宋体"/>
        </w:rPr>
        <w:t>②</w:t>
      </w:r>
      <w:r>
        <w:rPr>
          <w:rFonts w:cs="Times New Roman"/>
        </w:rPr>
        <w:t>污水处理工艺及设计参数</w:t>
      </w:r>
    </w:p>
    <w:p>
      <w:pPr>
        <w:ind w:firstLine="480"/>
        <w:rPr>
          <w:rFonts w:cs="Times New Roman"/>
        </w:rPr>
      </w:pPr>
      <w:r>
        <w:rPr>
          <w:rFonts w:cs="Times New Roman"/>
        </w:rPr>
        <w:t>施工管理区在工程建成后用作运行期工程管理区，生活污水采取永临结合，处理工艺及设计参数见前文6.3.1.6节。</w:t>
      </w:r>
    </w:p>
    <w:p>
      <w:pPr>
        <w:ind w:firstLine="480"/>
        <w:rPr>
          <w:rFonts w:cs="Times New Roman"/>
        </w:rPr>
      </w:pPr>
      <w:r>
        <w:rPr>
          <w:rFonts w:cs="Times New Roman"/>
        </w:rPr>
        <w:t>处理设施尺寸及设备</w:t>
      </w:r>
    </w:p>
    <w:p>
      <w:pPr>
        <w:ind w:firstLine="480"/>
        <w:rPr>
          <w:rFonts w:cs="Times New Roman"/>
        </w:rPr>
      </w:pPr>
      <w:r>
        <w:rPr>
          <w:rFonts w:cs="Times New Roman"/>
        </w:rPr>
        <w:t>处理设施及设备见前文6.3.1.6节。</w:t>
      </w:r>
    </w:p>
    <w:p>
      <w:pPr>
        <w:ind w:firstLine="480"/>
        <w:rPr>
          <w:rFonts w:cs="Times New Roman"/>
        </w:rPr>
      </w:pPr>
      <w:r>
        <w:rPr>
          <w:rFonts w:cs="Times New Roman"/>
        </w:rPr>
        <w:t>运行期管理措施</w:t>
      </w:r>
    </w:p>
    <w:p>
      <w:pPr>
        <w:ind w:firstLine="480"/>
        <w:rPr>
          <w:rFonts w:cs="Times New Roman"/>
        </w:rPr>
      </w:pPr>
      <w:r>
        <w:rPr>
          <w:rFonts w:cs="Times New Roman"/>
        </w:rPr>
        <w:t>污水成套处理设备地面控制室需一名管理人员，在上岗前有设备厂家</w:t>
      </w:r>
      <w:r>
        <w:rPr>
          <w:rFonts w:hint="eastAsia" w:cs="Times New Roman"/>
          <w:lang w:eastAsia="zh-CN"/>
        </w:rPr>
        <w:t>负责前期技术</w:t>
      </w:r>
      <w:r>
        <w:rPr>
          <w:rFonts w:cs="Times New Roman"/>
        </w:rPr>
        <w:t>管理培训；操作人员应严格按照操作技术规程操作，并定期维护；处理后的污水用于站内绿化灌溉或周边草地浇灌，冬季蓄存夏季浇灌。</w:t>
      </w:r>
    </w:p>
    <w:p>
      <w:pPr>
        <w:ind w:firstLine="480"/>
        <w:rPr>
          <w:rFonts w:cs="Times New Roman"/>
        </w:rPr>
      </w:pPr>
      <w:r>
        <w:rPr>
          <w:rFonts w:cs="Times New Roman"/>
        </w:rPr>
        <w:t>（2）运行期水质保护措施</w:t>
      </w:r>
    </w:p>
    <w:p>
      <w:pPr>
        <w:ind w:firstLine="480"/>
        <w:rPr>
          <w:rFonts w:cs="Times New Roman"/>
        </w:rPr>
      </w:pPr>
      <w:r>
        <w:rPr>
          <w:rFonts w:hint="eastAsia" w:ascii="宋体" w:hAnsi="宋体" w:cs="宋体"/>
        </w:rPr>
        <w:t>①</w:t>
      </w:r>
      <w:r>
        <w:rPr>
          <w:rFonts w:cs="Times New Roman"/>
        </w:rPr>
        <w:t>根据《水电工程水库库底清理设计规范》（DL/T 5381-2007）的规定，为防止淹没于代尔昆代水库工程库区内的树木、杂物及人畜粪便等对水体污染和对水库安全运行的影响，在代尔昆代水库蓄水前必须对库底进行清理。</w:t>
      </w:r>
    </w:p>
    <w:p>
      <w:pPr>
        <w:ind w:firstLine="480"/>
        <w:rPr>
          <w:rFonts w:cs="Times New Roman"/>
        </w:rPr>
      </w:pPr>
      <w:r>
        <w:rPr>
          <w:rFonts w:hint="eastAsia" w:ascii="宋体" w:hAnsi="宋体" w:cs="宋体"/>
        </w:rPr>
        <w:t>②</w:t>
      </w:r>
      <w:r>
        <w:rPr>
          <w:rFonts w:cs="Times New Roman"/>
        </w:rPr>
        <w:t>运行期加强库区水质保护</w:t>
      </w:r>
    </w:p>
    <w:p>
      <w:pPr>
        <w:ind w:firstLine="480"/>
        <w:rPr>
          <w:rFonts w:cs="Times New Roman"/>
        </w:rPr>
      </w:pPr>
      <w:r>
        <w:rPr>
          <w:rFonts w:cs="Times New Roman"/>
        </w:rPr>
        <w:t>严格按照代尔昆代郭勒河II类水质保护目标开展库区水质保护工作，划定水库库区为饮用水水源保护区。</w:t>
      </w:r>
    </w:p>
    <w:p>
      <w:pPr>
        <w:ind w:firstLine="480"/>
        <w:rPr>
          <w:rFonts w:cs="Times New Roman"/>
        </w:rPr>
      </w:pPr>
      <w:r>
        <w:rPr>
          <w:rFonts w:cs="Times New Roman"/>
        </w:rPr>
        <w:t>A.为保护库周环境及水库水质，库周及库区上游干、支流建议严禁发展污染企业，严禁设置各类排污口，禁止人畜粪便、垃圾、生活污水直接下河；建设单位应配合地方环保部门做好库区及上游环境污染监督</w:t>
      </w:r>
      <w:r>
        <w:rPr>
          <w:rFonts w:hint="eastAsia" w:cs="Times New Roman"/>
          <w:lang w:eastAsia="zh-CN"/>
        </w:rPr>
        <w:t>检查</w:t>
      </w:r>
      <w:r>
        <w:rPr>
          <w:rFonts w:cs="Times New Roman"/>
        </w:rPr>
        <w:t>。</w:t>
      </w:r>
    </w:p>
    <w:p>
      <w:pPr>
        <w:ind w:firstLine="480"/>
        <w:rPr>
          <w:rFonts w:cs="Times New Roman"/>
        </w:rPr>
      </w:pPr>
      <w:r>
        <w:rPr>
          <w:rFonts w:cs="Times New Roman"/>
        </w:rPr>
        <w:t>B.保护库周植被，涵养水源，不得对库周灌木随意砍伐。</w:t>
      </w:r>
    </w:p>
    <w:p>
      <w:pPr>
        <w:ind w:firstLine="480"/>
        <w:rPr>
          <w:rFonts w:cs="Times New Roman"/>
        </w:rPr>
      </w:pPr>
      <w:r>
        <w:rPr>
          <w:rFonts w:cs="Times New Roman"/>
        </w:rPr>
        <w:t>C.禁止从事网箱养殖、垂钓、游泳、放养畜禽；挖沙、取土；设置油库。</w:t>
      </w:r>
    </w:p>
    <w:p>
      <w:pPr>
        <w:ind w:firstLine="480"/>
        <w:rPr>
          <w:rFonts w:cs="Times New Roman"/>
        </w:rPr>
      </w:pPr>
      <w:r>
        <w:rPr>
          <w:rFonts w:cs="Times New Roman"/>
        </w:rPr>
        <w:t>D.定期打捞水库漂浮物，保护库区水质。</w:t>
      </w:r>
    </w:p>
    <w:p>
      <w:pPr>
        <w:ind w:firstLine="480"/>
        <w:rPr>
          <w:rFonts w:cs="Times New Roman"/>
        </w:rPr>
      </w:pPr>
      <w:r>
        <w:rPr>
          <w:rFonts w:cs="Times New Roman"/>
        </w:rPr>
        <w:t>E.加强工程影响河段水质保护；由于代尔昆代郭勒河目标水质为II类，因此应严禁审批各项新增水污染物的建设项目。</w:t>
      </w:r>
    </w:p>
    <w:p>
      <w:pPr>
        <w:ind w:firstLine="480"/>
        <w:rPr>
          <w:rFonts w:cs="Times New Roman"/>
        </w:rPr>
      </w:pPr>
    </w:p>
    <w:p>
      <w:pPr>
        <w:pStyle w:val="3"/>
        <w:rPr>
          <w:rFonts w:cs="Times New Roman"/>
        </w:rPr>
      </w:pPr>
      <w:bookmarkStart w:id="135" w:name="_Toc181381628"/>
      <w:r>
        <w:rPr>
          <w:rFonts w:cs="Times New Roman"/>
        </w:rPr>
        <w:t>6.5 地下水环境保护措施</w:t>
      </w:r>
      <w:bookmarkEnd w:id="135"/>
    </w:p>
    <w:p>
      <w:pPr>
        <w:ind w:firstLine="480"/>
        <w:rPr>
          <w:rFonts w:cs="Times New Roman"/>
        </w:rPr>
      </w:pPr>
      <w:r>
        <w:rPr>
          <w:rFonts w:cs="Times New Roman"/>
        </w:rPr>
        <w:t>（1）施工期</w:t>
      </w:r>
    </w:p>
    <w:p>
      <w:pPr>
        <w:ind w:firstLine="480"/>
        <w:rPr>
          <w:rFonts w:cs="Times New Roman"/>
        </w:rPr>
      </w:pPr>
      <w:r>
        <w:rPr>
          <w:rFonts w:cs="Times New Roman"/>
        </w:rPr>
        <w:t>根据影响分析，本工程施工过程对地下水水位及流场等基本无影响，且施工区附近无以地下水为水源的水资源利用情况，因此，从预防保护角度提出：当出现工程建设过程中遇到隧洞突水问题时，应尽可能的采取堵断措施，避免采用引流措施，以确保工程建设对地下水量的影响程度减至最小。</w:t>
      </w:r>
    </w:p>
    <w:p>
      <w:pPr>
        <w:ind w:firstLine="480"/>
        <w:rPr>
          <w:rFonts w:cs="Times New Roman"/>
        </w:rPr>
      </w:pPr>
      <w:r>
        <w:rPr>
          <w:rFonts w:cs="Times New Roman"/>
        </w:rPr>
        <w:t>（2）运行期</w:t>
      </w:r>
    </w:p>
    <w:p>
      <w:pPr>
        <w:ind w:firstLine="480"/>
        <w:rPr>
          <w:rFonts w:cs="Times New Roman"/>
        </w:rPr>
      </w:pPr>
      <w:r>
        <w:rPr>
          <w:rFonts w:cs="Times New Roman"/>
        </w:rPr>
        <w:t>应加强工程下马崖泉水区地下水位及泉水出露量长期观测，并开展长期的跟踪监测评价，视跟踪监测评价结果，实施采取补救措施，如出现大面积地下水位持续下降或泉水出露量减少，应调查分析原因，根据原因采取相关措施，以维持一定地下水位和泉水出露量。</w:t>
      </w:r>
    </w:p>
    <w:p>
      <w:pPr>
        <w:ind w:firstLine="480"/>
        <w:rPr>
          <w:rFonts w:cs="Times New Roman"/>
        </w:rPr>
      </w:pPr>
    </w:p>
    <w:p>
      <w:pPr>
        <w:pStyle w:val="3"/>
        <w:rPr>
          <w:rFonts w:cs="Times New Roman"/>
        </w:rPr>
      </w:pPr>
      <w:bookmarkStart w:id="136" w:name="_Toc181381629"/>
      <w:r>
        <w:rPr>
          <w:rFonts w:cs="Times New Roman"/>
        </w:rPr>
        <w:t>6.6 陆生生态环境保护措施</w:t>
      </w:r>
      <w:bookmarkEnd w:id="136"/>
    </w:p>
    <w:p>
      <w:pPr>
        <w:pStyle w:val="4"/>
      </w:pPr>
      <w:r>
        <w:rPr>
          <w:rFonts w:hint="eastAsia"/>
        </w:rPr>
        <w:t>6.6.1 生态红线保护对策措施</w:t>
      </w:r>
    </w:p>
    <w:p>
      <w:pPr>
        <w:ind w:firstLine="480"/>
      </w:pPr>
      <w:r>
        <w:rPr>
          <w:rFonts w:hint="eastAsia"/>
        </w:rPr>
        <w:t>代尔昆代水库工程淹没、占用生态保护红线约9.35hm</w:t>
      </w:r>
      <w:r>
        <w:rPr>
          <w:rFonts w:hint="eastAsia"/>
          <w:vertAlign w:val="superscript"/>
        </w:rPr>
        <w:t>2</w:t>
      </w:r>
      <w:r>
        <w:rPr>
          <w:rFonts w:hint="eastAsia"/>
        </w:rPr>
        <w:t>，建设单位应根据生态保护红线的相关规定，进行红线不可避让论证说明，取得主管部门的同意后，依法办理征占地等相关手续；施工过程中，提高环境保护要求，禁止在红线区内布置渣场、料场、临时生产生活区等各类临建设施，严格落实生态保护与恢复责任，维护生态红线区主导生态功能。</w:t>
      </w:r>
    </w:p>
    <w:p>
      <w:pPr>
        <w:pStyle w:val="4"/>
      </w:pPr>
      <w:r>
        <w:rPr>
          <w:rFonts w:hint="eastAsia"/>
        </w:rPr>
        <w:t>6.6.2 生态影响的避免</w:t>
      </w:r>
    </w:p>
    <w:p>
      <w:pPr>
        <w:ind w:firstLine="480"/>
      </w:pPr>
      <w:r>
        <w:rPr>
          <w:rFonts w:hint="eastAsia"/>
        </w:rPr>
        <w:t>（1）避免对野生动物的影响</w:t>
      </w:r>
    </w:p>
    <w:p>
      <w:pPr>
        <w:ind w:firstLine="480"/>
      </w:pPr>
      <w:r>
        <w:rPr>
          <w:rFonts w:hint="eastAsia"/>
        </w:rPr>
        <w:t>①在施工期间对施工人员加强生态保护的宣传教育，以宣传册、标志牌等形式，对工区工作人员、特别是施工人员及时进行宣传教育。</w:t>
      </w:r>
    </w:p>
    <w:p>
      <w:pPr>
        <w:ind w:firstLine="480"/>
      </w:pPr>
      <w:r>
        <w:rPr>
          <w:rFonts w:hint="eastAsia"/>
        </w:rPr>
        <w:t>②建立生态破坏惩罚制度，严禁施工人员非法猎捕野生动物；根据施工总平面布置图，确定施工用地范围，进行标桩划界，禁止施工人员进入非施工占地区域；非施工区严禁烟火、狩猎和垂钓等活动。禁止施工人员野外用火，使对野生动物的干扰降至最低程度。</w:t>
      </w:r>
    </w:p>
    <w:p>
      <w:pPr>
        <w:ind w:firstLine="480"/>
      </w:pPr>
      <w:r>
        <w:rPr>
          <w:rFonts w:hint="eastAsia"/>
        </w:rPr>
        <w:t>③野生鸟类和兽类大多是晨、昏(早晨、黄昏)或夜间外出觅食，正午是鸟类休息时间。为了减少工程施工爆破噪声对野生动物的惊扰，应做好爆破方式、数量、时间的计划，并力求避免在夜间晨昏和正午进行爆破。</w:t>
      </w:r>
    </w:p>
    <w:p>
      <w:pPr>
        <w:ind w:firstLine="480"/>
      </w:pPr>
      <w:r>
        <w:rPr>
          <w:rFonts w:hint="eastAsia"/>
        </w:rPr>
        <w:t>④施工期加强鸢、苍鹰、白尾鹞、燕隼、灰背隼、红隼、北山羊、赤狐等保护动物基本情况的宣传，增强施工人员的生态保护意识；一旦发现上述保护动物误入工程区，应及时上报，严禁捕杀。</w:t>
      </w:r>
    </w:p>
    <w:p>
      <w:pPr>
        <w:ind w:firstLine="480"/>
      </w:pPr>
      <w:r>
        <w:rPr>
          <w:rFonts w:hint="eastAsia"/>
        </w:rPr>
        <w:t>⑤加强工程建设的环境保护监督管理、统筹安排，设立环境保护监督机构和环保专职人员，加强对施工人员的环保教育，严禁施工人员盗猎野生动物，对违法行为进行依法处置。</w:t>
      </w:r>
    </w:p>
    <w:p>
      <w:pPr>
        <w:ind w:firstLine="480"/>
      </w:pPr>
      <w:r>
        <w:rPr>
          <w:rFonts w:hint="eastAsia"/>
        </w:rPr>
        <w:t>（2）避免对陆生植物的影响</w:t>
      </w:r>
    </w:p>
    <w:p>
      <w:pPr>
        <w:ind w:firstLine="480"/>
      </w:pPr>
      <w:r>
        <w:rPr>
          <w:rFonts w:hint="eastAsia"/>
        </w:rPr>
        <w:t>明确施工用地范围，禁止施工人员、车辆进入非施工占地区域。施工结束后</w:t>
      </w:r>
      <w:r>
        <w:rPr>
          <w:rFonts w:hint="eastAsia"/>
          <w:lang w:eastAsia="zh-CN"/>
        </w:rPr>
        <w:t>将</w:t>
      </w:r>
      <w:r>
        <w:rPr>
          <w:rFonts w:hint="eastAsia"/>
        </w:rPr>
        <w:t>工程占地范围分为弃渣场、施工生产生活区等分区进行植被恢复以减缓工程建设对项目区植被的影响。</w:t>
      </w:r>
    </w:p>
    <w:p>
      <w:pPr>
        <w:pStyle w:val="4"/>
      </w:pPr>
      <w:r>
        <w:rPr>
          <w:rFonts w:hint="eastAsia"/>
        </w:rPr>
        <w:t>6.6.3生态影响的消减</w:t>
      </w:r>
    </w:p>
    <w:p>
      <w:pPr>
        <w:ind w:firstLine="480"/>
      </w:pPr>
      <w:r>
        <w:rPr>
          <w:rFonts w:hint="eastAsia"/>
        </w:rPr>
        <w:t>（1）按照施工总体布置，严格限制施工活动范围，禁止施工机械碾压非施工区域，减少对地表的扰动。</w:t>
      </w:r>
    </w:p>
    <w:p>
      <w:pPr>
        <w:ind w:firstLine="480"/>
      </w:pPr>
      <w:r>
        <w:rPr>
          <w:rFonts w:hint="eastAsia"/>
        </w:rPr>
        <w:t>（2）工程建设过程中需做好施工期防护和后期的生态修复，在施工砂石料堆置过程中，需严格限定范围，筛分弃料按设计稳定边坡堆置于指定地点，避免扩大地表破坏面积。</w:t>
      </w:r>
    </w:p>
    <w:p>
      <w:pPr>
        <w:ind w:firstLine="480"/>
      </w:pPr>
      <w:r>
        <w:rPr>
          <w:rFonts w:hint="eastAsia"/>
        </w:rPr>
        <w:t>（3）施工过程中加强监督管理，弃渣堆置于指定地点并加以防护，施工结束后及时采取植被恢复等措施，尽可能减小工程建设对生态环境的影响。</w:t>
      </w:r>
    </w:p>
    <w:p>
      <w:pPr>
        <w:ind w:firstLine="480"/>
      </w:pPr>
      <w:r>
        <w:rPr>
          <w:rFonts w:hint="eastAsia"/>
        </w:rPr>
        <w:t>（4）后续设计时，施工生产生活区、渣场和施工道路布置与可研阶段相比发生重大变化时，应按相关要求编报环境保护实施方案、水保实施方案，并得到</w:t>
      </w:r>
      <w:r>
        <w:rPr>
          <w:rFonts w:hint="eastAsia"/>
          <w:lang w:eastAsia="zh-CN"/>
        </w:rPr>
        <w:t>生态环境部</w:t>
      </w:r>
      <w:r>
        <w:rPr>
          <w:rFonts w:hint="eastAsia"/>
        </w:rPr>
        <w:t>门、水行政主管部门认可后实施。</w:t>
      </w:r>
    </w:p>
    <w:p>
      <w:pPr>
        <w:pStyle w:val="4"/>
      </w:pPr>
      <w:r>
        <w:rPr>
          <w:rFonts w:hint="eastAsia"/>
        </w:rPr>
        <w:t>6.6.4生态影响的补偿</w:t>
      </w:r>
    </w:p>
    <w:p>
      <w:pPr>
        <w:ind w:firstLine="480"/>
      </w:pPr>
      <w:r>
        <w:rPr>
          <w:rFonts w:hint="eastAsia"/>
        </w:rPr>
        <w:t>本工程总占地面积46.13hm</w:t>
      </w:r>
      <w:r>
        <w:rPr>
          <w:rFonts w:hint="eastAsia"/>
          <w:vertAlign w:val="superscript"/>
        </w:rPr>
        <w:t>2</w:t>
      </w:r>
      <w:r>
        <w:rPr>
          <w:rFonts w:hint="eastAsia"/>
        </w:rPr>
        <w:t>，占地类型均为草地。对上述生态损失，工程建设按照《大中型水利水电工程建设征地补偿和移民安置条例》的规定，针对占用的草地以及耕地均做相应的补偿。此部分费用已在工程移民占地费用中计列。</w:t>
      </w:r>
    </w:p>
    <w:p>
      <w:pPr>
        <w:pStyle w:val="4"/>
      </w:pPr>
      <w:r>
        <w:rPr>
          <w:rFonts w:hint="eastAsia"/>
        </w:rPr>
        <w:t>6.6.5生态影响的恢复</w:t>
      </w:r>
    </w:p>
    <w:p>
      <w:pPr>
        <w:ind w:firstLine="480"/>
      </w:pPr>
      <w:r>
        <w:rPr>
          <w:rFonts w:hint="eastAsia"/>
        </w:rPr>
        <w:t>生态影响的恢复措施主要与工程水土保持方案中提出的水土保持植物措施相结合，对工程管理站区进行绿化，对临时占地区进行植被恢复。该部分费用已在工程水土保持投资费用中计列。</w:t>
      </w:r>
    </w:p>
    <w:p>
      <w:pPr>
        <w:ind w:firstLine="480"/>
        <w:rPr>
          <w:rFonts w:cs="Times New Roman"/>
          <w:color w:val="FF0000"/>
        </w:rPr>
      </w:pPr>
    </w:p>
    <w:p>
      <w:pPr>
        <w:pStyle w:val="3"/>
        <w:rPr>
          <w:rFonts w:cs="Times New Roman"/>
        </w:rPr>
      </w:pPr>
      <w:bookmarkStart w:id="137" w:name="_Toc181381630"/>
      <w:r>
        <w:rPr>
          <w:rFonts w:cs="Times New Roman"/>
        </w:rPr>
        <w:t>6.7 社会环境保护措施</w:t>
      </w:r>
      <w:bookmarkEnd w:id="137"/>
    </w:p>
    <w:p>
      <w:pPr>
        <w:ind w:firstLine="480"/>
        <w:rPr>
          <w:rFonts w:cs="Times New Roman"/>
        </w:rPr>
      </w:pPr>
      <w:r>
        <w:rPr>
          <w:rFonts w:cs="Times New Roman"/>
        </w:rPr>
        <w:t>（1）饮用水源保护与饮水消毒</w:t>
      </w:r>
    </w:p>
    <w:p>
      <w:pPr>
        <w:ind w:firstLine="480"/>
        <w:rPr>
          <w:rFonts w:cs="Times New Roman"/>
        </w:rPr>
      </w:pPr>
      <w:r>
        <w:rPr>
          <w:rFonts w:cs="Times New Roman"/>
        </w:rPr>
        <w:t>由于本项目施工期间饮用水源具有开放性，水质易受到施工活动的影响，故应加强对取水点上下游水质的保护，保护措施如下：严格管理施工生产废水，严禁排入河道，取水点周围100m范围内，不得布置施工生产区，不得修建厕所、渗水坑，不得堆放垃圾及其它污物。此外，生活用水蓄水设施周围也应采取同样严格的防护措施。</w:t>
      </w:r>
    </w:p>
    <w:p>
      <w:pPr>
        <w:ind w:firstLine="480"/>
        <w:rPr>
          <w:rFonts w:cs="Times New Roman"/>
        </w:rPr>
      </w:pPr>
      <w:r>
        <w:rPr>
          <w:rFonts w:cs="Times New Roman"/>
        </w:rPr>
        <w:t>（2）垃圾、粪便、污水无害化处理</w:t>
      </w:r>
    </w:p>
    <w:p>
      <w:pPr>
        <w:ind w:firstLine="480"/>
        <w:rPr>
          <w:rFonts w:cs="Times New Roman"/>
        </w:rPr>
      </w:pPr>
      <w:r>
        <w:rPr>
          <w:rFonts w:cs="Times New Roman"/>
        </w:rPr>
        <w:t>通过对施工生活区生活污水、生产废水、生活垃圾等设置收集和处理设施，使垃圾、粪便、污水</w:t>
      </w:r>
      <w:r>
        <w:rPr>
          <w:rFonts w:hint="eastAsia" w:cs="Times New Roman"/>
          <w:lang w:eastAsia="zh-CN"/>
        </w:rPr>
        <w:t>基本做到</w:t>
      </w:r>
      <w:r>
        <w:rPr>
          <w:rFonts w:cs="Times New Roman"/>
        </w:rPr>
        <w:t>无害化处理。</w:t>
      </w:r>
    </w:p>
    <w:p>
      <w:pPr>
        <w:ind w:firstLine="480"/>
        <w:rPr>
          <w:rFonts w:cs="Times New Roman"/>
        </w:rPr>
      </w:pPr>
      <w:r>
        <w:rPr>
          <w:rFonts w:cs="Times New Roman"/>
        </w:rPr>
        <w:t>（3）防蚊、灭蝇、灭鼠</w:t>
      </w:r>
    </w:p>
    <w:p>
      <w:pPr>
        <w:ind w:firstLine="480"/>
        <w:rPr>
          <w:rFonts w:cs="Times New Roman"/>
        </w:rPr>
      </w:pPr>
      <w:r>
        <w:rPr>
          <w:rFonts w:cs="Times New Roman"/>
        </w:rPr>
        <w:t>施工人员聚集，如果生活环境卫生较差，会为多种病媒动物、昆虫提供良好的孳生地，导致蚊虫、鼠类等密度升高，增加传染病机会。为此，需做好施工生活营地的防蚊、灭蝇、灭鼠工作，定期发放防疫灭鼠药品，切断疾病的传染源、传播途径。</w:t>
      </w:r>
    </w:p>
    <w:p>
      <w:pPr>
        <w:ind w:firstLine="480"/>
        <w:rPr>
          <w:rFonts w:cs="Times New Roman"/>
        </w:rPr>
      </w:pPr>
      <w:r>
        <w:rPr>
          <w:rFonts w:cs="Times New Roman"/>
        </w:rPr>
        <w:t>（4）人群健康预防检疫</w:t>
      </w:r>
    </w:p>
    <w:p>
      <w:pPr>
        <w:ind w:firstLine="480"/>
        <w:rPr>
          <w:rFonts w:cs="Times New Roman"/>
        </w:rPr>
      </w:pPr>
      <w:r>
        <w:rPr>
          <w:rFonts w:cs="Times New Roman"/>
        </w:rPr>
        <w:t>在进入施工现场之前，对施工人员进行新冠病毒检测，按照</w:t>
      </w:r>
      <w:r>
        <w:rPr>
          <w:rFonts w:hint="eastAsia" w:cs="Times New Roman"/>
          <w:lang w:eastAsia="zh-CN"/>
        </w:rPr>
        <w:t>自治区</w:t>
      </w:r>
      <w:r>
        <w:rPr>
          <w:rFonts w:cs="Times New Roman"/>
        </w:rPr>
        <w:t>“六早和八项预警机制”要求，制定符合工区实际情况的防疫工作计划，加强工作期间防控管理，按照要求进行报备和分区分类</w:t>
      </w:r>
      <w:r>
        <w:rPr>
          <w:rFonts w:hint="eastAsia" w:cs="Times New Roman"/>
          <w:lang w:eastAsia="zh-CN"/>
        </w:rPr>
        <w:t>进行健康管理</w:t>
      </w:r>
      <w:r>
        <w:rPr>
          <w:rFonts w:cs="Times New Roman"/>
        </w:rPr>
        <w:t>，实行进出场登记和体温检测24小时设岗，建立健康台账，设立隔离观察区域；同时对进驻的施工人员，在进入施工现场之前也要进行预防检疫，采取抽检方式，抽检比例为施工人员的15%，及时杜绝以施工人员自身为疫源的接触性传染病的发生，应建立施工人员健康档案。</w:t>
      </w:r>
    </w:p>
    <w:p>
      <w:pPr>
        <w:ind w:firstLine="480"/>
        <w:rPr>
          <w:rFonts w:cs="Times New Roman"/>
        </w:rPr>
      </w:pPr>
      <w:r>
        <w:rPr>
          <w:rFonts w:cs="Times New Roman"/>
        </w:rPr>
        <w:t>（5）外伤预防及饮食保障</w:t>
      </w:r>
    </w:p>
    <w:p>
      <w:pPr>
        <w:ind w:firstLine="480"/>
        <w:rPr>
          <w:rFonts w:cs="Times New Roman"/>
        </w:rPr>
      </w:pPr>
      <w:r>
        <w:rPr>
          <w:rFonts w:cs="Times New Roman"/>
        </w:rPr>
        <w:t>水利工程施工周期长，施工难度及强度高，施工中存在施工人员意外受伤和营养缺乏的可能。为此，应加强对施工人员安全施工知识和意识培训教育，落实预防保护性措施，严格施工程序，加强监控、监理；做好施工后勤保障，保证伙食供应，注重饮食营养。</w:t>
      </w:r>
    </w:p>
    <w:p>
      <w:pPr>
        <w:ind w:firstLine="480"/>
        <w:rPr>
          <w:rFonts w:cs="Times New Roman"/>
        </w:rPr>
      </w:pPr>
      <w:r>
        <w:rPr>
          <w:rFonts w:cs="Times New Roman"/>
        </w:rPr>
        <w:t>（6）建立卫生防疫所</w:t>
      </w:r>
    </w:p>
    <w:p>
      <w:pPr>
        <w:ind w:firstLine="480"/>
        <w:rPr>
          <w:rFonts w:cs="Times New Roman"/>
        </w:rPr>
      </w:pPr>
      <w:r>
        <w:rPr>
          <w:rFonts w:cs="Times New Roman"/>
        </w:rPr>
        <w:t>现场应建立卫生防疫所，除做好上述人群健康预防检疫，监督检查水源安全及生活区卫生状况外，还应对施工人员做好医疗保障，遇危重病人应及时送往当地大型医疗机构救治。</w:t>
      </w:r>
    </w:p>
    <w:p>
      <w:pPr>
        <w:ind w:firstLine="480"/>
        <w:rPr>
          <w:rFonts w:cs="Times New Roman"/>
        </w:rPr>
      </w:pPr>
    </w:p>
    <w:p>
      <w:pPr>
        <w:pStyle w:val="3"/>
        <w:rPr>
          <w:rFonts w:cs="Times New Roman"/>
        </w:rPr>
      </w:pPr>
      <w:bookmarkStart w:id="138" w:name="_Toc181381631"/>
      <w:r>
        <w:rPr>
          <w:rFonts w:cs="Times New Roman"/>
        </w:rPr>
        <w:t>6.8 移民安置环境保护对策措施</w:t>
      </w:r>
      <w:bookmarkEnd w:id="138"/>
    </w:p>
    <w:p>
      <w:pPr>
        <w:ind w:firstLine="480"/>
        <w:rPr>
          <w:rFonts w:cs="Times New Roman"/>
        </w:rPr>
      </w:pPr>
      <w:r>
        <w:rPr>
          <w:rFonts w:cs="Times New Roman"/>
        </w:rPr>
        <w:t>现场调查，本项目工程区内无居民居住，无需移民；工程区坝址下游存在废弃羊圈1处，占地面积300m</w:t>
      </w:r>
      <w:r>
        <w:rPr>
          <w:rFonts w:cs="Times New Roman"/>
          <w:vertAlign w:val="superscript"/>
        </w:rPr>
        <w:t>2</w:t>
      </w:r>
      <w:r>
        <w:rPr>
          <w:rFonts w:cs="Times New Roman"/>
        </w:rPr>
        <w:t>，经过初步与牧民协商，采用一次性货币补偿的方式进行安置，暂时以15万元作为经济补偿，最终以签订的补偿协议为主；水库淹没区高台有两处古代石围墓（年代不详），所占土地类型均为天然草场，在工程开工前需要进行抢救性保护挖掘，抢救性保护挖掘两处古代石围墓需要30万元，最终以实际发生为准。</w:t>
      </w:r>
    </w:p>
    <w:p>
      <w:pPr>
        <w:widowControl/>
        <w:spacing w:line="240" w:lineRule="auto"/>
        <w:ind w:firstLine="0" w:firstLineChars="0"/>
        <w:jc w:val="left"/>
        <w:rPr>
          <w:rFonts w:cs="Times New Roman"/>
          <w:color w:val="FF0000"/>
        </w:rPr>
      </w:pPr>
      <w:r>
        <w:rPr>
          <w:rFonts w:cs="Times New Roman"/>
          <w:color w:val="FF0000"/>
        </w:rPr>
        <w:br w:type="page"/>
      </w:r>
    </w:p>
    <w:p>
      <w:pPr>
        <w:pStyle w:val="2"/>
        <w:rPr>
          <w:rFonts w:cs="Times New Roman"/>
        </w:rPr>
      </w:pPr>
      <w:bookmarkStart w:id="139" w:name="_Toc181381632"/>
      <w:r>
        <w:rPr>
          <w:rFonts w:cs="Times New Roman"/>
        </w:rPr>
        <w:t>7. 环境监测与环境管理</w:t>
      </w:r>
      <w:bookmarkEnd w:id="139"/>
    </w:p>
    <w:p>
      <w:pPr>
        <w:pStyle w:val="3"/>
        <w:rPr>
          <w:rFonts w:cs="Times New Roman"/>
        </w:rPr>
      </w:pPr>
      <w:bookmarkStart w:id="140" w:name="_Toc181381633"/>
      <w:r>
        <w:rPr>
          <w:rFonts w:cs="Times New Roman"/>
        </w:rPr>
        <w:t>7.1 环境监理</w:t>
      </w:r>
      <w:bookmarkEnd w:id="140"/>
    </w:p>
    <w:p>
      <w:pPr>
        <w:pStyle w:val="4"/>
        <w:rPr>
          <w:rFonts w:cs="Times New Roman"/>
        </w:rPr>
      </w:pPr>
      <w:r>
        <w:rPr>
          <w:rFonts w:cs="Times New Roman"/>
        </w:rPr>
        <w:t>7.1.1 目的与任务</w:t>
      </w:r>
    </w:p>
    <w:p>
      <w:pPr>
        <w:ind w:firstLine="480"/>
        <w:rPr>
          <w:rFonts w:cs="Times New Roman"/>
        </w:rPr>
      </w:pPr>
      <w:r>
        <w:rPr>
          <w:rFonts w:cs="Times New Roman"/>
        </w:rPr>
        <w:t>由具有监理资质的单位承担，依照合同条款及国家环境保护法律、法规、政策要求，根据环境监测数据及巡查结果，监督、审查和评估施工单位各项环保措施执行情况；及时发现、纠正违反合同环保条款及国家环保要求的施工行为。工程建设环境监理是工程监理的重要组成部分，贯穿工程建设全过程。工程建设环境监理工作的主要目的是落实本工程环境影响报告书中所提出的各项环保措施，</w:t>
      </w:r>
      <w:r>
        <w:rPr>
          <w:rFonts w:hint="eastAsia" w:cs="Times New Roman"/>
          <w:lang w:eastAsia="zh-CN"/>
        </w:rPr>
        <w:t>将</w:t>
      </w:r>
      <w:r>
        <w:rPr>
          <w:rFonts w:cs="Times New Roman"/>
        </w:rPr>
        <w:t>工程施工产生的不利影响降低到可接受的程度。工程建设环境监理的任务包括：</w:t>
      </w:r>
    </w:p>
    <w:p>
      <w:pPr>
        <w:ind w:firstLine="480"/>
        <w:rPr>
          <w:rFonts w:cs="Times New Roman"/>
        </w:rPr>
      </w:pPr>
      <w:r>
        <w:rPr>
          <w:rFonts w:cs="Times New Roman"/>
        </w:rPr>
        <w:t>（1）质量控制：按照国家或地方环境标准和招标文件中的环境保护条款，监督检查本工程建设和移民安置过程中的环境保护工作。</w:t>
      </w:r>
    </w:p>
    <w:p>
      <w:pPr>
        <w:ind w:firstLine="480"/>
        <w:rPr>
          <w:rFonts w:cs="Times New Roman"/>
        </w:rPr>
      </w:pPr>
      <w:r>
        <w:rPr>
          <w:rFonts w:cs="Times New Roman"/>
        </w:rPr>
        <w:t>（2）信息管理：及时了解和收集掌握施工区的各类环境信息，并对信息进行分类、反馈、处理和储存管理，便于监理决策和协调工程建设各有关参与方的环境保护工作。</w:t>
      </w:r>
    </w:p>
    <w:p>
      <w:pPr>
        <w:ind w:firstLine="480"/>
        <w:rPr>
          <w:rFonts w:cs="Times New Roman"/>
        </w:rPr>
      </w:pPr>
      <w:r>
        <w:rPr>
          <w:rFonts w:cs="Times New Roman"/>
        </w:rPr>
        <w:t>（3）组织协调工作：协调业主与承包商、业主、设计单位与工程建设各有关部门之间的关系。</w:t>
      </w:r>
    </w:p>
    <w:p>
      <w:pPr>
        <w:pStyle w:val="4"/>
        <w:rPr>
          <w:rFonts w:cs="Times New Roman"/>
        </w:rPr>
      </w:pPr>
      <w:r>
        <w:rPr>
          <w:rFonts w:cs="Times New Roman"/>
        </w:rPr>
        <w:t>7.1.2 工程区环境监理</w:t>
      </w:r>
    </w:p>
    <w:p>
      <w:pPr>
        <w:pStyle w:val="62"/>
        <w:rPr>
          <w:rFonts w:cs="Times New Roman"/>
        </w:rPr>
      </w:pPr>
      <w:r>
        <w:rPr>
          <w:rFonts w:cs="Times New Roman"/>
        </w:rPr>
        <w:t>7.1.2.1 环境监理范围</w:t>
      </w:r>
    </w:p>
    <w:p>
      <w:pPr>
        <w:ind w:firstLine="480"/>
        <w:rPr>
          <w:rFonts w:cs="Times New Roman"/>
        </w:rPr>
      </w:pPr>
      <w:r>
        <w:rPr>
          <w:rFonts w:cs="Times New Roman"/>
        </w:rPr>
        <w:t>工程环境监理范围包括：主体工程建设区</w:t>
      </w:r>
      <w:r>
        <w:rPr>
          <w:rFonts w:hint="eastAsia" w:cs="Times New Roman"/>
          <w:lang w:eastAsia="zh-CN"/>
        </w:rPr>
        <w:t>以及</w:t>
      </w:r>
      <w:r>
        <w:rPr>
          <w:rFonts w:cs="Times New Roman"/>
        </w:rPr>
        <w:t>承包商和其分包商各施工作业区域、生活营地、生产企业、施工区场内交通道路、渣料场等。</w:t>
      </w:r>
    </w:p>
    <w:p>
      <w:pPr>
        <w:pStyle w:val="62"/>
        <w:rPr>
          <w:rFonts w:cs="Times New Roman"/>
        </w:rPr>
      </w:pPr>
      <w:r>
        <w:rPr>
          <w:rFonts w:cs="Times New Roman"/>
        </w:rPr>
        <w:t>7.1.2.2 环境监理工作内容</w:t>
      </w:r>
    </w:p>
    <w:p>
      <w:pPr>
        <w:ind w:firstLine="480"/>
        <w:rPr>
          <w:rFonts w:cs="Times New Roman"/>
        </w:rPr>
      </w:pPr>
      <w:r>
        <w:rPr>
          <w:rFonts w:cs="Times New Roman"/>
        </w:rPr>
        <w:t>遵循国家及当地政府关于环境保护的方针、政策、法令、法规，监督承包商落实工程承包合同中有关环保条款。主要职责为：</w:t>
      </w:r>
    </w:p>
    <w:p>
      <w:pPr>
        <w:ind w:firstLine="480"/>
        <w:rPr>
          <w:rFonts w:cs="Times New Roman"/>
        </w:rPr>
      </w:pPr>
      <w:r>
        <w:rPr>
          <w:rFonts w:cs="Times New Roman"/>
        </w:rPr>
        <w:t>（1）编制环境监理计划，拟定环境监理项目和内容。</w:t>
      </w:r>
    </w:p>
    <w:p>
      <w:pPr>
        <w:ind w:firstLine="480"/>
        <w:rPr>
          <w:rFonts w:cs="Times New Roman"/>
        </w:rPr>
      </w:pPr>
      <w:r>
        <w:rPr>
          <w:rFonts w:cs="Times New Roman"/>
        </w:rPr>
        <w:t>（2）对承包商进行监理，防止和减轻施工作业引起的环境污染和对植被、野生动植物的破坏行为和火灾发生。</w:t>
      </w:r>
    </w:p>
    <w:p>
      <w:pPr>
        <w:ind w:firstLine="480"/>
        <w:rPr>
          <w:rFonts w:cs="Times New Roman"/>
        </w:rPr>
      </w:pPr>
      <w:r>
        <w:rPr>
          <w:rFonts w:cs="Times New Roman"/>
        </w:rPr>
        <w:t>（3）全面监督和检查各施工单位环境保护措施实施情况和实际效果，及时处理和解决临时出现的环境污染事件。</w:t>
      </w:r>
    </w:p>
    <w:p>
      <w:pPr>
        <w:ind w:firstLine="480"/>
        <w:rPr>
          <w:rFonts w:cs="Times New Roman"/>
        </w:rPr>
      </w:pPr>
      <w:r>
        <w:rPr>
          <w:rFonts w:cs="Times New Roman"/>
        </w:rPr>
        <w:t>（4）全面检查施工单位负责的渣场、施工迹地的处理、恢复情况，主要包括边坡稳定、迹地恢复和绿化措施及效果等。</w:t>
      </w:r>
    </w:p>
    <w:p>
      <w:pPr>
        <w:ind w:firstLine="480"/>
        <w:rPr>
          <w:rFonts w:cs="Times New Roman"/>
        </w:rPr>
      </w:pPr>
      <w:r>
        <w:rPr>
          <w:rFonts w:cs="Times New Roman"/>
        </w:rPr>
        <w:t>（5）负责落实环境监测的实施，审核有关环境报表，根据水质、大气、噪声等监测结果，对施工及管理提出相应要求，尽量减少施工给环境带来的不利影响。</w:t>
      </w:r>
    </w:p>
    <w:p>
      <w:pPr>
        <w:ind w:firstLine="480"/>
        <w:rPr>
          <w:rFonts w:cs="Times New Roman"/>
        </w:rPr>
      </w:pPr>
      <w:r>
        <w:rPr>
          <w:rFonts w:cs="Times New Roman"/>
        </w:rPr>
        <w:t>（6）在日常工作中作好监理记录及监理报告，组织质量评定，参与竣工验收。</w:t>
      </w:r>
    </w:p>
    <w:p>
      <w:pPr>
        <w:pStyle w:val="62"/>
        <w:rPr>
          <w:rFonts w:cs="Times New Roman"/>
        </w:rPr>
      </w:pPr>
      <w:r>
        <w:rPr>
          <w:rFonts w:cs="Times New Roman"/>
        </w:rPr>
        <w:t>7.1.2.3 环境监理机构和岗位职责</w:t>
      </w:r>
    </w:p>
    <w:p>
      <w:pPr>
        <w:ind w:firstLine="480"/>
        <w:rPr>
          <w:rFonts w:cs="Times New Roman"/>
        </w:rPr>
      </w:pPr>
      <w:r>
        <w:rPr>
          <w:rFonts w:cs="Times New Roman"/>
        </w:rPr>
        <w:t>由工程建设管理部门委托有关机构开展施工期环境监理工作，该部门应能满足国家与地方对开展施工期环境监理工作机构的各项规定。</w:t>
      </w:r>
    </w:p>
    <w:p>
      <w:pPr>
        <w:ind w:firstLine="480"/>
        <w:rPr>
          <w:rFonts w:cs="Times New Roman"/>
        </w:rPr>
      </w:pPr>
      <w:r>
        <w:rPr>
          <w:rFonts w:cs="Times New Roman"/>
        </w:rPr>
        <w:t>施工区环境监理工程师的岗位职责如下：</w:t>
      </w:r>
    </w:p>
    <w:p>
      <w:pPr>
        <w:ind w:firstLine="480"/>
        <w:rPr>
          <w:rFonts w:cs="Times New Roman"/>
        </w:rPr>
      </w:pPr>
      <w:r>
        <w:rPr>
          <w:rFonts w:cs="Times New Roman"/>
        </w:rPr>
        <w:t>（1）受业主委托，环境监理工程师全面负责监督、检查施工区的环境保护工作。</w:t>
      </w:r>
    </w:p>
    <w:p>
      <w:pPr>
        <w:ind w:firstLine="480"/>
        <w:rPr>
          <w:rFonts w:cs="Times New Roman"/>
        </w:rPr>
      </w:pPr>
      <w:r>
        <w:rPr>
          <w:rFonts w:cs="Times New Roman"/>
        </w:rPr>
        <w:t>（2）环境监理人员有参加审查会议的资格，就承包商提出的施工组织设计、技术方案和进度计划提出环保意见，以保证环保设施的落实和工程的顺利进行。</w:t>
      </w:r>
    </w:p>
    <w:p>
      <w:pPr>
        <w:ind w:firstLine="480"/>
        <w:rPr>
          <w:rFonts w:cs="Times New Roman"/>
        </w:rPr>
      </w:pPr>
      <w:r>
        <w:rPr>
          <w:rFonts w:cs="Times New Roman"/>
        </w:rPr>
        <w:t>（3）审查承包商提出的可能造成污染的材料和设备清单及所列的环保指标，审查承包商提交的环境月报。</w:t>
      </w:r>
    </w:p>
    <w:p>
      <w:pPr>
        <w:ind w:firstLine="480"/>
        <w:rPr>
          <w:rFonts w:cs="Times New Roman"/>
        </w:rPr>
      </w:pPr>
      <w:r>
        <w:rPr>
          <w:rFonts w:cs="Times New Roman"/>
        </w:rPr>
        <w:t>（4）参加工程阶段验收和竣工验收。对承包商施工过程及竣工后的现场就环境保护的内容进行监督</w:t>
      </w:r>
      <w:r>
        <w:rPr>
          <w:rFonts w:hint="eastAsia" w:cs="Times New Roman"/>
          <w:lang w:eastAsia="zh-CN"/>
        </w:rPr>
        <w:t>与检查</w:t>
      </w:r>
      <w:r>
        <w:rPr>
          <w:rFonts w:cs="Times New Roman"/>
        </w:rPr>
        <w:t>。工程质量认可包括环境质量认可，单项工程的验收凡与环保有关的必须由环境监理工程师签字。</w:t>
      </w:r>
    </w:p>
    <w:p>
      <w:pPr>
        <w:ind w:firstLine="480"/>
        <w:rPr>
          <w:rFonts w:cs="Times New Roman"/>
        </w:rPr>
      </w:pPr>
      <w:r>
        <w:rPr>
          <w:rFonts w:cs="Times New Roman"/>
        </w:rPr>
        <w:t>（5）对承包商的环境季报、年报进行审查，提出审查、修改意见；对检查中发现的环境问题，以整改通知单的形式下发给承包商，要求限期处理。</w:t>
      </w:r>
    </w:p>
    <w:p>
      <w:pPr>
        <w:ind w:firstLine="480"/>
        <w:rPr>
          <w:rFonts w:cs="Times New Roman"/>
        </w:rPr>
      </w:pPr>
      <w:r>
        <w:rPr>
          <w:rFonts w:cs="Times New Roman"/>
        </w:rPr>
        <w:t>（6）编制工程建设环境监理工作月报和年报，送工程建设环境管理机构，对环境监理工作进行总结，提出存在的重大环境问题和解决问题的建议，说明今后工程建设环境监理工作安排和工作重点，并整理归档有关资料。</w:t>
      </w:r>
    </w:p>
    <w:p>
      <w:pPr>
        <w:ind w:firstLine="480"/>
        <w:rPr>
          <w:rFonts w:cs="Times New Roman"/>
        </w:rPr>
      </w:pPr>
      <w:r>
        <w:rPr>
          <w:rFonts w:cs="Times New Roman"/>
        </w:rPr>
        <w:t>（7）环境监理工程师有权反对并要求承包商立即更换由承包商确认的而环境监理工程师认为是渎职者、或不能胜任环保工作或玩忽职守的环境管理人员。</w:t>
      </w:r>
    </w:p>
    <w:p>
      <w:pPr>
        <w:pStyle w:val="62"/>
        <w:rPr>
          <w:rFonts w:cs="Times New Roman"/>
        </w:rPr>
      </w:pPr>
      <w:r>
        <w:rPr>
          <w:rFonts w:cs="Times New Roman"/>
        </w:rPr>
        <w:t>7.1.2.4 环境监理组织方式</w:t>
      </w:r>
    </w:p>
    <w:p>
      <w:pPr>
        <w:ind w:firstLine="480"/>
        <w:rPr>
          <w:rFonts w:cs="Times New Roman"/>
        </w:rPr>
      </w:pPr>
      <w:r>
        <w:rPr>
          <w:rFonts w:cs="Times New Roman"/>
        </w:rPr>
        <w:t>（1）工作记录制度</w:t>
      </w:r>
    </w:p>
    <w:p>
      <w:pPr>
        <w:ind w:firstLine="480"/>
        <w:rPr>
          <w:rFonts w:cs="Times New Roman"/>
        </w:rPr>
      </w:pPr>
      <w:r>
        <w:rPr>
          <w:rFonts w:cs="Times New Roman"/>
        </w:rPr>
        <w:t>环境监理工程师根据工作情况作出工作记录（监理日记），重点描述现场环境保护工作的巡视检查情况，指出存在的环境问题，问题发生的责任单位，分析产生问题的主要原因，提出处理意见及处理结果。</w:t>
      </w:r>
    </w:p>
    <w:p>
      <w:pPr>
        <w:ind w:firstLine="480"/>
        <w:rPr>
          <w:rFonts w:cs="Times New Roman"/>
        </w:rPr>
      </w:pPr>
      <w:r>
        <w:rPr>
          <w:rFonts w:cs="Times New Roman"/>
        </w:rPr>
        <w:t>（2）监理报告制度</w:t>
      </w:r>
    </w:p>
    <w:p>
      <w:pPr>
        <w:ind w:firstLine="480"/>
        <w:rPr>
          <w:rFonts w:cs="Times New Roman"/>
        </w:rPr>
      </w:pPr>
      <w:r>
        <w:rPr>
          <w:rFonts w:cs="Times New Roman"/>
        </w:rPr>
        <w:t>监理工程师应组织编写环境监理工程师的月报、季度报告、半年报告、年度监理报告以及承包商的环境月报，报建设单位环境管理办公室。</w:t>
      </w:r>
    </w:p>
    <w:p>
      <w:pPr>
        <w:ind w:firstLine="480"/>
        <w:rPr>
          <w:rFonts w:cs="Times New Roman"/>
        </w:rPr>
      </w:pPr>
      <w:r>
        <w:rPr>
          <w:rFonts w:cs="Times New Roman"/>
        </w:rPr>
        <w:t>（3）函件往来制度</w:t>
      </w:r>
    </w:p>
    <w:p>
      <w:pPr>
        <w:ind w:firstLine="480"/>
        <w:rPr>
          <w:rFonts w:cs="Times New Roman"/>
        </w:rPr>
      </w:pPr>
      <w:r>
        <w:rPr>
          <w:rFonts w:cs="Times New Roman"/>
        </w:rPr>
        <w:t>监理工程师在现场检查过程中发现的环境问题，应下发问题通知单，通知承包商及时纠正或处理。监理工程师对承包商某些方面的规定或要求，须通过书面的形式通知对方。若因情况紧急需口头通知的，随后必须以书面形式予以确认。</w:t>
      </w:r>
    </w:p>
    <w:p>
      <w:pPr>
        <w:ind w:firstLine="480"/>
        <w:rPr>
          <w:rFonts w:cs="Times New Roman"/>
        </w:rPr>
      </w:pPr>
      <w:r>
        <w:rPr>
          <w:rFonts w:cs="Times New Roman"/>
        </w:rPr>
        <w:t>（4）环境例会制度和会议纪要签发制度</w:t>
      </w:r>
    </w:p>
    <w:p>
      <w:pPr>
        <w:ind w:firstLine="480"/>
        <w:rPr>
          <w:rFonts w:cs="Times New Roman"/>
        </w:rPr>
      </w:pPr>
      <w:r>
        <w:rPr>
          <w:rFonts w:cs="Times New Roman"/>
        </w:rPr>
        <w:t>每月召开一次环保会议。在环境例会期间，承包商对本合同段本月的环境保护工作进行回顾总结，监理工程师对该月各标段的环境保护工作进行全面评议，会后编写会议纪要并发给与会各方，并督促有关单位遵照执行。</w:t>
      </w:r>
    </w:p>
    <w:p>
      <w:pPr>
        <w:ind w:firstLine="480"/>
        <w:rPr>
          <w:rFonts w:cs="Times New Roman"/>
        </w:rPr>
      </w:pPr>
      <w:r>
        <w:rPr>
          <w:rFonts w:cs="Times New Roman"/>
        </w:rPr>
        <w:t>重大环境污染及环境影响事故发生后，由环境总监理工程师组织环保事故的调查，会同建设单位、地方</w:t>
      </w:r>
      <w:r>
        <w:rPr>
          <w:rFonts w:hint="eastAsia" w:cs="Times New Roman"/>
          <w:lang w:eastAsia="zh-CN"/>
        </w:rPr>
        <w:t>生态环境部</w:t>
      </w:r>
      <w:r>
        <w:rPr>
          <w:rFonts w:cs="Times New Roman"/>
        </w:rPr>
        <w:t>门共同研究处理方案下发给承包商实施。</w:t>
      </w:r>
    </w:p>
    <w:p>
      <w:pPr>
        <w:ind w:firstLine="480"/>
        <w:rPr>
          <w:rFonts w:cs="Times New Roman"/>
        </w:rPr>
      </w:pPr>
    </w:p>
    <w:p>
      <w:pPr>
        <w:pStyle w:val="3"/>
        <w:rPr>
          <w:rFonts w:cs="Times New Roman"/>
        </w:rPr>
      </w:pPr>
      <w:bookmarkStart w:id="141" w:name="_Toc181381634"/>
      <w:r>
        <w:rPr>
          <w:rFonts w:cs="Times New Roman"/>
        </w:rPr>
        <w:t>7.2 环境监测</w:t>
      </w:r>
      <w:bookmarkEnd w:id="141"/>
    </w:p>
    <w:p>
      <w:pPr>
        <w:pStyle w:val="4"/>
        <w:rPr>
          <w:rFonts w:cs="Times New Roman"/>
        </w:rPr>
      </w:pPr>
      <w:r>
        <w:rPr>
          <w:rFonts w:cs="Times New Roman"/>
        </w:rPr>
        <w:t>7.2.1 监测目的</w:t>
      </w:r>
    </w:p>
    <w:p>
      <w:pPr>
        <w:ind w:firstLine="480"/>
        <w:rPr>
          <w:rFonts w:cs="Times New Roman"/>
        </w:rPr>
      </w:pPr>
      <w:r>
        <w:rPr>
          <w:rFonts w:cs="Times New Roman"/>
        </w:rPr>
        <w:t>根据代尔昆代水库工程特点，结合工程周围环境现状，提出环境监测计划，其监测目的为：</w:t>
      </w:r>
    </w:p>
    <w:p>
      <w:pPr>
        <w:ind w:firstLine="480"/>
        <w:rPr>
          <w:rFonts w:cs="Times New Roman"/>
        </w:rPr>
      </w:pPr>
      <w:r>
        <w:rPr>
          <w:rFonts w:cs="Times New Roman"/>
        </w:rPr>
        <w:t>（1）为工程环境保护工作的开展提供基础资料。掌握工程区环境状况的动态变化，为施工及运行期污染控制、环境管理提供科学依据。</w:t>
      </w:r>
    </w:p>
    <w:p>
      <w:pPr>
        <w:ind w:firstLine="480"/>
        <w:rPr>
          <w:rFonts w:cs="Times New Roman"/>
        </w:rPr>
      </w:pPr>
      <w:r>
        <w:rPr>
          <w:rFonts w:cs="Times New Roman"/>
        </w:rPr>
        <w:t>（2）及时掌握环境保护措施的实施效果，根据监测结果调整和完善环境保护和环境影响减缓措施，预防突发性事故对环境的危害。</w:t>
      </w:r>
    </w:p>
    <w:p>
      <w:pPr>
        <w:ind w:firstLine="480"/>
        <w:rPr>
          <w:rFonts w:cs="Times New Roman"/>
        </w:rPr>
      </w:pPr>
      <w:r>
        <w:rPr>
          <w:rFonts w:cs="Times New Roman"/>
        </w:rPr>
        <w:t>（3）验证环境影响预测和评价结果的正确性和可靠性。</w:t>
      </w:r>
    </w:p>
    <w:p>
      <w:pPr>
        <w:ind w:firstLine="480"/>
        <w:rPr>
          <w:rFonts w:cs="Times New Roman"/>
        </w:rPr>
      </w:pPr>
      <w:r>
        <w:rPr>
          <w:rFonts w:cs="Times New Roman"/>
        </w:rPr>
        <w:t>（4）代尔昆代水库工程环境监测方案的实施，可为今后代尔昆代郭勒河流域生态环境的演变规律研究和生态建设积累经验和基础数据。</w:t>
      </w:r>
    </w:p>
    <w:p>
      <w:pPr>
        <w:pStyle w:val="4"/>
        <w:rPr>
          <w:rFonts w:cs="Times New Roman"/>
        </w:rPr>
      </w:pPr>
      <w:r>
        <w:rPr>
          <w:rFonts w:cs="Times New Roman"/>
        </w:rPr>
        <w:t>7.2.2 监测方案布设原则</w:t>
      </w:r>
    </w:p>
    <w:p>
      <w:pPr>
        <w:ind w:firstLine="480"/>
        <w:rPr>
          <w:rFonts w:cs="Times New Roman"/>
        </w:rPr>
      </w:pPr>
      <w:r>
        <w:rPr>
          <w:rFonts w:cs="Times New Roman"/>
        </w:rPr>
        <w:t>（1）与工程建设紧密结合的原则</w:t>
      </w:r>
    </w:p>
    <w:p>
      <w:pPr>
        <w:ind w:firstLine="480"/>
        <w:rPr>
          <w:rFonts w:cs="Times New Roman"/>
        </w:rPr>
      </w:pPr>
      <w:r>
        <w:rPr>
          <w:rFonts w:cs="Times New Roman"/>
        </w:rPr>
        <w:t>监测的范围、对象和重点应结合工程施工、运行特点和周围环境敏感点的分布，及时反映工程施工、运行对周围环境敏感点的影响及环境变化对工程施工和运行的影响。</w:t>
      </w:r>
    </w:p>
    <w:p>
      <w:pPr>
        <w:ind w:firstLine="480"/>
        <w:rPr>
          <w:rFonts w:cs="Times New Roman"/>
        </w:rPr>
      </w:pPr>
      <w:r>
        <w:rPr>
          <w:rFonts w:cs="Times New Roman"/>
        </w:rPr>
        <w:t>（2）针对性和代表性的原则</w:t>
      </w:r>
    </w:p>
    <w:p>
      <w:pPr>
        <w:ind w:firstLine="480"/>
        <w:rPr>
          <w:rFonts w:cs="Times New Roman"/>
        </w:rPr>
      </w:pPr>
      <w:r>
        <w:rPr>
          <w:rFonts w:cs="Times New Roman"/>
        </w:rPr>
        <w:t>根据环境现状和环境影响预测结果，选择对环境影响大的、有控制性和代表性的以及对区域或流域影响起控制作用的主要因子进行监测，力求做到监测方案有针对性和代表性。</w:t>
      </w:r>
    </w:p>
    <w:p>
      <w:pPr>
        <w:ind w:firstLine="480"/>
        <w:rPr>
          <w:rFonts w:cs="Times New Roman"/>
        </w:rPr>
      </w:pPr>
      <w:r>
        <w:rPr>
          <w:rFonts w:cs="Times New Roman"/>
        </w:rPr>
        <w:t>（3）经济性与可操作性的原则</w:t>
      </w:r>
    </w:p>
    <w:p>
      <w:pPr>
        <w:ind w:firstLine="480"/>
        <w:rPr>
          <w:rFonts w:cs="Times New Roman"/>
        </w:rPr>
      </w:pPr>
      <w:r>
        <w:rPr>
          <w:rFonts w:cs="Times New Roman"/>
        </w:rPr>
        <w:t>按照相关专业技术规范，监测项目、频次、时段和方法以满足本监测方案主要监控任务和目的为前提，尽量利用附近现有监测站网、监测机构、监测断面（点），所布设监测断面（点）可操作性应强，力求以较少的投入获得较完整的环境监测数据。</w:t>
      </w:r>
    </w:p>
    <w:p>
      <w:pPr>
        <w:ind w:firstLine="480"/>
        <w:rPr>
          <w:rFonts w:cs="Times New Roman"/>
        </w:rPr>
      </w:pPr>
      <w:r>
        <w:rPr>
          <w:rFonts w:cs="Times New Roman"/>
        </w:rPr>
        <w:t>（4）统一规划、分步实施的原则</w:t>
      </w:r>
    </w:p>
    <w:p>
      <w:pPr>
        <w:ind w:firstLine="480"/>
        <w:rPr>
          <w:rFonts w:cs="Times New Roman"/>
        </w:rPr>
      </w:pPr>
      <w:r>
        <w:rPr>
          <w:rFonts w:cs="Times New Roman"/>
        </w:rPr>
        <w:t>监测系统从总体考虑，统一规划，根据工程不同阶段的重点和要求，分期分步建立，逐步实施和完善。</w:t>
      </w:r>
    </w:p>
    <w:p>
      <w:pPr>
        <w:pStyle w:val="4"/>
        <w:rPr>
          <w:rFonts w:cs="Times New Roman"/>
        </w:rPr>
      </w:pPr>
      <w:r>
        <w:rPr>
          <w:rFonts w:cs="Times New Roman"/>
        </w:rPr>
        <w:t>7.2.3 环境监测总体布局</w:t>
      </w:r>
    </w:p>
    <w:p>
      <w:pPr>
        <w:ind w:firstLine="480"/>
        <w:rPr>
          <w:rFonts w:cs="Times New Roman"/>
        </w:rPr>
      </w:pPr>
      <w:r>
        <w:rPr>
          <w:rFonts w:cs="Times New Roman"/>
        </w:rPr>
        <w:t>本工程环境监测按监测时段划分为：施工期和运行期。其中施工期主要为各类废污水处置效果的监测以及陆生生态环境本地调查；运行期主要是结合工程运行可能产生的环境影响开展生活污水处理设施出水水质监测，以及周边陆生动植物调查。</w:t>
      </w:r>
    </w:p>
    <w:p>
      <w:pPr>
        <w:pStyle w:val="4"/>
        <w:rPr>
          <w:rFonts w:cs="Times New Roman"/>
        </w:rPr>
      </w:pPr>
      <w:r>
        <w:rPr>
          <w:rFonts w:cs="Times New Roman"/>
        </w:rPr>
        <w:t>7.2.4 环境监测计划</w:t>
      </w:r>
    </w:p>
    <w:p>
      <w:pPr>
        <w:pStyle w:val="62"/>
        <w:rPr>
          <w:rFonts w:cs="Times New Roman"/>
        </w:rPr>
      </w:pPr>
      <w:r>
        <w:rPr>
          <w:rFonts w:cs="Times New Roman"/>
        </w:rPr>
        <w:t>7.2.4.1 地表水监测</w:t>
      </w:r>
    </w:p>
    <w:p>
      <w:pPr>
        <w:ind w:firstLine="480"/>
        <w:rPr>
          <w:rFonts w:cs="Times New Roman"/>
        </w:rPr>
      </w:pPr>
      <w:r>
        <w:rPr>
          <w:rFonts w:cs="Times New Roman"/>
        </w:rPr>
        <w:t>（1）施工期水环境监测</w:t>
      </w:r>
    </w:p>
    <w:p>
      <w:pPr>
        <w:ind w:firstLine="480"/>
        <w:rPr>
          <w:rFonts w:cs="Times New Roman"/>
        </w:rPr>
      </w:pPr>
      <w:r>
        <w:rPr>
          <w:rFonts w:cs="Times New Roman"/>
        </w:rPr>
        <w:t>河流水质监测</w:t>
      </w:r>
    </w:p>
    <w:p>
      <w:pPr>
        <w:ind w:firstLine="480"/>
        <w:rPr>
          <w:rFonts w:cs="Times New Roman"/>
        </w:rPr>
      </w:pPr>
      <w:r>
        <w:rPr>
          <w:rFonts w:cs="Times New Roman"/>
        </w:rPr>
        <w:t>A.监测点布设：为了解工程施工对河流水质的影响，在水库坝址下游100m处布设1个监测断面，对水质进行监测。</w:t>
      </w:r>
    </w:p>
    <w:p>
      <w:pPr>
        <w:ind w:firstLine="480"/>
        <w:rPr>
          <w:rFonts w:cs="Times New Roman"/>
        </w:rPr>
      </w:pPr>
      <w:r>
        <w:rPr>
          <w:rFonts w:cs="Times New Roman"/>
        </w:rPr>
        <w:t>B.监测技术要求：监测项目、监测周期、监测时段及频率见表7.2-1。</w:t>
      </w:r>
    </w:p>
    <w:p>
      <w:pPr>
        <w:ind w:firstLine="480"/>
        <w:rPr>
          <w:rFonts w:cs="Times New Roman"/>
        </w:rPr>
      </w:pPr>
      <w:r>
        <w:rPr>
          <w:rFonts w:cs="Times New Roman"/>
        </w:rPr>
        <w:t>C.监测方法：水样采集按照《环境监测技术规范》的规定方法执行，样品分析按照《地表水环境质量标准》（GB3838-2002）规定及《环境监测技术规范》的选配方法执行。</w:t>
      </w:r>
    </w:p>
    <w:p>
      <w:pPr>
        <w:pStyle w:val="137"/>
        <w:spacing w:before="62"/>
      </w:pPr>
      <w:r>
        <w:t>表7.2-1           施工期河流水质监测技术要求一览表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309"/>
        <w:gridCol w:w="3850"/>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2" w:type="pct"/>
            <w:vAlign w:val="center"/>
          </w:tcPr>
          <w:p>
            <w:pPr>
              <w:pStyle w:val="136"/>
            </w:pPr>
            <w:r>
              <w:t>监测点位编号</w:t>
            </w:r>
          </w:p>
        </w:tc>
        <w:tc>
          <w:tcPr>
            <w:tcW w:w="727" w:type="pct"/>
            <w:vAlign w:val="center"/>
          </w:tcPr>
          <w:p>
            <w:pPr>
              <w:pStyle w:val="136"/>
            </w:pPr>
            <w:r>
              <w:t>断面布设</w:t>
            </w:r>
          </w:p>
        </w:tc>
        <w:tc>
          <w:tcPr>
            <w:tcW w:w="2138" w:type="pct"/>
            <w:vAlign w:val="center"/>
          </w:tcPr>
          <w:p>
            <w:pPr>
              <w:pStyle w:val="136"/>
            </w:pPr>
            <w:r>
              <w:t>监测项目</w:t>
            </w:r>
          </w:p>
        </w:tc>
        <w:tc>
          <w:tcPr>
            <w:tcW w:w="1653" w:type="pct"/>
            <w:vAlign w:val="center"/>
          </w:tcPr>
          <w:p>
            <w:pPr>
              <w:pStyle w:val="136"/>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pPr>
              <w:pStyle w:val="136"/>
            </w:pPr>
            <w:r>
              <w:t>HS-1</w:t>
            </w:r>
          </w:p>
        </w:tc>
        <w:tc>
          <w:tcPr>
            <w:tcW w:w="727" w:type="pct"/>
            <w:vAlign w:val="center"/>
          </w:tcPr>
          <w:p>
            <w:pPr>
              <w:pStyle w:val="136"/>
            </w:pPr>
            <w:r>
              <w:t>水库坝址下游100m</w:t>
            </w:r>
          </w:p>
        </w:tc>
        <w:tc>
          <w:tcPr>
            <w:tcW w:w="2138" w:type="pct"/>
            <w:vAlign w:val="center"/>
          </w:tcPr>
          <w:p>
            <w:pPr>
              <w:pStyle w:val="136"/>
            </w:pPr>
            <w:r>
              <w:t>pH值、溶解氧、高锰酸盐指数、化学需氧量（COD）、高锰酸盐指数、五日生化需氧量（BOD</w:t>
            </w:r>
            <w:r>
              <w:rPr>
                <w:vertAlign w:val="subscript"/>
              </w:rPr>
              <w:t>5</w:t>
            </w:r>
            <w:r>
              <w:t>）、氨氮、总磷、铬（六价）、氰化物、铜、锌、氟化物、硒、砷、汞等。</w:t>
            </w:r>
          </w:p>
        </w:tc>
        <w:tc>
          <w:tcPr>
            <w:tcW w:w="1653" w:type="pct"/>
            <w:vAlign w:val="center"/>
          </w:tcPr>
          <w:p>
            <w:pPr>
              <w:pStyle w:val="136"/>
            </w:pPr>
            <w:r>
              <w:t>施工期每年至少监测丰水期和枯水期，每期连续采样3d，每天取1次样。根据水质变化情况，可适当调整监测频次。</w:t>
            </w:r>
          </w:p>
        </w:tc>
      </w:tr>
    </w:tbl>
    <w:p>
      <w:pPr>
        <w:ind w:firstLine="480"/>
        <w:rPr>
          <w:rFonts w:cs="Times New Roman"/>
        </w:rPr>
      </w:pPr>
      <w:r>
        <w:rPr>
          <w:rFonts w:cs="Times New Roman"/>
        </w:rPr>
        <w:t>废污水监测</w:t>
      </w:r>
    </w:p>
    <w:p>
      <w:pPr>
        <w:ind w:firstLine="480"/>
        <w:rPr>
          <w:rFonts w:cs="Times New Roman"/>
        </w:rPr>
      </w:pPr>
      <w:r>
        <w:rPr>
          <w:rFonts w:cs="Times New Roman"/>
        </w:rPr>
        <w:t>对施工区砂石加工废水、混凝土拌和废水、机械保养含油废水等生产废水和施工生活营地生活污水处理情况进行监测。</w:t>
      </w:r>
    </w:p>
    <w:p>
      <w:pPr>
        <w:ind w:firstLine="480"/>
        <w:rPr>
          <w:rFonts w:cs="Times New Roman"/>
        </w:rPr>
      </w:pPr>
      <w:r>
        <w:rPr>
          <w:rFonts w:cs="Times New Roman"/>
        </w:rPr>
        <w:t>A.监测点布设：在每处砂石料加工系统废水、混凝土拌和废水、机械保养含油废水、基坑废水、施工生活营地生活污水处理设施</w:t>
      </w:r>
      <w:r>
        <w:rPr>
          <w:rFonts w:hint="eastAsia" w:cs="Times New Roman"/>
          <w:lang w:eastAsia="zh-CN"/>
        </w:rPr>
        <w:t>排放口各布设</w:t>
      </w:r>
      <w:r>
        <w:rPr>
          <w:rFonts w:cs="Times New Roman"/>
        </w:rPr>
        <w:t>1个监测点，共计5个监测点。</w:t>
      </w:r>
    </w:p>
    <w:p>
      <w:pPr>
        <w:ind w:firstLine="480"/>
        <w:rPr>
          <w:rFonts w:cs="Times New Roman"/>
        </w:rPr>
      </w:pPr>
      <w:r>
        <w:rPr>
          <w:rFonts w:cs="Times New Roman"/>
        </w:rPr>
        <w:t>B.监测技术要求：监测点位、监测项目、监测周期、监测时段及频率见表7.2-2。</w:t>
      </w:r>
    </w:p>
    <w:p>
      <w:pPr>
        <w:pStyle w:val="137"/>
        <w:spacing w:before="62"/>
      </w:pPr>
      <w:r>
        <w:t>表7.2-2       施工期废（污）水监测计划及技术要求一览表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230"/>
        <w:gridCol w:w="2157"/>
        <w:gridCol w:w="2307"/>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0" w:type="pct"/>
            <w:vAlign w:val="center"/>
          </w:tcPr>
          <w:p>
            <w:pPr>
              <w:pStyle w:val="136"/>
            </w:pPr>
            <w:r>
              <w:t>废（污）水类别</w:t>
            </w:r>
          </w:p>
        </w:tc>
        <w:tc>
          <w:tcPr>
            <w:tcW w:w="683" w:type="pct"/>
            <w:vAlign w:val="center"/>
          </w:tcPr>
          <w:p>
            <w:pPr>
              <w:pStyle w:val="136"/>
            </w:pPr>
            <w:r>
              <w:t>监测点位编号</w:t>
            </w:r>
          </w:p>
        </w:tc>
        <w:tc>
          <w:tcPr>
            <w:tcW w:w="1198" w:type="pct"/>
            <w:vAlign w:val="center"/>
          </w:tcPr>
          <w:p>
            <w:pPr>
              <w:pStyle w:val="136"/>
            </w:pPr>
            <w:r>
              <w:t>断面布设</w:t>
            </w:r>
          </w:p>
        </w:tc>
        <w:tc>
          <w:tcPr>
            <w:tcW w:w="1281" w:type="pct"/>
            <w:vAlign w:val="center"/>
          </w:tcPr>
          <w:p>
            <w:pPr>
              <w:pStyle w:val="136"/>
            </w:pPr>
            <w:r>
              <w:t>监测项目</w:t>
            </w:r>
          </w:p>
        </w:tc>
        <w:tc>
          <w:tcPr>
            <w:tcW w:w="1158" w:type="pct"/>
            <w:vAlign w:val="center"/>
          </w:tcPr>
          <w:p>
            <w:pPr>
              <w:pStyle w:val="136"/>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136"/>
            </w:pPr>
            <w:r>
              <w:t>砂石加工系统废水</w:t>
            </w:r>
          </w:p>
        </w:tc>
        <w:tc>
          <w:tcPr>
            <w:tcW w:w="683" w:type="pct"/>
            <w:vAlign w:val="center"/>
          </w:tcPr>
          <w:p>
            <w:pPr>
              <w:pStyle w:val="136"/>
            </w:pPr>
            <w:r>
              <w:t>SS-1</w:t>
            </w:r>
          </w:p>
        </w:tc>
        <w:tc>
          <w:tcPr>
            <w:tcW w:w="1198" w:type="pct"/>
            <w:vAlign w:val="center"/>
          </w:tcPr>
          <w:p>
            <w:pPr>
              <w:pStyle w:val="136"/>
            </w:pPr>
            <w:r>
              <w:t>砂石加工系统废水处理设施排放口</w:t>
            </w:r>
          </w:p>
        </w:tc>
        <w:tc>
          <w:tcPr>
            <w:tcW w:w="1281" w:type="pct"/>
            <w:vMerge w:val="restart"/>
            <w:vAlign w:val="center"/>
          </w:tcPr>
          <w:p>
            <w:pPr>
              <w:pStyle w:val="136"/>
            </w:pPr>
            <w:r>
              <w:t>pH、SS、废水流量</w:t>
            </w:r>
          </w:p>
        </w:tc>
        <w:tc>
          <w:tcPr>
            <w:tcW w:w="1158" w:type="pct"/>
            <w:vMerge w:val="restart"/>
            <w:vAlign w:val="center"/>
          </w:tcPr>
          <w:p>
            <w:pPr>
              <w:pStyle w:val="136"/>
            </w:pPr>
            <w:r>
              <w:t>施工期每年一期(选择高负荷工况)，每期监测2天，每天监测2次。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136"/>
            </w:pPr>
            <w:r>
              <w:t>混凝土拌和废水</w:t>
            </w:r>
          </w:p>
        </w:tc>
        <w:tc>
          <w:tcPr>
            <w:tcW w:w="683" w:type="pct"/>
            <w:vAlign w:val="center"/>
          </w:tcPr>
          <w:p>
            <w:pPr>
              <w:pStyle w:val="136"/>
            </w:pPr>
            <w:r>
              <w:t>BS-1</w:t>
            </w:r>
          </w:p>
        </w:tc>
        <w:tc>
          <w:tcPr>
            <w:tcW w:w="1198" w:type="pct"/>
            <w:vAlign w:val="center"/>
          </w:tcPr>
          <w:p>
            <w:pPr>
              <w:pStyle w:val="136"/>
            </w:pPr>
            <w:r>
              <w:t>混凝土拌和站废水处理设施后排放口</w:t>
            </w:r>
          </w:p>
        </w:tc>
        <w:tc>
          <w:tcPr>
            <w:tcW w:w="1281" w:type="pct"/>
            <w:vMerge w:val="continue"/>
            <w:vAlign w:val="center"/>
          </w:tcPr>
          <w:p>
            <w:pPr>
              <w:pStyle w:val="136"/>
            </w:pPr>
          </w:p>
        </w:tc>
        <w:tc>
          <w:tcPr>
            <w:tcW w:w="1158" w:type="pct"/>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136"/>
            </w:pPr>
            <w:r>
              <w:t>机械保养含油废水</w:t>
            </w:r>
          </w:p>
        </w:tc>
        <w:tc>
          <w:tcPr>
            <w:tcW w:w="683" w:type="pct"/>
            <w:vAlign w:val="center"/>
          </w:tcPr>
          <w:p>
            <w:pPr>
              <w:pStyle w:val="136"/>
            </w:pPr>
            <w:r>
              <w:t>YS-1</w:t>
            </w:r>
          </w:p>
        </w:tc>
        <w:tc>
          <w:tcPr>
            <w:tcW w:w="1198" w:type="pct"/>
            <w:vAlign w:val="center"/>
          </w:tcPr>
          <w:p>
            <w:pPr>
              <w:pStyle w:val="136"/>
            </w:pPr>
            <w:r>
              <w:t>机械保养站含油废水处理设施排放口</w:t>
            </w:r>
          </w:p>
        </w:tc>
        <w:tc>
          <w:tcPr>
            <w:tcW w:w="1281" w:type="pct"/>
            <w:vAlign w:val="center"/>
          </w:tcPr>
          <w:p>
            <w:pPr>
              <w:pStyle w:val="136"/>
            </w:pPr>
            <w:r>
              <w:t>COD</w:t>
            </w:r>
            <w:r>
              <w:rPr>
                <w:vertAlign w:val="subscript"/>
              </w:rPr>
              <w:t>Cr</w:t>
            </w:r>
            <w:r>
              <w:t>、石油类、挥发酚、废水流量</w:t>
            </w:r>
          </w:p>
        </w:tc>
        <w:tc>
          <w:tcPr>
            <w:tcW w:w="1158" w:type="pct"/>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136"/>
            </w:pPr>
            <w:r>
              <w:t>基坑废水</w:t>
            </w:r>
          </w:p>
        </w:tc>
        <w:tc>
          <w:tcPr>
            <w:tcW w:w="683" w:type="pct"/>
            <w:vAlign w:val="center"/>
          </w:tcPr>
          <w:p>
            <w:pPr>
              <w:pStyle w:val="136"/>
            </w:pPr>
            <w:r>
              <w:t>DS-1</w:t>
            </w:r>
          </w:p>
        </w:tc>
        <w:tc>
          <w:tcPr>
            <w:tcW w:w="1198" w:type="pct"/>
            <w:vAlign w:val="center"/>
          </w:tcPr>
          <w:p>
            <w:pPr>
              <w:pStyle w:val="136"/>
            </w:pPr>
            <w:r>
              <w:t>泵站基坑排水点处理设施清水池</w:t>
            </w:r>
          </w:p>
        </w:tc>
        <w:tc>
          <w:tcPr>
            <w:tcW w:w="1281" w:type="pct"/>
            <w:vAlign w:val="center"/>
          </w:tcPr>
          <w:p>
            <w:pPr>
              <w:pStyle w:val="136"/>
            </w:pPr>
            <w:r>
              <w:t>pH、SS、废水流量</w:t>
            </w:r>
          </w:p>
        </w:tc>
        <w:tc>
          <w:tcPr>
            <w:tcW w:w="1158" w:type="pct"/>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136"/>
            </w:pPr>
            <w:r>
              <w:t>生活污水</w:t>
            </w:r>
          </w:p>
        </w:tc>
        <w:tc>
          <w:tcPr>
            <w:tcW w:w="683" w:type="pct"/>
            <w:vAlign w:val="center"/>
          </w:tcPr>
          <w:p>
            <w:pPr>
              <w:pStyle w:val="136"/>
            </w:pPr>
            <w:r>
              <w:t>WS-1</w:t>
            </w:r>
          </w:p>
        </w:tc>
        <w:tc>
          <w:tcPr>
            <w:tcW w:w="1198" w:type="pct"/>
            <w:vAlign w:val="center"/>
          </w:tcPr>
          <w:p>
            <w:pPr>
              <w:pStyle w:val="136"/>
            </w:pPr>
            <w:r>
              <w:t>生活污水处理设施排放口</w:t>
            </w:r>
          </w:p>
        </w:tc>
        <w:tc>
          <w:tcPr>
            <w:tcW w:w="1281" w:type="pct"/>
            <w:vAlign w:val="center"/>
          </w:tcPr>
          <w:p>
            <w:pPr>
              <w:pStyle w:val="136"/>
            </w:pPr>
            <w:r>
              <w:t>pH、COD</w:t>
            </w:r>
            <w:r>
              <w:rPr>
                <w:vertAlign w:val="subscript"/>
              </w:rPr>
              <w:t>Cr</w:t>
            </w:r>
            <w:r>
              <w:t>、BOD</w:t>
            </w:r>
            <w:r>
              <w:rPr>
                <w:vertAlign w:val="subscript"/>
              </w:rPr>
              <w:t>5</w:t>
            </w:r>
            <w:r>
              <w:t>、TP、TN、阴离子表面活性剂</w:t>
            </w:r>
          </w:p>
        </w:tc>
        <w:tc>
          <w:tcPr>
            <w:tcW w:w="1158" w:type="pct"/>
            <w:vAlign w:val="center"/>
          </w:tcPr>
          <w:p>
            <w:pPr>
              <w:pStyle w:val="136"/>
            </w:pPr>
            <w:r>
              <w:t>施工期每年夏季一期，监测2天，每天监测2次。</w:t>
            </w:r>
          </w:p>
        </w:tc>
      </w:tr>
    </w:tbl>
    <w:p>
      <w:pPr>
        <w:ind w:firstLine="480"/>
        <w:rPr>
          <w:rFonts w:cs="Times New Roman"/>
        </w:rPr>
      </w:pPr>
    </w:p>
    <w:p>
      <w:pPr>
        <w:ind w:firstLine="480"/>
        <w:rPr>
          <w:rFonts w:cs="Times New Roman"/>
        </w:rPr>
      </w:pPr>
      <w:r>
        <w:rPr>
          <w:rFonts w:cs="Times New Roman"/>
        </w:rPr>
        <w:t>C..监测方法：水样采集按照《环境监测技术规范》的规定方法执行，样品分析按照《地表水环境质量标准》（GB3838-2002）规定及《环境监测技术规范》的选配方法执行。</w:t>
      </w:r>
    </w:p>
    <w:p>
      <w:pPr>
        <w:ind w:firstLine="480"/>
        <w:rPr>
          <w:rFonts w:cs="Times New Roman"/>
        </w:rPr>
      </w:pPr>
      <w:r>
        <w:rPr>
          <w:rFonts w:cs="Times New Roman"/>
        </w:rPr>
        <w:t>（2）运行期水环境监测</w:t>
      </w:r>
    </w:p>
    <w:p>
      <w:pPr>
        <w:ind w:firstLine="480"/>
        <w:rPr>
          <w:rFonts w:cs="Times New Roman"/>
        </w:rPr>
      </w:pPr>
      <w:r>
        <w:rPr>
          <w:rFonts w:hint="eastAsia" w:ascii="宋体" w:hAnsi="宋体" w:cs="宋体"/>
        </w:rPr>
        <w:t>①</w:t>
      </w:r>
      <w:r>
        <w:rPr>
          <w:rFonts w:cs="Times New Roman"/>
        </w:rPr>
        <w:t>河流水质监测</w:t>
      </w:r>
    </w:p>
    <w:p>
      <w:pPr>
        <w:ind w:firstLine="480"/>
        <w:rPr>
          <w:rFonts w:cs="Times New Roman"/>
        </w:rPr>
      </w:pPr>
      <w:r>
        <w:rPr>
          <w:rFonts w:cs="Times New Roman"/>
        </w:rPr>
        <w:t>A.监测点布设：在代尔昆代水库下游100m处，设置1座水质自动监测站，实时监测库区水质，确保水质安全。</w:t>
      </w:r>
    </w:p>
    <w:p>
      <w:pPr>
        <w:ind w:firstLine="480"/>
        <w:rPr>
          <w:rFonts w:cs="Times New Roman"/>
        </w:rPr>
      </w:pPr>
      <w:r>
        <w:rPr>
          <w:rFonts w:cs="Times New Roman"/>
        </w:rPr>
        <w:t>B.监测技术要求：监测项目、监测周期、监测时段及频率见表7.2-3。</w:t>
      </w:r>
    </w:p>
    <w:p>
      <w:pPr>
        <w:ind w:firstLine="480"/>
        <w:rPr>
          <w:rFonts w:cs="Times New Roman"/>
        </w:rPr>
      </w:pPr>
      <w:r>
        <w:rPr>
          <w:rFonts w:cs="Times New Roman"/>
        </w:rPr>
        <w:t>C.监测方法：水样采集按照《环境监测技术规范》的规定方法执行，样品分析按照《地表水环境质量标准》（GB3838-2002）规定及《环境监测技术规范》的选配方法执行。</w:t>
      </w:r>
    </w:p>
    <w:p>
      <w:pPr>
        <w:ind w:firstLine="480"/>
        <w:rPr>
          <w:rFonts w:cs="Times New Roman"/>
        </w:rPr>
      </w:pPr>
      <w:r>
        <w:rPr>
          <w:rFonts w:hint="eastAsia" w:ascii="宋体" w:hAnsi="宋体" w:cs="宋体"/>
        </w:rPr>
        <w:t>②</w:t>
      </w:r>
      <w:r>
        <w:rPr>
          <w:rFonts w:cs="Times New Roman"/>
        </w:rPr>
        <w:t>废污水监测</w:t>
      </w:r>
    </w:p>
    <w:p>
      <w:pPr>
        <w:ind w:firstLine="480"/>
        <w:rPr>
          <w:rFonts w:cs="Times New Roman"/>
        </w:rPr>
      </w:pPr>
      <w:r>
        <w:rPr>
          <w:rFonts w:cs="Times New Roman"/>
        </w:rPr>
        <w:t>A.监测点位：管理站生活污水一体化处理设备进出口各布置1个监测点，共计2个监测点。</w:t>
      </w:r>
    </w:p>
    <w:p>
      <w:pPr>
        <w:ind w:firstLine="480"/>
        <w:rPr>
          <w:rFonts w:cs="Times New Roman"/>
        </w:rPr>
      </w:pPr>
      <w:r>
        <w:rPr>
          <w:rFonts w:cs="Times New Roman"/>
        </w:rPr>
        <w:t>B.监测技术要求：监测点位、监测项目、监测周期、监测时段及频率见表7.2-3。</w:t>
      </w:r>
    </w:p>
    <w:p>
      <w:pPr>
        <w:ind w:firstLine="480"/>
        <w:rPr>
          <w:rFonts w:cs="Times New Roman"/>
        </w:rPr>
      </w:pPr>
      <w:r>
        <w:rPr>
          <w:rFonts w:cs="Times New Roman"/>
        </w:rPr>
        <w:t>C.监测方法：水样采集按照《环境监测技术规范》的规定方法执行，样品分析按照《地表水环境质量标准》（GB3838-2002）规定及《环境监测技术规范》的选配方法执行。</w:t>
      </w:r>
    </w:p>
    <w:p>
      <w:pPr>
        <w:pStyle w:val="137"/>
        <w:spacing w:before="62"/>
      </w:pPr>
      <w:r>
        <w:t>表7.2-3       运行期地表水监测计划及技术要求一览表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846"/>
        <w:gridCol w:w="1813"/>
        <w:gridCol w:w="2915"/>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 w:type="pct"/>
          </w:tcPr>
          <w:p>
            <w:pPr>
              <w:pStyle w:val="136"/>
            </w:pPr>
            <w:r>
              <w:t>废（污）水类别</w:t>
            </w:r>
          </w:p>
        </w:tc>
        <w:tc>
          <w:tcPr>
            <w:tcW w:w="470" w:type="pct"/>
          </w:tcPr>
          <w:p>
            <w:pPr>
              <w:pStyle w:val="136"/>
            </w:pPr>
            <w:r>
              <w:t>监测点位编号</w:t>
            </w:r>
          </w:p>
        </w:tc>
        <w:tc>
          <w:tcPr>
            <w:tcW w:w="1007" w:type="pct"/>
          </w:tcPr>
          <w:p>
            <w:pPr>
              <w:pStyle w:val="136"/>
            </w:pPr>
            <w:r>
              <w:t>断面布设</w:t>
            </w:r>
          </w:p>
        </w:tc>
        <w:tc>
          <w:tcPr>
            <w:tcW w:w="1619" w:type="pct"/>
          </w:tcPr>
          <w:p>
            <w:pPr>
              <w:pStyle w:val="136"/>
            </w:pPr>
            <w:r>
              <w:t>监测项目</w:t>
            </w:r>
          </w:p>
        </w:tc>
        <w:tc>
          <w:tcPr>
            <w:tcW w:w="1312" w:type="pct"/>
          </w:tcPr>
          <w:p>
            <w:pPr>
              <w:pStyle w:val="136"/>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 w:type="pct"/>
          </w:tcPr>
          <w:p>
            <w:pPr>
              <w:pStyle w:val="136"/>
            </w:pPr>
            <w:r>
              <w:t>代尔昆代水库</w:t>
            </w:r>
          </w:p>
        </w:tc>
        <w:tc>
          <w:tcPr>
            <w:tcW w:w="470" w:type="pct"/>
          </w:tcPr>
          <w:p>
            <w:pPr>
              <w:pStyle w:val="136"/>
            </w:pPr>
            <w:r>
              <w:t>KS-1</w:t>
            </w:r>
          </w:p>
        </w:tc>
        <w:tc>
          <w:tcPr>
            <w:tcW w:w="1007" w:type="pct"/>
          </w:tcPr>
          <w:p>
            <w:pPr>
              <w:pStyle w:val="136"/>
            </w:pPr>
            <w:r>
              <w:t>代尔昆代水库下游100m</w:t>
            </w:r>
          </w:p>
        </w:tc>
        <w:tc>
          <w:tcPr>
            <w:tcW w:w="1619" w:type="pct"/>
          </w:tcPr>
          <w:p>
            <w:pPr>
              <w:pStyle w:val="136"/>
            </w:pPr>
            <w:r>
              <w:t>pH、DO、SS、CODCr、BOD5、TP、TN、石油类</w:t>
            </w:r>
          </w:p>
        </w:tc>
        <w:tc>
          <w:tcPr>
            <w:tcW w:w="1312" w:type="pct"/>
          </w:tcPr>
          <w:p>
            <w:pPr>
              <w:pStyle w:val="136"/>
            </w:pPr>
            <w:r>
              <w:t>设立水质自动监测站，进行实时监测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 w:type="pct"/>
          </w:tcPr>
          <w:p>
            <w:pPr>
              <w:pStyle w:val="136"/>
            </w:pPr>
            <w:r>
              <w:t>管理站生活污水</w:t>
            </w:r>
          </w:p>
        </w:tc>
        <w:tc>
          <w:tcPr>
            <w:tcW w:w="470" w:type="pct"/>
          </w:tcPr>
          <w:p>
            <w:pPr>
              <w:pStyle w:val="136"/>
            </w:pPr>
            <w:r>
              <w:t>WS-1、WS-2</w:t>
            </w:r>
          </w:p>
        </w:tc>
        <w:tc>
          <w:tcPr>
            <w:tcW w:w="1007" w:type="pct"/>
          </w:tcPr>
          <w:p>
            <w:pPr>
              <w:pStyle w:val="136"/>
            </w:pPr>
            <w:r>
              <w:t>工程运行管理站生活污水处理设施装置进出口</w:t>
            </w:r>
          </w:p>
        </w:tc>
        <w:tc>
          <w:tcPr>
            <w:tcW w:w="1619" w:type="pct"/>
          </w:tcPr>
          <w:p>
            <w:pPr>
              <w:pStyle w:val="136"/>
            </w:pPr>
            <w:r>
              <w:t>pH、CODCr、BOD5、TP、TN、阴离子表面活性剂、粪大肠杆菌、污水流量</w:t>
            </w:r>
          </w:p>
        </w:tc>
        <w:tc>
          <w:tcPr>
            <w:tcW w:w="1312" w:type="pct"/>
          </w:tcPr>
          <w:p>
            <w:pPr>
              <w:pStyle w:val="136"/>
            </w:pPr>
            <w:r>
              <w:t>竣工后连续监测3年，每年二期，每期监测2天，每天监测2次。</w:t>
            </w:r>
          </w:p>
        </w:tc>
      </w:tr>
    </w:tbl>
    <w:p>
      <w:pPr>
        <w:ind w:firstLine="480"/>
        <w:rPr>
          <w:rFonts w:cs="Times New Roman"/>
        </w:rPr>
      </w:pPr>
    </w:p>
    <w:p>
      <w:pPr>
        <w:ind w:firstLine="480"/>
        <w:rPr>
          <w:rFonts w:cs="Times New Roman"/>
        </w:rPr>
      </w:pPr>
      <w:r>
        <w:rPr>
          <w:rFonts w:cs="Times New Roman"/>
        </w:rPr>
        <w:t>（3）生态流量观测</w:t>
      </w:r>
    </w:p>
    <w:p>
      <w:pPr>
        <w:ind w:firstLine="480"/>
        <w:rPr>
          <w:rFonts w:cs="Times New Roman"/>
        </w:rPr>
      </w:pPr>
      <w:r>
        <w:rPr>
          <w:rFonts w:hint="eastAsia" w:ascii="宋体" w:hAnsi="宋体" w:cs="宋体"/>
        </w:rPr>
        <w:t>①</w:t>
      </w:r>
      <w:r>
        <w:rPr>
          <w:rFonts w:cs="Times New Roman"/>
        </w:rPr>
        <w:t>监控目的：为确保生态流量下泄措施的有效运行，需对工程在不同阶段的下泄流量进行实时监控，同时可为生态流量对下游水环境、水生生态及河道景观的影响与效果研究提供基础资料。</w:t>
      </w:r>
    </w:p>
    <w:p>
      <w:pPr>
        <w:ind w:firstLine="480"/>
        <w:rPr>
          <w:rFonts w:cs="Times New Roman"/>
        </w:rPr>
      </w:pPr>
      <w:r>
        <w:rPr>
          <w:rFonts w:hint="eastAsia" w:ascii="宋体" w:hAnsi="宋体" w:cs="宋体"/>
        </w:rPr>
        <w:t>②</w:t>
      </w:r>
      <w:r>
        <w:rPr>
          <w:rFonts w:cs="Times New Roman"/>
        </w:rPr>
        <w:t>监控系统：为了运行期下泄生态流量，在坝下建立生态流量在线自动监测系统。初拟在防水管出水口下游侧设生态流量自动监测系统。</w:t>
      </w:r>
    </w:p>
    <w:p>
      <w:pPr>
        <w:pStyle w:val="62"/>
        <w:rPr>
          <w:rFonts w:cs="Times New Roman"/>
        </w:rPr>
      </w:pPr>
      <w:bookmarkStart w:id="142" w:name="_Toc457321632"/>
      <w:r>
        <w:rPr>
          <w:rFonts w:cs="Times New Roman"/>
        </w:rPr>
        <w:t>7.2.4.2 地下水环境监测</w:t>
      </w:r>
      <w:bookmarkEnd w:id="142"/>
    </w:p>
    <w:p>
      <w:pPr>
        <w:ind w:firstLine="480"/>
        <w:rPr>
          <w:rFonts w:cs="Times New Roman"/>
        </w:rPr>
      </w:pPr>
      <w:r>
        <w:rPr>
          <w:rFonts w:cs="Times New Roman"/>
        </w:rPr>
        <w:t>（1）监测目的</w:t>
      </w:r>
    </w:p>
    <w:p>
      <w:pPr>
        <w:ind w:firstLine="480"/>
        <w:rPr>
          <w:rFonts w:cs="Times New Roman"/>
        </w:rPr>
      </w:pPr>
      <w:r>
        <w:rPr>
          <w:rFonts w:cs="Times New Roman"/>
        </w:rPr>
        <w:t>掌握工程运行后，下马崖泉水出露区地下水位的变化趋势，结合工程运行后水文情势变化，分析河道流量、水量变化与地下水位的关系，为环境监督、环境管理、环境保护措施调整优化提供依据。</w:t>
      </w:r>
    </w:p>
    <w:p>
      <w:pPr>
        <w:ind w:firstLine="480"/>
        <w:rPr>
          <w:rFonts w:cs="Times New Roman"/>
        </w:rPr>
      </w:pPr>
      <w:r>
        <w:rPr>
          <w:rFonts w:cs="Times New Roman"/>
        </w:rPr>
        <w:t>（2）监测内容</w:t>
      </w:r>
    </w:p>
    <w:p>
      <w:pPr>
        <w:ind w:firstLine="480"/>
        <w:rPr>
          <w:rFonts w:cs="Times New Roman"/>
        </w:rPr>
      </w:pPr>
      <w:r>
        <w:rPr>
          <w:rFonts w:cs="Times New Roman"/>
        </w:rPr>
        <w:t>监测工程实施后下马崖泉水出露区地下水动态变化规律。</w:t>
      </w:r>
    </w:p>
    <w:p>
      <w:pPr>
        <w:ind w:firstLine="480"/>
        <w:rPr>
          <w:rFonts w:cs="Times New Roman"/>
        </w:rPr>
      </w:pPr>
      <w:r>
        <w:rPr>
          <w:rFonts w:cs="Times New Roman"/>
        </w:rPr>
        <w:t>（3）监测方法</w:t>
      </w:r>
    </w:p>
    <w:p>
      <w:pPr>
        <w:ind w:firstLine="480"/>
        <w:rPr>
          <w:rFonts w:cs="Times New Roman"/>
        </w:rPr>
      </w:pPr>
      <w:r>
        <w:rPr>
          <w:rFonts w:cs="Times New Roman"/>
        </w:rPr>
        <w:t>采用地面观测中定点观测的方法开展长期监测。在下马崖泉水出露区上游侧选择典型断布设地下水动态观测井，进行水位、流量关系及地下水动态监测。</w:t>
      </w:r>
    </w:p>
    <w:p>
      <w:pPr>
        <w:ind w:firstLine="480"/>
        <w:rPr>
          <w:rFonts w:cs="Times New Roman"/>
        </w:rPr>
      </w:pPr>
      <w:r>
        <w:rPr>
          <w:rFonts w:cs="Times New Roman"/>
        </w:rPr>
        <w:t>（4）监测频次</w:t>
      </w:r>
    </w:p>
    <w:p>
      <w:pPr>
        <w:ind w:firstLine="480"/>
        <w:rPr>
          <w:rFonts w:cs="Times New Roman"/>
        </w:rPr>
      </w:pPr>
      <w:r>
        <w:rPr>
          <w:rFonts w:cs="Times New Roman"/>
        </w:rPr>
        <w:t>每年进行例行监测。地下水位监测应</w:t>
      </w:r>
      <w:r>
        <w:rPr>
          <w:rFonts w:cs="Times New Roman"/>
          <w:color w:val="FF0000"/>
        </w:rPr>
        <w:t>每旬进行一次，</w:t>
      </w:r>
      <w:r>
        <w:rPr>
          <w:rFonts w:cs="Times New Roman"/>
        </w:rPr>
        <w:t>同步观测地表水水情，连续监测至相对稳定期，分析各断面水位、流量及与地下水位动态变化的关系。</w:t>
      </w:r>
    </w:p>
    <w:p>
      <w:pPr>
        <w:pStyle w:val="62"/>
        <w:rPr>
          <w:rFonts w:cs="Times New Roman"/>
        </w:rPr>
      </w:pPr>
      <w:r>
        <w:rPr>
          <w:rFonts w:cs="Times New Roman"/>
        </w:rPr>
        <w:t>7.2.4.3 施工期环境空气监测</w:t>
      </w:r>
    </w:p>
    <w:p>
      <w:pPr>
        <w:ind w:firstLine="480"/>
        <w:rPr>
          <w:rFonts w:cs="Times New Roman"/>
        </w:rPr>
      </w:pPr>
      <w:r>
        <w:rPr>
          <w:rFonts w:cs="Times New Roman"/>
        </w:rPr>
        <w:t>（1）监测点布设</w:t>
      </w:r>
    </w:p>
    <w:p>
      <w:pPr>
        <w:ind w:firstLine="480"/>
        <w:rPr>
          <w:rFonts w:cs="Times New Roman"/>
        </w:rPr>
      </w:pPr>
      <w:r>
        <w:rPr>
          <w:rFonts w:cs="Times New Roman"/>
        </w:rPr>
        <w:t>根据工程施工期环境空气影响情况，在施工生活区、混凝土骨料及垫层料加工系统和下游临时弃渣场各布置一个监测点位，监测项目及监测频次见表7.2-4。</w:t>
      </w:r>
    </w:p>
    <w:p>
      <w:pPr>
        <w:pStyle w:val="62"/>
        <w:rPr>
          <w:rFonts w:cs="Times New Roman"/>
        </w:rPr>
      </w:pPr>
      <w:r>
        <w:rPr>
          <w:rFonts w:cs="Times New Roman"/>
        </w:rPr>
        <w:t>表7.2-4         施工期环境空气监测计划及技术要求一览表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1239"/>
        <w:gridCol w:w="1239"/>
        <w:gridCol w:w="4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2" w:type="pct"/>
            <w:vAlign w:val="center"/>
          </w:tcPr>
          <w:p>
            <w:pPr>
              <w:pStyle w:val="136"/>
            </w:pPr>
            <w:r>
              <w:t>监测点位</w:t>
            </w:r>
          </w:p>
        </w:tc>
        <w:tc>
          <w:tcPr>
            <w:tcW w:w="688" w:type="pct"/>
            <w:vAlign w:val="center"/>
          </w:tcPr>
          <w:p>
            <w:pPr>
              <w:pStyle w:val="136"/>
            </w:pPr>
            <w:r>
              <w:t>监测点数</w:t>
            </w:r>
          </w:p>
        </w:tc>
        <w:tc>
          <w:tcPr>
            <w:tcW w:w="688" w:type="pct"/>
            <w:vAlign w:val="center"/>
          </w:tcPr>
          <w:p>
            <w:pPr>
              <w:pStyle w:val="136"/>
            </w:pPr>
            <w:r>
              <w:t>监测项目</w:t>
            </w:r>
          </w:p>
        </w:tc>
        <w:tc>
          <w:tcPr>
            <w:tcW w:w="2672" w:type="pct"/>
            <w:vAlign w:val="center"/>
          </w:tcPr>
          <w:p>
            <w:pPr>
              <w:pStyle w:val="136"/>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pct"/>
            <w:vAlign w:val="center"/>
          </w:tcPr>
          <w:p>
            <w:pPr>
              <w:pStyle w:val="136"/>
            </w:pPr>
            <w:r>
              <w:t>施工生活区</w:t>
            </w:r>
          </w:p>
        </w:tc>
        <w:tc>
          <w:tcPr>
            <w:tcW w:w="688" w:type="pct"/>
            <w:vAlign w:val="center"/>
          </w:tcPr>
          <w:p>
            <w:pPr>
              <w:pStyle w:val="136"/>
            </w:pPr>
            <w:r>
              <w:t>1</w:t>
            </w:r>
          </w:p>
        </w:tc>
        <w:tc>
          <w:tcPr>
            <w:tcW w:w="688" w:type="pct"/>
            <w:vAlign w:val="center"/>
          </w:tcPr>
          <w:p>
            <w:pPr>
              <w:pStyle w:val="136"/>
            </w:pPr>
            <w:r>
              <w:t>TSP</w:t>
            </w:r>
          </w:p>
        </w:tc>
        <w:tc>
          <w:tcPr>
            <w:tcW w:w="2672" w:type="pct"/>
            <w:vMerge w:val="restart"/>
            <w:vAlign w:val="center"/>
          </w:tcPr>
          <w:p>
            <w:pPr>
              <w:pStyle w:val="136"/>
            </w:pPr>
            <w:r>
              <w:t>施工期每季度监测1次，每次连续监测3天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pct"/>
            <w:vAlign w:val="center"/>
          </w:tcPr>
          <w:p>
            <w:pPr>
              <w:pStyle w:val="136"/>
            </w:pPr>
            <w:r>
              <w:t>砂石料加工系统</w:t>
            </w:r>
          </w:p>
        </w:tc>
        <w:tc>
          <w:tcPr>
            <w:tcW w:w="688" w:type="pct"/>
            <w:vAlign w:val="center"/>
          </w:tcPr>
          <w:p>
            <w:pPr>
              <w:pStyle w:val="136"/>
            </w:pPr>
            <w:r>
              <w:t>1</w:t>
            </w:r>
          </w:p>
        </w:tc>
        <w:tc>
          <w:tcPr>
            <w:tcW w:w="688" w:type="pct"/>
            <w:vAlign w:val="center"/>
          </w:tcPr>
          <w:p>
            <w:pPr>
              <w:pStyle w:val="136"/>
            </w:pPr>
            <w:r>
              <w:t>TSP</w:t>
            </w:r>
          </w:p>
        </w:tc>
        <w:tc>
          <w:tcPr>
            <w:tcW w:w="2672" w:type="pct"/>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pct"/>
            <w:vAlign w:val="center"/>
          </w:tcPr>
          <w:p>
            <w:pPr>
              <w:pStyle w:val="136"/>
            </w:pPr>
            <w:r>
              <w:t>临时弃渣场</w:t>
            </w:r>
          </w:p>
        </w:tc>
        <w:tc>
          <w:tcPr>
            <w:tcW w:w="688" w:type="pct"/>
            <w:vAlign w:val="center"/>
          </w:tcPr>
          <w:p>
            <w:pPr>
              <w:pStyle w:val="136"/>
            </w:pPr>
            <w:r>
              <w:t>1</w:t>
            </w:r>
          </w:p>
        </w:tc>
        <w:tc>
          <w:tcPr>
            <w:tcW w:w="688" w:type="pct"/>
            <w:vAlign w:val="center"/>
          </w:tcPr>
          <w:p>
            <w:pPr>
              <w:pStyle w:val="136"/>
            </w:pPr>
            <w:r>
              <w:t>TSP</w:t>
            </w:r>
          </w:p>
        </w:tc>
        <w:tc>
          <w:tcPr>
            <w:tcW w:w="2672" w:type="pct"/>
            <w:vMerge w:val="continue"/>
            <w:vAlign w:val="center"/>
          </w:tcPr>
          <w:p>
            <w:pPr>
              <w:pStyle w:val="136"/>
            </w:pPr>
          </w:p>
        </w:tc>
      </w:tr>
    </w:tbl>
    <w:p>
      <w:pPr>
        <w:ind w:firstLine="480"/>
        <w:rPr>
          <w:rFonts w:cs="Times New Roman"/>
        </w:rPr>
      </w:pPr>
    </w:p>
    <w:p>
      <w:pPr>
        <w:ind w:firstLine="480"/>
        <w:rPr>
          <w:rFonts w:cs="Times New Roman"/>
        </w:rPr>
      </w:pPr>
      <w:r>
        <w:rPr>
          <w:rFonts w:cs="Times New Roman"/>
        </w:rPr>
        <w:t>（2）监测技术要求</w:t>
      </w:r>
    </w:p>
    <w:p>
      <w:pPr>
        <w:ind w:firstLine="480"/>
        <w:rPr>
          <w:rFonts w:cs="Times New Roman"/>
        </w:rPr>
      </w:pPr>
      <w:r>
        <w:rPr>
          <w:rFonts w:cs="Times New Roman"/>
        </w:rPr>
        <w:t>执行《环境监测技术规范》及《环境空气质量标准》(GB3095-2012)和《环境监测技术规范》。</w:t>
      </w:r>
    </w:p>
    <w:p>
      <w:pPr>
        <w:pStyle w:val="62"/>
        <w:rPr>
          <w:rFonts w:cs="Times New Roman"/>
        </w:rPr>
      </w:pPr>
      <w:r>
        <w:rPr>
          <w:rFonts w:cs="Times New Roman"/>
        </w:rPr>
        <w:t>7.2.4.4 施工期声环境监测</w:t>
      </w:r>
    </w:p>
    <w:p>
      <w:pPr>
        <w:ind w:firstLine="480"/>
        <w:rPr>
          <w:rFonts w:cs="Times New Roman"/>
        </w:rPr>
      </w:pPr>
      <w:r>
        <w:rPr>
          <w:rFonts w:cs="Times New Roman"/>
        </w:rPr>
        <w:t>监测点布设同环境空气监测点位，监测项目、监测频次见表7.2-5。监测方法执行《环境监测技术规范》。</w:t>
      </w:r>
    </w:p>
    <w:p>
      <w:pPr>
        <w:pStyle w:val="137"/>
        <w:spacing w:before="62"/>
      </w:pPr>
      <w:r>
        <w:t>表7.2-5           施工期声环境监测计划及技术要求一览表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936"/>
        <w:gridCol w:w="2186"/>
        <w:gridCol w:w="4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96" w:type="pct"/>
            <w:vAlign w:val="center"/>
          </w:tcPr>
          <w:p>
            <w:pPr>
              <w:pStyle w:val="136"/>
            </w:pPr>
            <w:r>
              <w:t>监测点位</w:t>
            </w:r>
          </w:p>
        </w:tc>
        <w:tc>
          <w:tcPr>
            <w:tcW w:w="520" w:type="pct"/>
            <w:vAlign w:val="center"/>
          </w:tcPr>
          <w:p>
            <w:pPr>
              <w:pStyle w:val="136"/>
            </w:pPr>
            <w:r>
              <w:t>监测点数</w:t>
            </w:r>
          </w:p>
        </w:tc>
        <w:tc>
          <w:tcPr>
            <w:tcW w:w="1214" w:type="pct"/>
            <w:vAlign w:val="center"/>
          </w:tcPr>
          <w:p>
            <w:pPr>
              <w:pStyle w:val="136"/>
            </w:pPr>
            <w:r>
              <w:t>监测项目</w:t>
            </w:r>
          </w:p>
        </w:tc>
        <w:tc>
          <w:tcPr>
            <w:tcW w:w="2570" w:type="pct"/>
            <w:vAlign w:val="center"/>
          </w:tcPr>
          <w:p>
            <w:pPr>
              <w:pStyle w:val="136"/>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pStyle w:val="136"/>
            </w:pPr>
            <w:r>
              <w:t>施工生活区</w:t>
            </w:r>
          </w:p>
        </w:tc>
        <w:tc>
          <w:tcPr>
            <w:tcW w:w="520" w:type="pct"/>
            <w:vAlign w:val="center"/>
          </w:tcPr>
          <w:p>
            <w:pPr>
              <w:pStyle w:val="136"/>
            </w:pPr>
            <w:r>
              <w:t>1</w:t>
            </w:r>
          </w:p>
        </w:tc>
        <w:tc>
          <w:tcPr>
            <w:tcW w:w="1214" w:type="pct"/>
            <w:vMerge w:val="restart"/>
            <w:vAlign w:val="center"/>
          </w:tcPr>
          <w:p>
            <w:pPr>
              <w:pStyle w:val="136"/>
            </w:pPr>
            <w:r>
              <w:t>等效连续A声级（Leq）</w:t>
            </w:r>
          </w:p>
        </w:tc>
        <w:tc>
          <w:tcPr>
            <w:tcW w:w="2570" w:type="pct"/>
            <w:vMerge w:val="restart"/>
            <w:vAlign w:val="center"/>
          </w:tcPr>
          <w:p>
            <w:pPr>
              <w:pStyle w:val="136"/>
            </w:pPr>
            <w:r>
              <w:t>施工期每季度监测1d；每天监测时段为10:00、14:00、22:00。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pStyle w:val="136"/>
            </w:pPr>
            <w:r>
              <w:t>砂石料加工系统</w:t>
            </w:r>
          </w:p>
        </w:tc>
        <w:tc>
          <w:tcPr>
            <w:tcW w:w="520" w:type="pct"/>
            <w:vAlign w:val="center"/>
          </w:tcPr>
          <w:p>
            <w:pPr>
              <w:pStyle w:val="136"/>
            </w:pPr>
            <w:r>
              <w:t>1</w:t>
            </w:r>
          </w:p>
        </w:tc>
        <w:tc>
          <w:tcPr>
            <w:tcW w:w="1214" w:type="pct"/>
            <w:vMerge w:val="continue"/>
            <w:vAlign w:val="center"/>
          </w:tcPr>
          <w:p>
            <w:pPr>
              <w:pStyle w:val="136"/>
            </w:pPr>
          </w:p>
        </w:tc>
        <w:tc>
          <w:tcPr>
            <w:tcW w:w="2570" w:type="pct"/>
            <w:vMerge w:val="continue"/>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pStyle w:val="136"/>
            </w:pPr>
            <w:r>
              <w:t>临时弃渣场</w:t>
            </w:r>
          </w:p>
        </w:tc>
        <w:tc>
          <w:tcPr>
            <w:tcW w:w="520" w:type="pct"/>
            <w:vAlign w:val="center"/>
          </w:tcPr>
          <w:p>
            <w:pPr>
              <w:pStyle w:val="136"/>
            </w:pPr>
            <w:r>
              <w:t>1</w:t>
            </w:r>
          </w:p>
        </w:tc>
        <w:tc>
          <w:tcPr>
            <w:tcW w:w="1214" w:type="pct"/>
            <w:vMerge w:val="continue"/>
            <w:vAlign w:val="center"/>
          </w:tcPr>
          <w:p>
            <w:pPr>
              <w:pStyle w:val="136"/>
            </w:pPr>
          </w:p>
        </w:tc>
        <w:tc>
          <w:tcPr>
            <w:tcW w:w="2570" w:type="pct"/>
            <w:vMerge w:val="continue"/>
            <w:vAlign w:val="center"/>
          </w:tcPr>
          <w:p>
            <w:pPr>
              <w:pStyle w:val="136"/>
            </w:pPr>
          </w:p>
        </w:tc>
      </w:tr>
    </w:tbl>
    <w:p>
      <w:pPr>
        <w:ind w:firstLine="480"/>
        <w:rPr>
          <w:rFonts w:cs="Times New Roman"/>
        </w:rPr>
      </w:pPr>
    </w:p>
    <w:p>
      <w:pPr>
        <w:pStyle w:val="62"/>
        <w:rPr>
          <w:rFonts w:cs="Times New Roman"/>
        </w:rPr>
      </w:pPr>
      <w:r>
        <w:rPr>
          <w:rFonts w:cs="Times New Roman"/>
        </w:rPr>
        <w:t>7.2.4.5 陆生生态监测方案</w:t>
      </w:r>
    </w:p>
    <w:p>
      <w:pPr>
        <w:ind w:firstLine="480"/>
      </w:pPr>
      <w:r>
        <w:rPr>
          <w:rFonts w:hint="eastAsia"/>
        </w:rPr>
        <w:t>（1）陆生植物监测</w:t>
      </w:r>
    </w:p>
    <w:p>
      <w:pPr>
        <w:ind w:firstLine="480"/>
      </w:pPr>
      <w:r>
        <w:rPr>
          <w:rFonts w:hint="eastAsia"/>
        </w:rPr>
        <w:t>陆生植物监测主要对工程占地、扰动区植被分布及生长情况进行监测，重点对临时</w:t>
      </w:r>
      <w:r>
        <w:rPr>
          <w:rFonts w:hint="eastAsia"/>
          <w:lang w:eastAsia="zh-CN"/>
        </w:rPr>
        <w:t>占用地区植被</w:t>
      </w:r>
      <w:r>
        <w:rPr>
          <w:rFonts w:hint="eastAsia"/>
        </w:rPr>
        <w:t>进行监测。为调整陆生植物保护措施、指导工程施工期末植被恢复提供基础资料。</w:t>
      </w:r>
    </w:p>
    <w:p>
      <w:pPr>
        <w:ind w:firstLine="480"/>
      </w:pPr>
      <w:r>
        <w:rPr>
          <w:rFonts w:hint="eastAsia"/>
        </w:rPr>
        <w:t>①监测方法</w:t>
      </w:r>
    </w:p>
    <w:p>
      <w:pPr>
        <w:ind w:firstLine="480"/>
      </w:pPr>
      <w:r>
        <w:rPr>
          <w:rFonts w:hint="eastAsia"/>
        </w:rPr>
        <w:t>根据工程影响特征，选取工程占地扰动区域作为监测区域，主要采用遥感监测方式并结合现场样方调查进行，遥感监测可分期购买卫星影像进行解译判读，并结合样方调查结果掌握区域植被生长、分布情况。</w:t>
      </w:r>
    </w:p>
    <w:p>
      <w:pPr>
        <w:ind w:firstLine="480"/>
      </w:pPr>
      <w:r>
        <w:rPr>
          <w:rFonts w:hint="eastAsia"/>
        </w:rPr>
        <w:t>②监测断面</w:t>
      </w:r>
    </w:p>
    <w:p>
      <w:pPr>
        <w:ind w:firstLine="480"/>
      </w:pPr>
      <w:r>
        <w:rPr>
          <w:rFonts w:hint="eastAsia"/>
        </w:rPr>
        <w:t>陆生生态环境监测主要对工程占地、扰动区植被分布及生长情况进行监测，重点对临时</w:t>
      </w:r>
      <w:r>
        <w:rPr>
          <w:rFonts w:hint="eastAsia"/>
          <w:lang w:eastAsia="zh-CN"/>
        </w:rPr>
        <w:t>占用地区植被</w:t>
      </w:r>
      <w:r>
        <w:rPr>
          <w:rFonts w:hint="eastAsia"/>
        </w:rPr>
        <w:t>进行监测。根据工程占地特点，拟在临时生产生活区、渣场区、料场区布置3处监测断面。</w:t>
      </w:r>
    </w:p>
    <w:p>
      <w:pPr>
        <w:ind w:firstLine="480"/>
      </w:pPr>
      <w:r>
        <w:rPr>
          <w:rFonts w:hint="eastAsia"/>
        </w:rPr>
        <w:t>③监测内容</w:t>
      </w:r>
    </w:p>
    <w:p>
      <w:pPr>
        <w:ind w:firstLine="480"/>
      </w:pPr>
      <w:r>
        <w:rPr>
          <w:rFonts w:hint="eastAsia"/>
        </w:rPr>
        <w:t>工程影响区域的植被资源状况、区系组成及特点，主要植被类型及分布区域。主要植被类型分布的面积、植物物种及其所占比例、株高、优势度、覆</w:t>
      </w:r>
      <w:r>
        <w:rPr>
          <w:rFonts w:hint="eastAsia"/>
          <w:lang w:eastAsia="zh-CN"/>
        </w:rPr>
        <w:t>植盖度</w:t>
      </w:r>
      <w:r>
        <w:rPr>
          <w:rFonts w:hint="eastAsia"/>
        </w:rPr>
        <w:t>、生长状况等。</w:t>
      </w:r>
    </w:p>
    <w:p>
      <w:pPr>
        <w:ind w:firstLine="480"/>
      </w:pPr>
      <w:r>
        <w:rPr>
          <w:rFonts w:hint="eastAsia"/>
        </w:rPr>
        <w:t>④监测时段与频次</w:t>
      </w:r>
    </w:p>
    <w:p>
      <w:pPr>
        <w:ind w:firstLine="480"/>
      </w:pPr>
      <w:r>
        <w:rPr>
          <w:rFonts w:hint="eastAsia"/>
        </w:rPr>
        <w:t>选择在施工初期和施工末期监测两次，监测时间选择在每年6月～9月。工程运行初期的3～5年内每年进行例行监测，掌握临时</w:t>
      </w:r>
      <w:r>
        <w:rPr>
          <w:rFonts w:hint="eastAsia"/>
          <w:lang w:eastAsia="zh-CN"/>
        </w:rPr>
        <w:t>占用地区植被</w:t>
      </w:r>
      <w:r>
        <w:rPr>
          <w:rFonts w:hint="eastAsia"/>
        </w:rPr>
        <w:t>恢复状况。</w:t>
      </w:r>
    </w:p>
    <w:p>
      <w:pPr>
        <w:ind w:firstLine="480"/>
      </w:pPr>
      <w:r>
        <w:rPr>
          <w:rFonts w:hint="eastAsia"/>
        </w:rPr>
        <w:t>（2）陆生野生动物监测</w:t>
      </w:r>
    </w:p>
    <w:p>
      <w:pPr>
        <w:ind w:firstLine="480"/>
      </w:pPr>
      <w:r>
        <w:rPr>
          <w:rFonts w:hint="eastAsia"/>
        </w:rPr>
        <w:t>陆生野生动物监测主要对工程淹没、占地区陆生野生动物分布情况进行调查监测，重点掌握区域内重点保护动物分布情况。</w:t>
      </w:r>
    </w:p>
    <w:p>
      <w:pPr>
        <w:ind w:firstLine="480"/>
      </w:pPr>
      <w:r>
        <w:rPr>
          <w:rFonts w:hint="eastAsia"/>
        </w:rPr>
        <w:t>①监测方法</w:t>
      </w:r>
    </w:p>
    <w:p>
      <w:pPr>
        <w:ind w:firstLine="480"/>
      </w:pPr>
      <w:r>
        <w:rPr>
          <w:rFonts w:hint="eastAsia"/>
        </w:rPr>
        <w:t>依据原林业部《全国陆生野生动物资源调查与监测技术规程(修订版)》，主要采用野外实地调查和信息采集进行野生动物调查。实地调查主要包括野外巡查、定点观察、录像、声音记录等。信息采集主要包括文献查阅、问卷调查、摄像监测、GPS定位等。</w:t>
      </w:r>
    </w:p>
    <w:p>
      <w:pPr>
        <w:ind w:firstLine="480"/>
      </w:pPr>
      <w:r>
        <w:rPr>
          <w:rFonts w:hint="eastAsia"/>
        </w:rPr>
        <w:t>②监测范围及断面</w:t>
      </w:r>
    </w:p>
    <w:p>
      <w:pPr>
        <w:ind w:firstLine="480"/>
      </w:pPr>
      <w:r>
        <w:rPr>
          <w:rFonts w:hint="eastAsia"/>
        </w:rPr>
        <w:t>陆生野生动物监测范围涵盖工程淹没、占地区，重点对区域保护动物</w:t>
      </w:r>
      <w:r>
        <w:rPr>
          <w:rFonts w:hint="eastAsia"/>
          <w:lang w:eastAsia="zh-CN"/>
        </w:rPr>
        <w:t>分布情况进行</w:t>
      </w:r>
      <w:r>
        <w:rPr>
          <w:rFonts w:hint="eastAsia"/>
        </w:rPr>
        <w:t>监测。根据项目特点，拟</w:t>
      </w:r>
      <w:r>
        <w:rPr>
          <w:rFonts w:hint="eastAsia"/>
          <w:lang w:eastAsia="zh-CN"/>
        </w:rPr>
        <w:t>在</w:t>
      </w:r>
      <w:r>
        <w:rPr>
          <w:rFonts w:hint="eastAsia"/>
        </w:rPr>
        <w:t>水库淹没区回水末端、坝址附近、坝址下游河谷、水库管理区附近共布设样线5条，观察对象为动物实体及其活动痕迹，如食迹、足迹、卧迹、粪便、毛发等，另外对调查区周边农牧民进行了访谈调查。</w:t>
      </w:r>
    </w:p>
    <w:p>
      <w:pPr>
        <w:ind w:firstLine="480"/>
      </w:pPr>
      <w:r>
        <w:rPr>
          <w:rFonts w:hint="eastAsia"/>
        </w:rPr>
        <w:t>③监测内容</w:t>
      </w:r>
    </w:p>
    <w:p>
      <w:pPr>
        <w:ind w:firstLine="480"/>
      </w:pPr>
      <w:r>
        <w:rPr>
          <w:rFonts w:hint="eastAsia"/>
        </w:rPr>
        <w:t>工程淹没占、地区的陆生野生动物资源状况，包括哺乳动物、鸟类、爬行动物等的分布和数量状况，重点对区域分布的保护动物资源状况、生态习性和生境需求、保护状况和面临的主要威胁进行调查监测。</w:t>
      </w:r>
    </w:p>
    <w:p>
      <w:pPr>
        <w:ind w:firstLine="480"/>
      </w:pPr>
      <w:r>
        <w:rPr>
          <w:rFonts w:hint="eastAsia"/>
        </w:rPr>
        <w:t>④监测时段与频次</w:t>
      </w:r>
    </w:p>
    <w:p>
      <w:pPr>
        <w:ind w:firstLine="480"/>
      </w:pPr>
      <w:r>
        <w:rPr>
          <w:rFonts w:hint="eastAsia"/>
        </w:rPr>
        <w:t>选择在施工初期和施工末期监测两次，监测时间选择在每年春季（3月～4月）和夏季（8月～9月）。工程运行初期的3～5年内每年进行例行监测，掌握工程建设后陆生野生动物资源变化情况。</w:t>
      </w:r>
    </w:p>
    <w:p>
      <w:pPr>
        <w:pStyle w:val="62"/>
        <w:rPr>
          <w:rFonts w:cs="Times New Roman"/>
        </w:rPr>
      </w:pPr>
      <w:r>
        <w:rPr>
          <w:rFonts w:cs="Times New Roman"/>
        </w:rPr>
        <w:t>7.2.4.6 土壤环境监测</w:t>
      </w:r>
    </w:p>
    <w:p>
      <w:pPr>
        <w:ind w:firstLine="480"/>
        <w:rPr>
          <w:rFonts w:cs="Times New Roman"/>
        </w:rPr>
      </w:pPr>
      <w:r>
        <w:rPr>
          <w:rFonts w:cs="Times New Roman"/>
        </w:rPr>
        <w:t>（1）监测点位</w:t>
      </w:r>
    </w:p>
    <w:p>
      <w:pPr>
        <w:ind w:firstLine="480"/>
        <w:rPr>
          <w:rFonts w:cs="Times New Roman"/>
        </w:rPr>
      </w:pPr>
      <w:r>
        <w:rPr>
          <w:rFonts w:cs="Times New Roman"/>
        </w:rPr>
        <w:t>根据工程特点，拟在工程水库淹没区布置监测点位3处，库区周边布置监测点4处，共7处。</w:t>
      </w:r>
    </w:p>
    <w:p>
      <w:pPr>
        <w:ind w:firstLine="480"/>
        <w:rPr>
          <w:rFonts w:cs="Times New Roman"/>
        </w:rPr>
      </w:pPr>
      <w:r>
        <w:rPr>
          <w:rFonts w:cs="Times New Roman"/>
        </w:rPr>
        <w:t>（2）监测项目</w:t>
      </w:r>
    </w:p>
    <w:p>
      <w:pPr>
        <w:ind w:firstLine="480"/>
        <w:rPr>
          <w:rFonts w:cs="Times New Roman"/>
        </w:rPr>
      </w:pPr>
      <w:r>
        <w:rPr>
          <w:rFonts w:cs="Times New Roman"/>
        </w:rPr>
        <w:t>监测项目包括：pH、土壤含盐量（SSC）、镉、汞、砷、铅、铬、铜、镍、锌、阳离子交换量、氧化还原电位、饱和导水率、土壤容重、孔隙度等，同时，各监测点采样时还需补充调查采样点地区地下水埋深、地下水溶解性固体（TDS）。</w:t>
      </w:r>
    </w:p>
    <w:p>
      <w:pPr>
        <w:ind w:firstLine="480"/>
        <w:rPr>
          <w:rFonts w:cs="Times New Roman"/>
        </w:rPr>
      </w:pPr>
      <w:r>
        <w:rPr>
          <w:rFonts w:cs="Times New Roman"/>
        </w:rPr>
        <w:t>（3）监测时间与频次</w:t>
      </w:r>
    </w:p>
    <w:p>
      <w:pPr>
        <w:ind w:firstLine="480"/>
        <w:rPr>
          <w:rFonts w:cs="Times New Roman"/>
        </w:rPr>
      </w:pPr>
      <w:r>
        <w:rPr>
          <w:rFonts w:cs="Times New Roman"/>
        </w:rPr>
        <w:t>监测时段分为施工期和运行期，具体时段为6～8月；工程施工期监测1次；工程运行初期的5年内监测1次，运行中、后期视情况确定监测周期或停止监测。监测点位，监测项目、监测频次见表7.2-6。</w:t>
      </w:r>
    </w:p>
    <w:p>
      <w:pPr>
        <w:pStyle w:val="137"/>
        <w:spacing w:before="62"/>
      </w:pPr>
      <w:r>
        <w:t>表7.2-6           施工期声环境监测计划及技术要求一览表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726"/>
        <w:gridCol w:w="4651"/>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2" w:type="pct"/>
            <w:vAlign w:val="center"/>
          </w:tcPr>
          <w:p>
            <w:pPr>
              <w:pStyle w:val="136"/>
            </w:pPr>
            <w:r>
              <w:t>监测点位</w:t>
            </w:r>
          </w:p>
        </w:tc>
        <w:tc>
          <w:tcPr>
            <w:tcW w:w="403" w:type="pct"/>
            <w:vAlign w:val="center"/>
          </w:tcPr>
          <w:p>
            <w:pPr>
              <w:pStyle w:val="136"/>
            </w:pPr>
            <w:r>
              <w:t>监测点数</w:t>
            </w:r>
          </w:p>
        </w:tc>
        <w:tc>
          <w:tcPr>
            <w:tcW w:w="2583" w:type="pct"/>
            <w:vAlign w:val="center"/>
          </w:tcPr>
          <w:p>
            <w:pPr>
              <w:pStyle w:val="136"/>
            </w:pPr>
            <w:r>
              <w:t>监测项目</w:t>
            </w:r>
          </w:p>
        </w:tc>
        <w:tc>
          <w:tcPr>
            <w:tcW w:w="1532" w:type="pct"/>
            <w:vAlign w:val="center"/>
          </w:tcPr>
          <w:p>
            <w:pPr>
              <w:pStyle w:val="136"/>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pPr>
              <w:pStyle w:val="136"/>
            </w:pPr>
            <w:r>
              <w:t>水库淹没区</w:t>
            </w:r>
          </w:p>
        </w:tc>
        <w:tc>
          <w:tcPr>
            <w:tcW w:w="403" w:type="pct"/>
            <w:vAlign w:val="center"/>
          </w:tcPr>
          <w:p>
            <w:pPr>
              <w:pStyle w:val="136"/>
            </w:pPr>
            <w:r>
              <w:t>3</w:t>
            </w:r>
          </w:p>
        </w:tc>
        <w:tc>
          <w:tcPr>
            <w:tcW w:w="2583" w:type="pct"/>
            <w:vMerge w:val="restart"/>
            <w:vAlign w:val="center"/>
          </w:tcPr>
          <w:p>
            <w:pPr>
              <w:pStyle w:val="136"/>
            </w:pPr>
            <w:r>
              <w:t>pH、土壤含盐量（SSC）、镉、汞、砷、铅、铬、铜、镍、锌、阳离子交换量、氧化还原电位、饱和导水率、土壤容重、孔隙度等</w:t>
            </w:r>
          </w:p>
        </w:tc>
        <w:tc>
          <w:tcPr>
            <w:tcW w:w="1532" w:type="pct"/>
            <w:vMerge w:val="restart"/>
            <w:vAlign w:val="center"/>
          </w:tcPr>
          <w:p>
            <w:pPr>
              <w:pStyle w:val="136"/>
            </w:pPr>
            <w:r>
              <w:t>工程施工期监测1次（6~8月份）；工程运行初期的5年内监测1次。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pPr>
              <w:pStyle w:val="136"/>
            </w:pPr>
            <w:r>
              <w:t>库区周边</w:t>
            </w:r>
          </w:p>
        </w:tc>
        <w:tc>
          <w:tcPr>
            <w:tcW w:w="403" w:type="pct"/>
            <w:vAlign w:val="center"/>
          </w:tcPr>
          <w:p>
            <w:pPr>
              <w:pStyle w:val="136"/>
            </w:pPr>
            <w:r>
              <w:t>4</w:t>
            </w:r>
          </w:p>
        </w:tc>
        <w:tc>
          <w:tcPr>
            <w:tcW w:w="2583" w:type="pct"/>
            <w:vMerge w:val="continue"/>
            <w:vAlign w:val="center"/>
          </w:tcPr>
          <w:p>
            <w:pPr>
              <w:pStyle w:val="136"/>
            </w:pPr>
          </w:p>
        </w:tc>
        <w:tc>
          <w:tcPr>
            <w:tcW w:w="1532" w:type="pct"/>
            <w:vMerge w:val="continue"/>
            <w:vAlign w:val="center"/>
          </w:tcPr>
          <w:p>
            <w:pPr>
              <w:pStyle w:val="136"/>
            </w:pPr>
          </w:p>
        </w:tc>
      </w:tr>
    </w:tbl>
    <w:p>
      <w:pPr>
        <w:ind w:firstLine="480"/>
        <w:rPr>
          <w:rFonts w:cs="Times New Roman"/>
        </w:rPr>
      </w:pPr>
    </w:p>
    <w:p>
      <w:pPr>
        <w:pStyle w:val="3"/>
        <w:rPr>
          <w:rFonts w:cs="Times New Roman"/>
        </w:rPr>
      </w:pPr>
      <w:bookmarkStart w:id="143" w:name="_Toc181381635"/>
      <w:r>
        <w:rPr>
          <w:rFonts w:cs="Times New Roman"/>
        </w:rPr>
        <w:t>7.3 环境管理</w:t>
      </w:r>
      <w:bookmarkEnd w:id="143"/>
    </w:p>
    <w:p>
      <w:pPr>
        <w:pStyle w:val="4"/>
        <w:rPr>
          <w:rFonts w:cs="Times New Roman"/>
        </w:rPr>
      </w:pPr>
      <w:r>
        <w:rPr>
          <w:rFonts w:cs="Times New Roman"/>
        </w:rPr>
        <w:t>7.3.1 环境管理目的和意义</w:t>
      </w:r>
    </w:p>
    <w:p>
      <w:pPr>
        <w:ind w:firstLine="480"/>
        <w:rPr>
          <w:rFonts w:cs="Times New Roman"/>
        </w:rPr>
      </w:pPr>
      <w:r>
        <w:rPr>
          <w:rFonts w:cs="Times New Roman"/>
        </w:rPr>
        <w:t>环境管理是工程管理的一部分，是建设项目环境保护工作有效实施的重要环节。建设项目环境管理的目的在于保证工程各项环境保护措施的顺利实施，使工程兴建对环境的不利影响得以减免，保证工程区环保工作的顺利进行，维护景观生态稳定性，促进工程地区社会、经济、生态的协调良性发展。</w:t>
      </w:r>
    </w:p>
    <w:p>
      <w:pPr>
        <w:pStyle w:val="4"/>
        <w:rPr>
          <w:rFonts w:cs="Times New Roman"/>
        </w:rPr>
      </w:pPr>
      <w:r>
        <w:rPr>
          <w:rFonts w:cs="Times New Roman"/>
        </w:rPr>
        <w:t>7.3.2 环境管理体系</w:t>
      </w:r>
    </w:p>
    <w:p>
      <w:pPr>
        <w:ind w:firstLine="480"/>
        <w:rPr>
          <w:rFonts w:cs="Times New Roman"/>
        </w:rPr>
      </w:pPr>
      <w:r>
        <w:rPr>
          <w:rFonts w:cs="Times New Roman"/>
        </w:rPr>
        <w:t>本工程环境管理体系由建设单位环境管理办公室、环境监理机构、承包商环境管理办公室组成，并由政府职能部门参与管理。为了使工程环境保护措施得以切实有效的实施，达到工程建设与环境保护协调发展，工程环境管理除实行环境管理机构统一管理、各承包商、环保项目实施部门分级管理和政府</w:t>
      </w:r>
      <w:r>
        <w:rPr>
          <w:rFonts w:hint="eastAsia" w:cs="Times New Roman"/>
          <w:lang w:eastAsia="zh-CN"/>
        </w:rPr>
        <w:t>生态环境部</w:t>
      </w:r>
      <w:r>
        <w:rPr>
          <w:rFonts w:cs="Times New Roman"/>
        </w:rPr>
        <w:t>门宏观监督外，必须建立工程建设环境监理制度，形成完整的环境管理体系，以确保工程建设环境保护规划总体目标的实现。</w:t>
      </w:r>
    </w:p>
    <w:p>
      <w:pPr>
        <w:pStyle w:val="4"/>
        <w:rPr>
          <w:rFonts w:cs="Times New Roman"/>
        </w:rPr>
      </w:pPr>
      <w:r>
        <w:rPr>
          <w:rFonts w:cs="Times New Roman"/>
        </w:rPr>
        <w:t>7.3.3 环境管理内容</w:t>
      </w:r>
    </w:p>
    <w:p>
      <w:pPr>
        <w:ind w:firstLine="480"/>
        <w:rPr>
          <w:rFonts w:cs="Times New Roman"/>
        </w:rPr>
      </w:pPr>
      <w:r>
        <w:rPr>
          <w:rFonts w:cs="Times New Roman"/>
        </w:rPr>
        <w:t>为了实现本工程经济、社会、生态效益的协调发展，落实各项目环保措施，结合工程特点及环境现状，筹建期、施工期和运行期的环境管理主要内容分别是：</w:t>
      </w:r>
    </w:p>
    <w:p>
      <w:pPr>
        <w:pStyle w:val="62"/>
        <w:rPr>
          <w:rFonts w:cs="Times New Roman"/>
        </w:rPr>
      </w:pPr>
      <w:r>
        <w:rPr>
          <w:rFonts w:cs="Times New Roman"/>
        </w:rPr>
        <w:t>7.3.3.1 筹建期</w:t>
      </w:r>
    </w:p>
    <w:p>
      <w:pPr>
        <w:ind w:firstLine="480"/>
        <w:rPr>
          <w:rFonts w:cs="Times New Roman"/>
        </w:rPr>
      </w:pPr>
      <w:r>
        <w:rPr>
          <w:rFonts w:cs="Times New Roman"/>
        </w:rPr>
        <w:t>（1）审核环境影响评价成果，并确保工程环境影响报告书中有关环保措施纳入工程设计文件。</w:t>
      </w:r>
    </w:p>
    <w:p>
      <w:pPr>
        <w:ind w:firstLine="480"/>
        <w:rPr>
          <w:rFonts w:cs="Times New Roman"/>
        </w:rPr>
      </w:pPr>
      <w:r>
        <w:rPr>
          <w:rFonts w:cs="Times New Roman"/>
        </w:rPr>
        <w:t>（2）确保环境保护条款列入招标文件及合同文件。</w:t>
      </w:r>
    </w:p>
    <w:p>
      <w:pPr>
        <w:ind w:firstLine="480"/>
        <w:rPr>
          <w:rFonts w:cs="Times New Roman"/>
        </w:rPr>
      </w:pPr>
      <w:r>
        <w:rPr>
          <w:rFonts w:cs="Times New Roman"/>
        </w:rPr>
        <w:t>（3）筹建环境管理机构，并对环境管理人员进行培训。</w:t>
      </w:r>
    </w:p>
    <w:p>
      <w:pPr>
        <w:ind w:firstLine="480"/>
        <w:rPr>
          <w:rFonts w:cs="Times New Roman"/>
        </w:rPr>
      </w:pPr>
      <w:r>
        <w:rPr>
          <w:rFonts w:cs="Times New Roman"/>
        </w:rPr>
        <w:t>（4）根据工程特点、区域环境特点、环评及批复要求，制定工程建设期环境监管方案，尽可能避免和降低工程建设过程中对当地水环境产生污染、造成生态破坏等不利影响和环境风险；制定完善的工程环境保护规章制度与管理方法，编制工程影响区环境保护实施规划。</w:t>
      </w:r>
    </w:p>
    <w:p>
      <w:pPr>
        <w:pStyle w:val="62"/>
        <w:rPr>
          <w:rFonts w:cs="Times New Roman"/>
        </w:rPr>
      </w:pPr>
      <w:r>
        <w:rPr>
          <w:rFonts w:cs="Times New Roman"/>
        </w:rPr>
        <w:t>7.3.3.2 施工期</w:t>
      </w:r>
    </w:p>
    <w:p>
      <w:pPr>
        <w:ind w:firstLine="480"/>
        <w:rPr>
          <w:rFonts w:cs="Times New Roman"/>
        </w:rPr>
      </w:pPr>
      <w:r>
        <w:rPr>
          <w:rFonts w:cs="Times New Roman"/>
        </w:rPr>
        <w:t>（1）贯彻执行国家有关环境保护方针、政策及法规条例。</w:t>
      </w:r>
    </w:p>
    <w:p>
      <w:pPr>
        <w:ind w:firstLine="480"/>
        <w:rPr>
          <w:rFonts w:cs="Times New Roman"/>
        </w:rPr>
      </w:pPr>
      <w:r>
        <w:rPr>
          <w:rFonts w:cs="Times New Roman"/>
        </w:rPr>
        <w:t>（2）制定年度工程建设环境保护工作计划，整编相关资料，建立环境信息系统，编制年度环境质量报告，并呈报上级主管部门。</w:t>
      </w:r>
    </w:p>
    <w:p>
      <w:pPr>
        <w:ind w:firstLine="480"/>
        <w:rPr>
          <w:rFonts w:cs="Times New Roman"/>
        </w:rPr>
      </w:pPr>
      <w:r>
        <w:rPr>
          <w:rFonts w:cs="Times New Roman"/>
        </w:rPr>
        <w:t>（3）加强工程环境监测管理，审定监测计划，委托具有生态影响类建设项目调查和监测工作经验，具备分析和解读监测成果技术能力的单位实施环境监测计划。统筹施工期环境监测工作，避免与水文、水土保持监测等工作重复开展。</w:t>
      </w:r>
    </w:p>
    <w:p>
      <w:pPr>
        <w:ind w:firstLine="480"/>
        <w:rPr>
          <w:rFonts w:cs="Times New Roman"/>
        </w:rPr>
      </w:pPr>
      <w:r>
        <w:rPr>
          <w:rFonts w:cs="Times New Roman"/>
        </w:rPr>
        <w:t>（4）加强工程环境监理，委托具有相应技术能力的机构开展施工期专项环境监理工作。</w:t>
      </w:r>
    </w:p>
    <w:p>
      <w:pPr>
        <w:ind w:firstLine="480"/>
        <w:rPr>
          <w:rFonts w:cs="Times New Roman"/>
        </w:rPr>
      </w:pPr>
      <w:r>
        <w:rPr>
          <w:rFonts w:cs="Times New Roman"/>
        </w:rPr>
        <w:t>（5）组织实施工程环境保护规划，并监督、检查环境保护措施的执行情况和环保经费的使用情况，保证各项环保措施能按环保“三同时”的原则执行。</w:t>
      </w:r>
    </w:p>
    <w:p>
      <w:pPr>
        <w:ind w:firstLine="480"/>
        <w:rPr>
          <w:rFonts w:cs="Times New Roman"/>
        </w:rPr>
      </w:pPr>
      <w:r>
        <w:rPr>
          <w:rFonts w:cs="Times New Roman"/>
        </w:rPr>
        <w:t>（6）协调处理工程引起的环境污染事故和环境纠纷。</w:t>
      </w:r>
    </w:p>
    <w:p>
      <w:pPr>
        <w:ind w:firstLine="480"/>
        <w:rPr>
          <w:rFonts w:cs="Times New Roman"/>
        </w:rPr>
      </w:pPr>
      <w:r>
        <w:rPr>
          <w:rFonts w:cs="Times New Roman"/>
        </w:rPr>
        <w:t>（7）加强环境保护的宣传教育和技术培训，提高施工人员环境保护意识和参与意识，</w:t>
      </w:r>
      <w:r>
        <w:rPr>
          <w:rFonts w:hint="eastAsia" w:cs="Times New Roman"/>
          <w:lang w:val="en-US" w:eastAsia="zh-CN"/>
        </w:rPr>
        <w:t>提高</w:t>
      </w:r>
      <w:r>
        <w:rPr>
          <w:rFonts w:cs="Times New Roman"/>
        </w:rPr>
        <w:t>工程环境管理人员的技术水平。</w:t>
      </w:r>
    </w:p>
    <w:p>
      <w:pPr>
        <w:pStyle w:val="62"/>
        <w:rPr>
          <w:rFonts w:cs="Times New Roman"/>
        </w:rPr>
      </w:pPr>
      <w:r>
        <w:rPr>
          <w:rFonts w:cs="Times New Roman"/>
        </w:rPr>
        <w:t>7.3.3.3 运行期</w:t>
      </w:r>
    </w:p>
    <w:p>
      <w:pPr>
        <w:ind w:firstLine="480"/>
        <w:rPr>
          <w:rFonts w:cs="Times New Roman"/>
        </w:rPr>
      </w:pPr>
      <w:r>
        <w:rPr>
          <w:rFonts w:cs="Times New Roman"/>
        </w:rPr>
        <w:t>运行期环境管理内容主要是通过对各项环境因子的监测，掌握其变化情况及影响范围，及时发现潜在的环境问题，提出治理对策措施并予以实施。</w:t>
      </w:r>
    </w:p>
    <w:p>
      <w:pPr>
        <w:ind w:firstLine="480"/>
        <w:rPr>
          <w:rFonts w:cs="Times New Roman"/>
        </w:rPr>
      </w:pPr>
    </w:p>
    <w:p>
      <w:pPr>
        <w:pStyle w:val="3"/>
        <w:rPr>
          <w:rFonts w:cs="Times New Roman"/>
        </w:rPr>
      </w:pPr>
      <w:bookmarkStart w:id="144" w:name="_Toc181381636"/>
      <w:r>
        <w:rPr>
          <w:rFonts w:cs="Times New Roman"/>
        </w:rPr>
        <w:t>7.4 环保设施竣工验收</w:t>
      </w:r>
      <w:bookmarkEnd w:id="144"/>
    </w:p>
    <w:p>
      <w:pPr>
        <w:ind w:firstLine="480"/>
        <w:rPr>
          <w:rFonts w:cs="Times New Roman"/>
        </w:rPr>
      </w:pPr>
      <w:r>
        <w:rPr>
          <w:rFonts w:cs="Times New Roman"/>
        </w:rPr>
        <w:t>按照《建设项目环境保护管理条例》、《建设项目竣工环境保护验收暂行办法》等的要求，对与建设项目有关的各项环境保护设施，包括为防治环境污染和生态破坏以及开展环境监测所需的装置、设备和工程设施等，环境影响报告书和有关项目设计文件规定应采取的其它各项环境保护措施进行验收。</w:t>
      </w:r>
    </w:p>
    <w:p>
      <w:pPr>
        <w:ind w:firstLine="480"/>
        <w:rPr>
          <w:rFonts w:cs="Times New Roman"/>
        </w:rPr>
      </w:pPr>
      <w:r>
        <w:rPr>
          <w:rFonts w:cs="Times New Roman"/>
        </w:rPr>
        <w:t>（1）建设单位负责组织单项工程验收、环境保护工程专项验收、工程建设阶段验收。建设单位按照规定的程序和标准，组织对配套建设的环境保护设施进行验收，编制验收报告，公开相关信息，接受社会监督。</w:t>
      </w:r>
    </w:p>
    <w:p>
      <w:pPr>
        <w:ind w:firstLine="480"/>
        <w:rPr>
          <w:rFonts w:cs="Times New Roman"/>
        </w:rPr>
      </w:pPr>
      <w:r>
        <w:rPr>
          <w:rFonts w:cs="Times New Roman"/>
        </w:rPr>
        <w:t>（2）建设单位应遵循环保“三同时”制度，确保各项环境保护设施与主体工程同时设计，同时施工，同时投入运行。</w:t>
      </w:r>
    </w:p>
    <w:p>
      <w:pPr>
        <w:ind w:firstLine="480"/>
        <w:rPr>
          <w:rFonts w:cs="Times New Roman"/>
        </w:rPr>
      </w:pPr>
      <w:r>
        <w:rPr>
          <w:rFonts w:cs="Times New Roman"/>
        </w:rPr>
        <w:t>（3）工程竣工后，建设单位应当如实查验、监测、记载工程环境保护设施的建设情况，组织编制验收调查报告。</w:t>
      </w:r>
    </w:p>
    <w:p>
      <w:pPr>
        <w:ind w:firstLine="480"/>
        <w:rPr>
          <w:rFonts w:cs="Times New Roman"/>
        </w:rPr>
      </w:pPr>
      <w:r>
        <w:rPr>
          <w:rFonts w:cs="Times New Roman"/>
        </w:rPr>
        <w:t>各阶段环保竣工验收重点内容见表7.4-1。</w:t>
      </w:r>
    </w:p>
    <w:p>
      <w:pPr>
        <w:pStyle w:val="137"/>
        <w:spacing w:before="62"/>
      </w:pPr>
      <w:r>
        <w:t>表7.4-1        工程各阶段环保竣工验收重点内容一览表</w:t>
      </w:r>
    </w:p>
    <w:tbl>
      <w:tblPr>
        <w:tblStyle w:val="41"/>
        <w:tblW w:w="53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762"/>
        <w:gridCol w:w="6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6" w:type="pct"/>
            <w:vAlign w:val="center"/>
          </w:tcPr>
          <w:p>
            <w:pPr>
              <w:pStyle w:val="136"/>
            </w:pPr>
            <w:r>
              <w:t>阶段</w:t>
            </w:r>
          </w:p>
        </w:tc>
        <w:tc>
          <w:tcPr>
            <w:tcW w:w="1440" w:type="pct"/>
            <w:vAlign w:val="center"/>
          </w:tcPr>
          <w:p>
            <w:pPr>
              <w:pStyle w:val="136"/>
            </w:pPr>
            <w:r>
              <w:t>重点位置</w:t>
            </w:r>
          </w:p>
        </w:tc>
        <w:tc>
          <w:tcPr>
            <w:tcW w:w="3184" w:type="pct"/>
            <w:vAlign w:val="center"/>
          </w:tcPr>
          <w:p>
            <w:pPr>
              <w:pStyle w:val="136"/>
            </w:pPr>
            <w:r>
              <w:t>重点内容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restart"/>
            <w:vAlign w:val="center"/>
          </w:tcPr>
          <w:p>
            <w:pPr>
              <w:pStyle w:val="136"/>
            </w:pPr>
            <w:r>
              <w:t>筹建期</w:t>
            </w:r>
          </w:p>
        </w:tc>
        <w:tc>
          <w:tcPr>
            <w:tcW w:w="1440" w:type="pct"/>
            <w:vAlign w:val="center"/>
          </w:tcPr>
          <w:p>
            <w:pPr>
              <w:pStyle w:val="136"/>
            </w:pPr>
            <w:r>
              <w:t>砂石料加工系统废水处理设施</w:t>
            </w:r>
          </w:p>
        </w:tc>
        <w:tc>
          <w:tcPr>
            <w:tcW w:w="3184" w:type="pct"/>
            <w:vMerge w:val="restart"/>
            <w:vAlign w:val="center"/>
          </w:tcPr>
          <w:p>
            <w:pPr>
              <w:pStyle w:val="136"/>
              <w:jc w:val="both"/>
            </w:pPr>
            <w:r>
              <w:t>环境保护措施设计的废水处理回用设施是否建成，能否正常运行；</w:t>
            </w:r>
          </w:p>
          <w:p>
            <w:pPr>
              <w:pStyle w:val="136"/>
              <w:jc w:val="both"/>
            </w:pPr>
            <w:r>
              <w:t>是否采用低噪声设备和其它降噪设施；是否采用低尘工艺和洒水措施；</w:t>
            </w:r>
          </w:p>
          <w:p>
            <w:pPr>
              <w:pStyle w:val="136"/>
              <w:jc w:val="both"/>
            </w:pPr>
            <w:r>
              <w:t>是否采取水土保持措施。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混凝土拌和系统废水处理设施</w:t>
            </w:r>
          </w:p>
        </w:tc>
        <w:tc>
          <w:tcPr>
            <w:tcW w:w="3184" w:type="pct"/>
            <w:vMerge w:val="continue"/>
            <w:vAlign w:val="center"/>
          </w:tcPr>
          <w:p>
            <w:pPr>
              <w:pStyle w:val="136"/>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生活生产营地</w:t>
            </w:r>
          </w:p>
        </w:tc>
        <w:tc>
          <w:tcPr>
            <w:tcW w:w="3184" w:type="pct"/>
            <w:vAlign w:val="center"/>
          </w:tcPr>
          <w:p>
            <w:pPr>
              <w:pStyle w:val="136"/>
              <w:jc w:val="both"/>
            </w:pPr>
            <w:r>
              <w:t>生活污水处理设施是否同时建成，能否正常运行；</w:t>
            </w:r>
          </w:p>
          <w:p>
            <w:pPr>
              <w:pStyle w:val="136"/>
              <w:jc w:val="both"/>
            </w:pPr>
            <w:r>
              <w:t>是否配备生活垃圾收集措施；是否集中供水、饮用水消毒、配发药物。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料场</w:t>
            </w:r>
          </w:p>
        </w:tc>
        <w:tc>
          <w:tcPr>
            <w:tcW w:w="3184" w:type="pct"/>
            <w:vAlign w:val="center"/>
          </w:tcPr>
          <w:p>
            <w:pPr>
              <w:pStyle w:val="136"/>
              <w:jc w:val="both"/>
            </w:pPr>
            <w:r>
              <w:t>是否洒水降尘。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渣场</w:t>
            </w:r>
          </w:p>
        </w:tc>
        <w:tc>
          <w:tcPr>
            <w:tcW w:w="3184" w:type="pct"/>
            <w:vAlign w:val="center"/>
          </w:tcPr>
          <w:p>
            <w:pPr>
              <w:pStyle w:val="136"/>
              <w:jc w:val="both"/>
            </w:pPr>
            <w:r>
              <w:t>是否洒水降尘。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场内交通</w:t>
            </w:r>
          </w:p>
        </w:tc>
        <w:tc>
          <w:tcPr>
            <w:tcW w:w="3184" w:type="pct"/>
            <w:vAlign w:val="center"/>
          </w:tcPr>
          <w:p>
            <w:pPr>
              <w:pStyle w:val="136"/>
              <w:jc w:val="both"/>
            </w:pPr>
            <w:r>
              <w:t>限速禁鸣标志是否建成；是否洒水降尘；</w:t>
            </w:r>
          </w:p>
          <w:p>
            <w:pPr>
              <w:pStyle w:val="136"/>
              <w:jc w:val="both"/>
            </w:pPr>
            <w:r>
              <w:t>车辆是否维护保养、严禁超载、强制更新报废制。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restart"/>
            <w:vAlign w:val="center"/>
          </w:tcPr>
          <w:p>
            <w:pPr>
              <w:pStyle w:val="136"/>
            </w:pPr>
            <w:r>
              <w:t>施工期</w:t>
            </w:r>
          </w:p>
        </w:tc>
        <w:tc>
          <w:tcPr>
            <w:tcW w:w="1440" w:type="pct"/>
            <w:vAlign w:val="center"/>
          </w:tcPr>
          <w:p>
            <w:pPr>
              <w:pStyle w:val="136"/>
            </w:pPr>
            <w:r>
              <w:t>砂石料加工系统废水处理设施</w:t>
            </w:r>
          </w:p>
        </w:tc>
        <w:tc>
          <w:tcPr>
            <w:tcW w:w="3184" w:type="pct"/>
            <w:vMerge w:val="restart"/>
            <w:vAlign w:val="center"/>
          </w:tcPr>
          <w:p>
            <w:pPr>
              <w:pStyle w:val="136"/>
              <w:jc w:val="both"/>
            </w:pPr>
            <w:r>
              <w:t>废水处理回用设施运行状况，进出口处主要污染物浓度，废水处理率；</w:t>
            </w:r>
          </w:p>
          <w:p>
            <w:pPr>
              <w:pStyle w:val="136"/>
              <w:jc w:val="both"/>
            </w:pPr>
            <w:r>
              <w:t>洒水降尘频率、大气环境质量；声环境质量。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混凝土拌和系统废水处理设施</w:t>
            </w:r>
          </w:p>
        </w:tc>
        <w:tc>
          <w:tcPr>
            <w:tcW w:w="3184" w:type="pct"/>
            <w:vMerge w:val="continue"/>
            <w:vAlign w:val="center"/>
          </w:tcPr>
          <w:p>
            <w:pPr>
              <w:pStyle w:val="136"/>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生活生产营地</w:t>
            </w:r>
          </w:p>
        </w:tc>
        <w:tc>
          <w:tcPr>
            <w:tcW w:w="3184" w:type="pct"/>
            <w:vAlign w:val="center"/>
          </w:tcPr>
          <w:p>
            <w:pPr>
              <w:pStyle w:val="136"/>
              <w:jc w:val="both"/>
            </w:pPr>
            <w:r>
              <w:t>生活污水处理设施运行状况，进出口处主要污染物浓度，污水处理率；</w:t>
            </w:r>
          </w:p>
          <w:p>
            <w:pPr>
              <w:pStyle w:val="136"/>
              <w:jc w:val="both"/>
            </w:pPr>
            <w:r>
              <w:t>生活垃圾是否分选、集中运输次数、费用。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代尔昆代郭勒河</w:t>
            </w:r>
          </w:p>
        </w:tc>
        <w:tc>
          <w:tcPr>
            <w:tcW w:w="3184" w:type="pct"/>
            <w:vAlign w:val="center"/>
          </w:tcPr>
          <w:p>
            <w:pPr>
              <w:pStyle w:val="136"/>
              <w:jc w:val="both"/>
            </w:pPr>
            <w: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料场</w:t>
            </w:r>
          </w:p>
        </w:tc>
        <w:tc>
          <w:tcPr>
            <w:tcW w:w="3184" w:type="pct"/>
            <w:vAlign w:val="center"/>
          </w:tcPr>
          <w:p>
            <w:pPr>
              <w:pStyle w:val="136"/>
              <w:jc w:val="both"/>
            </w:pPr>
            <w:r>
              <w:t>洒水降尘频率；</w:t>
            </w:r>
          </w:p>
          <w:p>
            <w:pPr>
              <w:pStyle w:val="136"/>
              <w:jc w:val="both"/>
            </w:pPr>
            <w:r>
              <w:t>大气环境和声环境质量。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渣场</w:t>
            </w:r>
          </w:p>
        </w:tc>
        <w:tc>
          <w:tcPr>
            <w:tcW w:w="3184" w:type="pct"/>
            <w:vAlign w:val="center"/>
          </w:tcPr>
          <w:p>
            <w:pPr>
              <w:pStyle w:val="136"/>
              <w:jc w:val="both"/>
            </w:pPr>
            <w:r>
              <w:t>洒水降尘频率；</w:t>
            </w:r>
          </w:p>
          <w:p>
            <w:pPr>
              <w:pStyle w:val="136"/>
              <w:jc w:val="both"/>
            </w:pPr>
            <w:r>
              <w:t>大气环境和声环境质量。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场内交通</w:t>
            </w:r>
          </w:p>
        </w:tc>
        <w:tc>
          <w:tcPr>
            <w:tcW w:w="3184" w:type="pct"/>
            <w:vAlign w:val="center"/>
          </w:tcPr>
          <w:p>
            <w:pPr>
              <w:pStyle w:val="136"/>
              <w:jc w:val="both"/>
            </w:pPr>
            <w:r>
              <w:t>限速禁鸣措施的效果，声环境质量；</w:t>
            </w:r>
          </w:p>
          <w:p>
            <w:pPr>
              <w:pStyle w:val="136"/>
              <w:jc w:val="both"/>
            </w:pPr>
            <w:r>
              <w:t>洒水降尘频率，大气环境质量；道路维护状况。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其他</w:t>
            </w:r>
          </w:p>
        </w:tc>
        <w:tc>
          <w:tcPr>
            <w:tcW w:w="3184" w:type="pct"/>
            <w:vAlign w:val="center"/>
          </w:tcPr>
          <w:p>
            <w:pPr>
              <w:pStyle w:val="136"/>
              <w:jc w:val="both"/>
            </w:pPr>
            <w:r>
              <w:t>是否设立环境保护管理机构，相关管理、监理、监测人员、制度、报告是否完备。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restart"/>
            <w:vAlign w:val="center"/>
          </w:tcPr>
          <w:p>
            <w:pPr>
              <w:pStyle w:val="136"/>
            </w:pPr>
            <w:r>
              <w:t>竣工</w:t>
            </w:r>
          </w:p>
        </w:tc>
        <w:tc>
          <w:tcPr>
            <w:tcW w:w="1440" w:type="pct"/>
            <w:vAlign w:val="center"/>
          </w:tcPr>
          <w:p>
            <w:pPr>
              <w:pStyle w:val="136"/>
            </w:pPr>
            <w:r>
              <w:t>大坝区</w:t>
            </w:r>
          </w:p>
        </w:tc>
        <w:tc>
          <w:tcPr>
            <w:tcW w:w="3184" w:type="pct"/>
            <w:vAlign w:val="center"/>
          </w:tcPr>
          <w:p>
            <w:pPr>
              <w:pStyle w:val="136"/>
              <w:jc w:val="both"/>
            </w:pPr>
            <w:r>
              <w:t>生态流量监测系统建设及运用状况。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代尔昆代郭勒河</w:t>
            </w:r>
          </w:p>
        </w:tc>
        <w:tc>
          <w:tcPr>
            <w:tcW w:w="3184" w:type="pct"/>
            <w:vAlign w:val="center"/>
          </w:tcPr>
          <w:p>
            <w:pPr>
              <w:pStyle w:val="136"/>
              <w:jc w:val="both"/>
            </w:pPr>
            <w:r>
              <w:t>水质、水温状况。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料场</w:t>
            </w:r>
          </w:p>
        </w:tc>
        <w:tc>
          <w:tcPr>
            <w:tcW w:w="3184" w:type="pct"/>
            <w:vAlign w:val="center"/>
          </w:tcPr>
          <w:p>
            <w:pPr>
              <w:pStyle w:val="136"/>
              <w:jc w:val="both"/>
            </w:pPr>
            <w:r>
              <w:t>植被恢复状况。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渣场</w:t>
            </w:r>
          </w:p>
        </w:tc>
        <w:tc>
          <w:tcPr>
            <w:tcW w:w="3184" w:type="pct"/>
            <w:vAlign w:val="center"/>
          </w:tcPr>
          <w:p>
            <w:pPr>
              <w:pStyle w:val="136"/>
              <w:jc w:val="both"/>
            </w:pPr>
            <w:r>
              <w:t>土地整治和植被恢复状况。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场内交通</w:t>
            </w:r>
          </w:p>
        </w:tc>
        <w:tc>
          <w:tcPr>
            <w:tcW w:w="3184" w:type="pct"/>
            <w:vAlign w:val="center"/>
          </w:tcPr>
          <w:p>
            <w:pPr>
              <w:pStyle w:val="136"/>
              <w:jc w:val="both"/>
            </w:pPr>
            <w:r>
              <w:t>声环境质量、大气环境质量。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pPr>
              <w:pStyle w:val="136"/>
            </w:pPr>
          </w:p>
        </w:tc>
        <w:tc>
          <w:tcPr>
            <w:tcW w:w="1440" w:type="pct"/>
            <w:vAlign w:val="center"/>
          </w:tcPr>
          <w:p>
            <w:pPr>
              <w:pStyle w:val="136"/>
            </w:pPr>
            <w:r>
              <w:t>其他</w:t>
            </w:r>
          </w:p>
        </w:tc>
        <w:tc>
          <w:tcPr>
            <w:tcW w:w="3184" w:type="pct"/>
            <w:vAlign w:val="center"/>
          </w:tcPr>
          <w:p>
            <w:pPr>
              <w:pStyle w:val="136"/>
              <w:jc w:val="both"/>
            </w:pPr>
            <w:r>
              <w:t>环保监理报告等。</w:t>
            </w:r>
          </w:p>
        </w:tc>
      </w:tr>
    </w:tbl>
    <w:p>
      <w:pPr>
        <w:ind w:firstLine="0" w:firstLineChars="0"/>
        <w:rPr>
          <w:rFonts w:cs="Times New Roman"/>
        </w:rPr>
      </w:pPr>
      <w:r>
        <w:rPr>
          <w:rFonts w:cs="Times New Roman"/>
        </w:rPr>
        <w:br w:type="page"/>
      </w:r>
    </w:p>
    <w:p>
      <w:pPr>
        <w:pStyle w:val="2"/>
        <w:rPr>
          <w:rFonts w:cs="Times New Roman"/>
        </w:rPr>
      </w:pPr>
      <w:bookmarkStart w:id="145" w:name="_Toc181381637"/>
      <w:r>
        <w:rPr>
          <w:rFonts w:cs="Times New Roman"/>
        </w:rPr>
        <w:t>8. 环境保护投资与环境影响经济损益分析</w:t>
      </w:r>
      <w:bookmarkEnd w:id="145"/>
    </w:p>
    <w:p>
      <w:pPr>
        <w:pStyle w:val="3"/>
        <w:rPr>
          <w:rFonts w:cs="Times New Roman"/>
        </w:rPr>
      </w:pPr>
      <w:bookmarkStart w:id="146" w:name="_Toc181381638"/>
      <w:r>
        <w:rPr>
          <w:rFonts w:cs="Times New Roman"/>
        </w:rPr>
        <w:t>8.1 环境保护投资</w:t>
      </w:r>
      <w:bookmarkEnd w:id="146"/>
    </w:p>
    <w:p>
      <w:pPr>
        <w:pStyle w:val="4"/>
        <w:rPr>
          <w:rFonts w:cs="Times New Roman"/>
        </w:rPr>
      </w:pPr>
      <w:r>
        <w:rPr>
          <w:rFonts w:cs="Times New Roman"/>
        </w:rPr>
        <w:t>8.1.1 编制原则</w:t>
      </w:r>
    </w:p>
    <w:p>
      <w:pPr>
        <w:ind w:firstLine="480"/>
        <w:rPr>
          <w:rFonts w:cs="Times New Roman"/>
        </w:rPr>
      </w:pPr>
      <w:r>
        <w:rPr>
          <w:rFonts w:cs="Times New Roman"/>
        </w:rPr>
        <w:t>（1）环境保护作为工程建设的一项重要内容，其估算依据、</w:t>
      </w:r>
      <w:r>
        <w:rPr>
          <w:rFonts w:hint="eastAsia" w:cs="Times New Roman"/>
          <w:lang w:eastAsia="zh-CN"/>
        </w:rPr>
        <w:t>价格水平与</w:t>
      </w:r>
      <w:r>
        <w:rPr>
          <w:rFonts w:cs="Times New Roman"/>
        </w:rPr>
        <w:t>主体工程一致，为2022年12月份价格；</w:t>
      </w:r>
    </w:p>
    <w:p>
      <w:pPr>
        <w:ind w:firstLine="480"/>
        <w:rPr>
          <w:rFonts w:cs="Times New Roman"/>
        </w:rPr>
      </w:pPr>
      <w:r>
        <w:rPr>
          <w:rFonts w:cs="Times New Roman"/>
        </w:rPr>
        <w:t>（2）建筑工程基础单价，包括人工单价、主要材料价格及建筑工程单价与主体工程一致；</w:t>
      </w:r>
    </w:p>
    <w:p>
      <w:pPr>
        <w:ind w:firstLine="480"/>
        <w:rPr>
          <w:rFonts w:cs="Times New Roman"/>
        </w:rPr>
      </w:pPr>
      <w:r>
        <w:rPr>
          <w:rFonts w:cs="Times New Roman"/>
        </w:rPr>
        <w:t>（3）植物工程估算参照地方市场价格调整计算；</w:t>
      </w:r>
    </w:p>
    <w:p>
      <w:pPr>
        <w:ind w:firstLine="480"/>
        <w:rPr>
          <w:rFonts w:cs="Times New Roman"/>
        </w:rPr>
      </w:pPr>
      <w:r>
        <w:rPr>
          <w:rFonts w:cs="Times New Roman"/>
        </w:rPr>
        <w:t>（4）建设管理费、技术培训费和基本预备费等项目采用投资×费率的方法计算；</w:t>
      </w:r>
    </w:p>
    <w:p>
      <w:pPr>
        <w:ind w:firstLine="480"/>
        <w:rPr>
          <w:rFonts w:cs="Times New Roman"/>
        </w:rPr>
      </w:pPr>
      <w:r>
        <w:rPr>
          <w:rFonts w:cs="Times New Roman"/>
        </w:rPr>
        <w:t>（5）工程环保投资包括建设期及试运行期环保费用，运行期环境管理、环境监测及环境研究等费用列入工程运行成本，不在此计列；</w:t>
      </w:r>
    </w:p>
    <w:p>
      <w:pPr>
        <w:pStyle w:val="4"/>
        <w:rPr>
          <w:rFonts w:cs="Times New Roman"/>
        </w:rPr>
      </w:pPr>
      <w:r>
        <w:rPr>
          <w:rFonts w:cs="Times New Roman"/>
        </w:rPr>
        <w:t>8.1.2 编制依据</w:t>
      </w:r>
    </w:p>
    <w:p>
      <w:pPr>
        <w:ind w:firstLine="480"/>
        <w:rPr>
          <w:rFonts w:cs="Times New Roman"/>
        </w:rPr>
      </w:pPr>
      <w:r>
        <w:rPr>
          <w:rFonts w:cs="Times New Roman"/>
        </w:rPr>
        <w:t>（1）编制办法执行水利部水总（2014）429号文颁发的《水利工程设计概（估）算编制规定》、《水利建筑工程预算定额》、《水利工程施工机械台班费定额》和《水利建筑工程概算定额》；</w:t>
      </w:r>
    </w:p>
    <w:p>
      <w:pPr>
        <w:ind w:firstLine="480"/>
        <w:rPr>
          <w:rFonts w:cs="Times New Roman"/>
        </w:rPr>
      </w:pPr>
      <w:r>
        <w:rPr>
          <w:rFonts w:cs="Times New Roman"/>
        </w:rPr>
        <w:t>（2）水利部办公厅颁布的办水总[2016]132号关于《水利工程营业税改增值税计价依据调整办法》；</w:t>
      </w:r>
    </w:p>
    <w:p>
      <w:pPr>
        <w:ind w:firstLine="480"/>
        <w:rPr>
          <w:rFonts w:cs="Times New Roman"/>
        </w:rPr>
      </w:pPr>
      <w:r>
        <w:rPr>
          <w:rFonts w:cs="Times New Roman"/>
        </w:rPr>
        <w:t>（3）建筑工程执行水利部水总（2002）116号文，采用《水利建筑工程概算定额》，并</w:t>
      </w:r>
      <w:r>
        <w:rPr>
          <w:rFonts w:hint="eastAsia" w:cs="Times New Roman"/>
          <w:lang w:eastAsia="zh-CN"/>
        </w:rPr>
        <w:t>将</w:t>
      </w:r>
      <w:r>
        <w:rPr>
          <w:rFonts w:cs="Times New Roman"/>
        </w:rPr>
        <w:t>工程单价扩大10%，其中钢筋制安扩大5%；</w:t>
      </w:r>
    </w:p>
    <w:p>
      <w:pPr>
        <w:ind w:firstLine="480"/>
        <w:rPr>
          <w:rFonts w:cs="Times New Roman"/>
        </w:rPr>
      </w:pPr>
      <w:r>
        <w:rPr>
          <w:rFonts w:cs="Times New Roman"/>
        </w:rPr>
        <w:t>（4）设备安装工程执行水利部水建管（1999）523号文，采用《水利水电设备安装工程概算定额》，并</w:t>
      </w:r>
      <w:r>
        <w:rPr>
          <w:rFonts w:hint="eastAsia" w:cs="Times New Roman"/>
          <w:lang w:eastAsia="zh-CN"/>
        </w:rPr>
        <w:t>将</w:t>
      </w:r>
      <w:r>
        <w:rPr>
          <w:rFonts w:cs="Times New Roman"/>
        </w:rPr>
        <w:t>工程单价扩大10%；</w:t>
      </w:r>
    </w:p>
    <w:p>
      <w:pPr>
        <w:ind w:firstLine="480"/>
        <w:rPr>
          <w:rFonts w:cs="Times New Roman"/>
        </w:rPr>
      </w:pPr>
      <w:r>
        <w:rPr>
          <w:rFonts w:cs="Times New Roman"/>
        </w:rPr>
        <w:t>（5）施工机械台时定额执行水利部水总（2002）116号文，采用《水利工程施工机械台时费定额》；</w:t>
      </w:r>
    </w:p>
    <w:p>
      <w:pPr>
        <w:ind w:firstLine="480"/>
        <w:rPr>
          <w:rFonts w:cs="Times New Roman"/>
        </w:rPr>
      </w:pPr>
      <w:r>
        <w:rPr>
          <w:rFonts w:cs="Times New Roman"/>
        </w:rPr>
        <w:t>（6）水利部水总（2005）389号文颁发的《水利工程概预算补充定额》；</w:t>
      </w:r>
    </w:p>
    <w:p>
      <w:pPr>
        <w:ind w:firstLine="480"/>
        <w:rPr>
          <w:rFonts w:cs="Times New Roman"/>
        </w:rPr>
      </w:pPr>
      <w:r>
        <w:rPr>
          <w:rFonts w:cs="Times New Roman"/>
        </w:rPr>
        <w:t>（7）《水利水电工程环境保护概估算编制规程》（SL359－2006）；</w:t>
      </w:r>
    </w:p>
    <w:p>
      <w:pPr>
        <w:ind w:firstLine="480"/>
        <w:rPr>
          <w:rFonts w:cs="Times New Roman"/>
        </w:rPr>
      </w:pPr>
      <w:r>
        <w:rPr>
          <w:rFonts w:cs="Times New Roman"/>
        </w:rPr>
        <w:t>（8）水利水电工程环境保护设计概（估）算编制规定；</w:t>
      </w:r>
    </w:p>
    <w:p>
      <w:pPr>
        <w:ind w:firstLine="480"/>
        <w:rPr>
          <w:rFonts w:cs="Times New Roman"/>
        </w:rPr>
      </w:pPr>
      <w:r>
        <w:rPr>
          <w:rFonts w:cs="Times New Roman"/>
        </w:rPr>
        <w:t>（9）新疆维吾尔自治区发展和改革委员会《关于印发&lt;新疆维吾尔自治区环境监测和技术有偿服务收费管理暂行办法&gt;的通知》（新发改收费[2007]310号）。</w:t>
      </w:r>
    </w:p>
    <w:p>
      <w:pPr>
        <w:pStyle w:val="4"/>
        <w:rPr>
          <w:rFonts w:cs="Times New Roman"/>
        </w:rPr>
      </w:pPr>
      <w:r>
        <w:rPr>
          <w:rFonts w:cs="Times New Roman"/>
        </w:rPr>
        <w:t>8.1.3 费用构成</w:t>
      </w:r>
    </w:p>
    <w:p>
      <w:pPr>
        <w:ind w:firstLine="480"/>
        <w:rPr>
          <w:rFonts w:cs="Times New Roman"/>
        </w:rPr>
      </w:pPr>
      <w:r>
        <w:rPr>
          <w:rFonts w:cs="Times New Roman"/>
        </w:rPr>
        <w:t>根据相关规范要求和本工程的实际情况，本工程环境保护投资概算由环境保护措施费、环境监测费用、仪器设备安装费、环境保护临时措施费、独立费用和基本预备费构成，根据相关规范</w:t>
      </w:r>
      <w:r>
        <w:rPr>
          <w:rFonts w:hint="eastAsia" w:cs="Times New Roman"/>
          <w:lang w:eastAsia="zh-CN"/>
        </w:rPr>
        <w:t>要求和本工程</w:t>
      </w:r>
      <w:r>
        <w:rPr>
          <w:rFonts w:cs="Times New Roman"/>
        </w:rPr>
        <w:t>实际情况，本投资不包括运行期各项费用。</w:t>
      </w:r>
    </w:p>
    <w:p>
      <w:pPr>
        <w:pStyle w:val="4"/>
        <w:rPr>
          <w:rFonts w:cs="Times New Roman"/>
        </w:rPr>
      </w:pPr>
      <w:r>
        <w:rPr>
          <w:rFonts w:cs="Times New Roman"/>
        </w:rPr>
        <w:t>8.1.4 基础单价</w:t>
      </w:r>
    </w:p>
    <w:p>
      <w:pPr>
        <w:pStyle w:val="62"/>
        <w:rPr>
          <w:rFonts w:cs="Times New Roman"/>
        </w:rPr>
      </w:pPr>
      <w:r>
        <w:rPr>
          <w:rFonts w:cs="Times New Roman"/>
        </w:rPr>
        <w:t>8.1.4.1 人工预算单价</w:t>
      </w:r>
    </w:p>
    <w:p>
      <w:pPr>
        <w:ind w:firstLine="480"/>
        <w:rPr>
          <w:rFonts w:cs="Times New Roman"/>
        </w:rPr>
      </w:pPr>
      <w:r>
        <w:rPr>
          <w:rFonts w:cs="Times New Roman"/>
        </w:rPr>
        <w:t>该工程地处五类工资区，执行水利部文件水总[2014]429号文：《水利工程设计概（估）算编制规定》的通知，人工预算单价与主体工程一致，其中工长13.61元/工时，高级工12.73元/工时，中级工10.96元/工时，初级工8.19元/工时。</w:t>
      </w:r>
    </w:p>
    <w:p>
      <w:pPr>
        <w:pStyle w:val="62"/>
        <w:rPr>
          <w:rFonts w:cs="Times New Roman"/>
        </w:rPr>
      </w:pPr>
      <w:r>
        <w:rPr>
          <w:rFonts w:cs="Times New Roman"/>
        </w:rPr>
        <w:t>8.1.4.2 主要材料单价</w:t>
      </w:r>
    </w:p>
    <w:p>
      <w:pPr>
        <w:ind w:firstLine="480"/>
        <w:rPr>
          <w:rFonts w:cs="Times New Roman"/>
        </w:rPr>
      </w:pPr>
      <w:r>
        <w:rPr>
          <w:rFonts w:cs="Times New Roman"/>
        </w:rPr>
        <w:t>与主体工程相一致。</w:t>
      </w:r>
    </w:p>
    <w:p>
      <w:pPr>
        <w:ind w:firstLine="480"/>
        <w:rPr>
          <w:rFonts w:cs="Times New Roman"/>
        </w:rPr>
      </w:pPr>
      <w:r>
        <w:rPr>
          <w:rFonts w:cs="Times New Roman"/>
        </w:rPr>
        <w:t>主要材料原价采用就近取材的原则分别计算，主要材料价格详见表8.1-1。</w:t>
      </w:r>
    </w:p>
    <w:p>
      <w:pPr>
        <w:pStyle w:val="137"/>
        <w:spacing w:before="62"/>
      </w:pPr>
      <w:r>
        <w:t>表8.1-1                        主要材料价格表</w:t>
      </w:r>
    </w:p>
    <w:tbl>
      <w:tblPr>
        <w:tblStyle w:val="41"/>
        <w:tblW w:w="5246"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3558"/>
        <w:gridCol w:w="1483"/>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pPr>
              <w:pStyle w:val="136"/>
            </w:pPr>
            <w:r>
              <w:t>序号</w:t>
            </w:r>
          </w:p>
        </w:tc>
        <w:tc>
          <w:tcPr>
            <w:tcW w:w="1883" w:type="pct"/>
            <w:vAlign w:val="center"/>
          </w:tcPr>
          <w:p>
            <w:pPr>
              <w:pStyle w:val="136"/>
            </w:pPr>
            <w:r>
              <w:t>材料名称及规格</w:t>
            </w:r>
          </w:p>
        </w:tc>
        <w:tc>
          <w:tcPr>
            <w:tcW w:w="785" w:type="pct"/>
            <w:vAlign w:val="center"/>
          </w:tcPr>
          <w:p>
            <w:pPr>
              <w:pStyle w:val="136"/>
            </w:pPr>
            <w:r>
              <w:t>单位</w:t>
            </w:r>
          </w:p>
        </w:tc>
        <w:tc>
          <w:tcPr>
            <w:tcW w:w="1407" w:type="pct"/>
            <w:vAlign w:val="center"/>
          </w:tcPr>
          <w:p>
            <w:pPr>
              <w:pStyle w:val="136"/>
            </w:pPr>
            <w:r>
              <w:t>材料预算价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pPr>
              <w:pStyle w:val="136"/>
            </w:pPr>
            <w:r>
              <w:t>1</w:t>
            </w:r>
          </w:p>
        </w:tc>
        <w:tc>
          <w:tcPr>
            <w:tcW w:w="1883" w:type="pct"/>
            <w:vAlign w:val="center"/>
          </w:tcPr>
          <w:p>
            <w:pPr>
              <w:pStyle w:val="136"/>
            </w:pPr>
            <w:r>
              <w:t>钢筋</w:t>
            </w:r>
          </w:p>
        </w:tc>
        <w:tc>
          <w:tcPr>
            <w:tcW w:w="785" w:type="pct"/>
            <w:vAlign w:val="center"/>
          </w:tcPr>
          <w:p>
            <w:pPr>
              <w:pStyle w:val="136"/>
            </w:pPr>
            <w:r>
              <w:t>元/t</w:t>
            </w:r>
          </w:p>
        </w:tc>
        <w:tc>
          <w:tcPr>
            <w:tcW w:w="1407" w:type="pct"/>
            <w:vAlign w:val="center"/>
          </w:tcPr>
          <w:p>
            <w:pPr>
              <w:pStyle w:val="136"/>
            </w:pPr>
            <w:r>
              <w:t>4698.26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pPr>
              <w:pStyle w:val="136"/>
            </w:pPr>
            <w:r>
              <w:t>2</w:t>
            </w:r>
          </w:p>
        </w:tc>
        <w:tc>
          <w:tcPr>
            <w:tcW w:w="1883" w:type="pct"/>
            <w:vAlign w:val="center"/>
          </w:tcPr>
          <w:p>
            <w:pPr>
              <w:pStyle w:val="136"/>
            </w:pPr>
            <w:r>
              <w:t>普通硅酸盐水泥</w:t>
            </w:r>
          </w:p>
        </w:tc>
        <w:tc>
          <w:tcPr>
            <w:tcW w:w="785" w:type="pct"/>
            <w:vAlign w:val="center"/>
          </w:tcPr>
          <w:p>
            <w:pPr>
              <w:pStyle w:val="136"/>
            </w:pPr>
            <w:r>
              <w:t>元/m</w:t>
            </w:r>
            <w:r>
              <w:rPr>
                <w:vertAlign w:val="superscript"/>
              </w:rPr>
              <w:t>3</w:t>
            </w:r>
          </w:p>
        </w:tc>
        <w:tc>
          <w:tcPr>
            <w:tcW w:w="1407" w:type="pct"/>
            <w:vAlign w:val="center"/>
          </w:tcPr>
          <w:p>
            <w:pPr>
              <w:pStyle w:val="136"/>
            </w:pPr>
            <w:r>
              <w:t>540.86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pPr>
              <w:pStyle w:val="136"/>
            </w:pPr>
            <w:r>
              <w:t>3</w:t>
            </w:r>
          </w:p>
        </w:tc>
        <w:tc>
          <w:tcPr>
            <w:tcW w:w="1883" w:type="pct"/>
            <w:vAlign w:val="center"/>
          </w:tcPr>
          <w:p>
            <w:pPr>
              <w:pStyle w:val="136"/>
            </w:pPr>
            <w:r>
              <w:t>砂砾石</w:t>
            </w:r>
          </w:p>
        </w:tc>
        <w:tc>
          <w:tcPr>
            <w:tcW w:w="785" w:type="pct"/>
            <w:vAlign w:val="center"/>
          </w:tcPr>
          <w:p>
            <w:pPr>
              <w:pStyle w:val="136"/>
            </w:pPr>
            <w:r>
              <w:t>m</w:t>
            </w:r>
            <w:r>
              <w:rPr>
                <w:vertAlign w:val="superscript"/>
              </w:rPr>
              <w:t>3</w:t>
            </w:r>
          </w:p>
        </w:tc>
        <w:tc>
          <w:tcPr>
            <w:tcW w:w="1407" w:type="pct"/>
            <w:vAlign w:val="center"/>
          </w:tcPr>
          <w:p>
            <w:pPr>
              <w:pStyle w:val="136"/>
            </w:pPr>
            <w:r>
              <w:t>118.73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pPr>
              <w:pStyle w:val="136"/>
            </w:pPr>
            <w:r>
              <w:t>4</w:t>
            </w:r>
          </w:p>
        </w:tc>
        <w:tc>
          <w:tcPr>
            <w:tcW w:w="1883" w:type="pct"/>
            <w:vAlign w:val="center"/>
          </w:tcPr>
          <w:p>
            <w:pPr>
              <w:pStyle w:val="136"/>
            </w:pPr>
            <w:r>
              <w:t>柴油</w:t>
            </w:r>
          </w:p>
        </w:tc>
        <w:tc>
          <w:tcPr>
            <w:tcW w:w="785" w:type="pct"/>
            <w:vAlign w:val="center"/>
          </w:tcPr>
          <w:p>
            <w:pPr>
              <w:pStyle w:val="136"/>
            </w:pPr>
            <w:r>
              <w:t>元/t</w:t>
            </w:r>
          </w:p>
        </w:tc>
        <w:tc>
          <w:tcPr>
            <w:tcW w:w="1407" w:type="pct"/>
            <w:vAlign w:val="center"/>
          </w:tcPr>
          <w:p>
            <w:pPr>
              <w:pStyle w:val="136"/>
            </w:pPr>
            <w:r>
              <w:t>9088.97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pPr>
              <w:pStyle w:val="136"/>
            </w:pPr>
            <w:r>
              <w:t>5</w:t>
            </w:r>
          </w:p>
        </w:tc>
        <w:tc>
          <w:tcPr>
            <w:tcW w:w="1883" w:type="pct"/>
            <w:vAlign w:val="center"/>
          </w:tcPr>
          <w:p>
            <w:pPr>
              <w:pStyle w:val="136"/>
            </w:pPr>
            <w:r>
              <w:t>汽油</w:t>
            </w:r>
          </w:p>
        </w:tc>
        <w:tc>
          <w:tcPr>
            <w:tcW w:w="785" w:type="pct"/>
            <w:vAlign w:val="center"/>
          </w:tcPr>
          <w:p>
            <w:pPr>
              <w:pStyle w:val="136"/>
            </w:pPr>
            <w:r>
              <w:t>元/t</w:t>
            </w:r>
          </w:p>
        </w:tc>
        <w:tc>
          <w:tcPr>
            <w:tcW w:w="1407" w:type="pct"/>
            <w:vAlign w:val="center"/>
          </w:tcPr>
          <w:p>
            <w:pPr>
              <w:pStyle w:val="136"/>
            </w:pPr>
            <w:r>
              <w:t>10528.07</w:t>
            </w:r>
          </w:p>
        </w:tc>
      </w:tr>
    </w:tbl>
    <w:p>
      <w:pPr>
        <w:ind w:firstLine="480"/>
        <w:rPr>
          <w:rFonts w:cs="Times New Roman"/>
        </w:rPr>
      </w:pPr>
    </w:p>
    <w:p>
      <w:pPr>
        <w:pStyle w:val="4"/>
        <w:rPr>
          <w:rFonts w:cs="Times New Roman"/>
        </w:rPr>
      </w:pPr>
      <w:r>
        <w:rPr>
          <w:rFonts w:cs="Times New Roman"/>
        </w:rPr>
        <w:t>8.1.5 工程单价</w:t>
      </w:r>
    </w:p>
    <w:p>
      <w:pPr>
        <w:pStyle w:val="62"/>
        <w:rPr>
          <w:rFonts w:cs="Times New Roman"/>
        </w:rPr>
      </w:pPr>
      <w:r>
        <w:rPr>
          <w:rFonts w:cs="Times New Roman"/>
        </w:rPr>
        <w:t>8.1.5.1 工程措施单价</w:t>
      </w:r>
    </w:p>
    <w:p>
      <w:pPr>
        <w:ind w:firstLine="480"/>
        <w:rPr>
          <w:rFonts w:cs="Times New Roman"/>
        </w:rPr>
      </w:pPr>
      <w:r>
        <w:rPr>
          <w:rFonts w:cs="Times New Roman"/>
        </w:rPr>
        <w:t>工程措施单价由直接费、间接费、企业利润和税金组成。</w:t>
      </w:r>
    </w:p>
    <w:p>
      <w:pPr>
        <w:ind w:firstLine="480"/>
        <w:rPr>
          <w:rFonts w:cs="Times New Roman"/>
        </w:rPr>
      </w:pPr>
      <w:r>
        <w:rPr>
          <w:rFonts w:cs="Times New Roman"/>
        </w:rPr>
        <w:t>（1）直接费：包括基本直接费和其它直接费。</w:t>
      </w:r>
    </w:p>
    <w:p>
      <w:pPr>
        <w:ind w:firstLine="480"/>
        <w:rPr>
          <w:rFonts w:cs="Times New Roman"/>
        </w:rPr>
      </w:pPr>
      <w:r>
        <w:rPr>
          <w:rFonts w:cs="Times New Roman"/>
        </w:rPr>
        <w:t>基本直接费：包括人工费、材料费和施工机械使用费。</w:t>
      </w:r>
    </w:p>
    <w:p>
      <w:pPr>
        <w:ind w:firstLine="480"/>
        <w:rPr>
          <w:rFonts w:cs="Times New Roman"/>
        </w:rPr>
      </w:pPr>
      <w:r>
        <w:rPr>
          <w:rFonts w:cs="Times New Roman"/>
        </w:rPr>
        <w:t>其它直接费：按基本直接费乘以</w:t>
      </w:r>
      <w:r>
        <w:rPr>
          <w:rFonts w:hint="eastAsia" w:cs="Times New Roman"/>
          <w:lang w:eastAsia="zh-CN"/>
        </w:rPr>
        <w:t>其它费率</w:t>
      </w:r>
      <w:r>
        <w:rPr>
          <w:rFonts w:cs="Times New Roman"/>
        </w:rPr>
        <w:t>计算：建筑工程按直接费的10.5%计算；设备安装工程按直接费的11.2%计算。</w:t>
      </w:r>
    </w:p>
    <w:p>
      <w:pPr>
        <w:ind w:firstLine="480"/>
        <w:rPr>
          <w:rFonts w:cs="Times New Roman"/>
        </w:rPr>
      </w:pPr>
      <w:r>
        <w:rPr>
          <w:rFonts w:cs="Times New Roman"/>
        </w:rPr>
        <w:t>（2）间接费：按直接费乘以间接费费率计算，现场经费及间接费的取费标准见表8.1-2。</w:t>
      </w:r>
    </w:p>
    <w:p>
      <w:pPr>
        <w:ind w:firstLine="480"/>
        <w:rPr>
          <w:rFonts w:cs="Times New Roman"/>
        </w:rPr>
      </w:pPr>
      <w:r>
        <w:rPr>
          <w:rFonts w:cs="Times New Roman"/>
        </w:rPr>
        <w:t>（3）企业利润按直接工程费和间接费之和的7%计算。</w:t>
      </w:r>
    </w:p>
    <w:p>
      <w:pPr>
        <w:ind w:firstLine="480"/>
        <w:rPr>
          <w:rFonts w:cs="Times New Roman"/>
        </w:rPr>
      </w:pPr>
      <w:r>
        <w:rPr>
          <w:rFonts w:cs="Times New Roman"/>
        </w:rPr>
        <w:t>（4）税金按直接工程费，间接费及企业利润之和的9%计算。</w:t>
      </w:r>
    </w:p>
    <w:p>
      <w:pPr>
        <w:ind w:firstLine="480"/>
        <w:rPr>
          <w:rFonts w:cs="Times New Roman"/>
        </w:rPr>
      </w:pPr>
    </w:p>
    <w:p>
      <w:pPr>
        <w:pStyle w:val="137"/>
        <w:spacing w:before="62"/>
      </w:pPr>
      <w:r>
        <w:t>8.1-2                 现场经费及间接经费的取费标准</w:t>
      </w:r>
    </w:p>
    <w:tbl>
      <w:tblPr>
        <w:tblStyle w:val="41"/>
        <w:tblW w:w="5084"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2862"/>
        <w:gridCol w:w="1196"/>
        <w:gridCol w:w="1397"/>
        <w:gridCol w:w="1436"/>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Merge w:val="restart"/>
            <w:vAlign w:val="center"/>
          </w:tcPr>
          <w:p>
            <w:pPr>
              <w:pStyle w:val="136"/>
            </w:pPr>
            <w:r>
              <w:t>序号</w:t>
            </w:r>
          </w:p>
        </w:tc>
        <w:tc>
          <w:tcPr>
            <w:tcW w:w="1563" w:type="pct"/>
            <w:vMerge w:val="restart"/>
            <w:vAlign w:val="center"/>
          </w:tcPr>
          <w:p>
            <w:pPr>
              <w:pStyle w:val="136"/>
            </w:pPr>
            <w:r>
              <w:t>工程类别</w:t>
            </w:r>
          </w:p>
        </w:tc>
        <w:tc>
          <w:tcPr>
            <w:tcW w:w="1416" w:type="pct"/>
            <w:gridSpan w:val="2"/>
            <w:vAlign w:val="center"/>
          </w:tcPr>
          <w:p>
            <w:pPr>
              <w:pStyle w:val="136"/>
            </w:pPr>
            <w:r>
              <w:t>现场经费</w:t>
            </w:r>
          </w:p>
        </w:tc>
        <w:tc>
          <w:tcPr>
            <w:tcW w:w="1546" w:type="pct"/>
            <w:gridSpan w:val="2"/>
            <w:vAlign w:val="center"/>
          </w:tcPr>
          <w:p>
            <w:pPr>
              <w:pStyle w:val="136"/>
            </w:pPr>
            <w:r>
              <w:t>间接费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Merge w:val="continue"/>
            <w:vAlign w:val="center"/>
          </w:tcPr>
          <w:p>
            <w:pPr>
              <w:pStyle w:val="136"/>
            </w:pPr>
          </w:p>
        </w:tc>
        <w:tc>
          <w:tcPr>
            <w:tcW w:w="1563" w:type="pct"/>
            <w:vMerge w:val="continue"/>
            <w:vAlign w:val="center"/>
          </w:tcPr>
          <w:p>
            <w:pPr>
              <w:pStyle w:val="136"/>
            </w:pPr>
          </w:p>
        </w:tc>
        <w:tc>
          <w:tcPr>
            <w:tcW w:w="653" w:type="pct"/>
            <w:vAlign w:val="center"/>
          </w:tcPr>
          <w:p>
            <w:pPr>
              <w:pStyle w:val="136"/>
            </w:pPr>
            <w:r>
              <w:t>计算基础</w:t>
            </w:r>
          </w:p>
        </w:tc>
        <w:tc>
          <w:tcPr>
            <w:tcW w:w="762" w:type="pct"/>
            <w:vAlign w:val="center"/>
          </w:tcPr>
          <w:p>
            <w:pPr>
              <w:pStyle w:val="136"/>
            </w:pPr>
            <w:r>
              <w:t>费率（%）</w:t>
            </w:r>
          </w:p>
        </w:tc>
        <w:tc>
          <w:tcPr>
            <w:tcW w:w="784" w:type="pct"/>
            <w:vAlign w:val="center"/>
          </w:tcPr>
          <w:p>
            <w:pPr>
              <w:pStyle w:val="136"/>
            </w:pPr>
            <w:r>
              <w:t>计算基础</w:t>
            </w:r>
          </w:p>
        </w:tc>
        <w:tc>
          <w:tcPr>
            <w:tcW w:w="762" w:type="pct"/>
            <w:vAlign w:val="center"/>
          </w:tcPr>
          <w:p>
            <w:pPr>
              <w:pStyle w:val="136"/>
            </w:pPr>
            <w: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pStyle w:val="136"/>
            </w:pPr>
            <w:r>
              <w:t>1</w:t>
            </w:r>
          </w:p>
        </w:tc>
        <w:tc>
          <w:tcPr>
            <w:tcW w:w="1563" w:type="pct"/>
            <w:vAlign w:val="center"/>
          </w:tcPr>
          <w:p>
            <w:pPr>
              <w:pStyle w:val="136"/>
            </w:pPr>
            <w:r>
              <w:t>土方工程</w:t>
            </w:r>
          </w:p>
        </w:tc>
        <w:tc>
          <w:tcPr>
            <w:tcW w:w="653" w:type="pct"/>
            <w:vAlign w:val="center"/>
          </w:tcPr>
          <w:p>
            <w:pPr>
              <w:pStyle w:val="136"/>
            </w:pPr>
            <w:r>
              <w:t>直接费</w:t>
            </w:r>
          </w:p>
        </w:tc>
        <w:tc>
          <w:tcPr>
            <w:tcW w:w="762" w:type="pct"/>
            <w:vAlign w:val="center"/>
          </w:tcPr>
          <w:p>
            <w:pPr>
              <w:pStyle w:val="136"/>
            </w:pPr>
            <w:r>
              <w:t>4</w:t>
            </w:r>
          </w:p>
        </w:tc>
        <w:tc>
          <w:tcPr>
            <w:tcW w:w="784" w:type="pct"/>
            <w:vAlign w:val="center"/>
          </w:tcPr>
          <w:p>
            <w:pPr>
              <w:pStyle w:val="136"/>
            </w:pPr>
            <w:r>
              <w:t>直接工程费</w:t>
            </w:r>
          </w:p>
        </w:tc>
        <w:tc>
          <w:tcPr>
            <w:tcW w:w="762" w:type="pct"/>
            <w:vAlign w:val="center"/>
          </w:tcPr>
          <w:p>
            <w:pPr>
              <w:pStyle w:val="136"/>
            </w:pPr>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pStyle w:val="136"/>
            </w:pPr>
            <w:r>
              <w:t>2</w:t>
            </w:r>
          </w:p>
        </w:tc>
        <w:tc>
          <w:tcPr>
            <w:tcW w:w="1563" w:type="pct"/>
            <w:vAlign w:val="center"/>
          </w:tcPr>
          <w:p>
            <w:pPr>
              <w:pStyle w:val="136"/>
            </w:pPr>
            <w:r>
              <w:t>石方工程</w:t>
            </w:r>
          </w:p>
        </w:tc>
        <w:tc>
          <w:tcPr>
            <w:tcW w:w="653" w:type="pct"/>
          </w:tcPr>
          <w:p>
            <w:pPr>
              <w:pStyle w:val="136"/>
            </w:pPr>
            <w:r>
              <w:t>直接费</w:t>
            </w:r>
          </w:p>
        </w:tc>
        <w:tc>
          <w:tcPr>
            <w:tcW w:w="762" w:type="pct"/>
          </w:tcPr>
          <w:p>
            <w:pPr>
              <w:pStyle w:val="136"/>
            </w:pPr>
            <w:r>
              <w:t>6</w:t>
            </w:r>
          </w:p>
        </w:tc>
        <w:tc>
          <w:tcPr>
            <w:tcW w:w="784" w:type="pct"/>
          </w:tcPr>
          <w:p>
            <w:pPr>
              <w:pStyle w:val="136"/>
            </w:pPr>
            <w:r>
              <w:t>直接工程费</w:t>
            </w:r>
          </w:p>
        </w:tc>
        <w:tc>
          <w:tcPr>
            <w:tcW w:w="762" w:type="pct"/>
            <w:vAlign w:val="center"/>
          </w:tcPr>
          <w:p>
            <w:pPr>
              <w:pStyle w:val="136"/>
            </w:pPr>
            <w: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pStyle w:val="136"/>
            </w:pPr>
            <w:r>
              <w:t>3</w:t>
            </w:r>
          </w:p>
        </w:tc>
        <w:tc>
          <w:tcPr>
            <w:tcW w:w="1563" w:type="pct"/>
            <w:vAlign w:val="center"/>
          </w:tcPr>
          <w:p>
            <w:pPr>
              <w:pStyle w:val="136"/>
            </w:pPr>
            <w:r>
              <w:t>砂石备料工程</w:t>
            </w:r>
          </w:p>
        </w:tc>
        <w:tc>
          <w:tcPr>
            <w:tcW w:w="653" w:type="pct"/>
          </w:tcPr>
          <w:p>
            <w:pPr>
              <w:pStyle w:val="136"/>
            </w:pPr>
            <w:r>
              <w:t>直接费</w:t>
            </w:r>
          </w:p>
        </w:tc>
        <w:tc>
          <w:tcPr>
            <w:tcW w:w="762" w:type="pct"/>
          </w:tcPr>
          <w:p>
            <w:pPr>
              <w:pStyle w:val="136"/>
            </w:pPr>
            <w:r>
              <w:t>2</w:t>
            </w:r>
          </w:p>
        </w:tc>
        <w:tc>
          <w:tcPr>
            <w:tcW w:w="784" w:type="pct"/>
          </w:tcPr>
          <w:p>
            <w:pPr>
              <w:pStyle w:val="136"/>
            </w:pPr>
            <w:r>
              <w:t>直接工程费</w:t>
            </w:r>
          </w:p>
        </w:tc>
        <w:tc>
          <w:tcPr>
            <w:tcW w:w="762" w:type="pct"/>
            <w:vAlign w:val="center"/>
          </w:tcPr>
          <w:p>
            <w:pPr>
              <w:pStyle w:val="1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pStyle w:val="136"/>
            </w:pPr>
            <w:r>
              <w:t>4</w:t>
            </w:r>
          </w:p>
        </w:tc>
        <w:tc>
          <w:tcPr>
            <w:tcW w:w="1563" w:type="pct"/>
            <w:vAlign w:val="center"/>
          </w:tcPr>
          <w:p>
            <w:pPr>
              <w:pStyle w:val="136"/>
            </w:pPr>
            <w:r>
              <w:t>模板工程</w:t>
            </w:r>
          </w:p>
        </w:tc>
        <w:tc>
          <w:tcPr>
            <w:tcW w:w="653" w:type="pct"/>
          </w:tcPr>
          <w:p>
            <w:pPr>
              <w:pStyle w:val="136"/>
            </w:pPr>
            <w:r>
              <w:t>直接费</w:t>
            </w:r>
          </w:p>
        </w:tc>
        <w:tc>
          <w:tcPr>
            <w:tcW w:w="762" w:type="pct"/>
          </w:tcPr>
          <w:p>
            <w:pPr>
              <w:pStyle w:val="136"/>
            </w:pPr>
            <w:r>
              <w:t>6</w:t>
            </w:r>
          </w:p>
        </w:tc>
        <w:tc>
          <w:tcPr>
            <w:tcW w:w="784" w:type="pct"/>
          </w:tcPr>
          <w:p>
            <w:pPr>
              <w:pStyle w:val="136"/>
            </w:pPr>
            <w:r>
              <w:t>直接工程费</w:t>
            </w:r>
          </w:p>
        </w:tc>
        <w:tc>
          <w:tcPr>
            <w:tcW w:w="762" w:type="pct"/>
            <w:vAlign w:val="center"/>
          </w:tcPr>
          <w:p>
            <w:pPr>
              <w:pStyle w:val="136"/>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pStyle w:val="136"/>
            </w:pPr>
            <w:r>
              <w:t>5</w:t>
            </w:r>
          </w:p>
        </w:tc>
        <w:tc>
          <w:tcPr>
            <w:tcW w:w="1563" w:type="pct"/>
            <w:vAlign w:val="center"/>
          </w:tcPr>
          <w:p>
            <w:pPr>
              <w:pStyle w:val="136"/>
            </w:pPr>
            <w:r>
              <w:t>混凝土工程</w:t>
            </w:r>
          </w:p>
        </w:tc>
        <w:tc>
          <w:tcPr>
            <w:tcW w:w="653" w:type="pct"/>
          </w:tcPr>
          <w:p>
            <w:pPr>
              <w:pStyle w:val="136"/>
            </w:pPr>
            <w:r>
              <w:t>直接费</w:t>
            </w:r>
          </w:p>
        </w:tc>
        <w:tc>
          <w:tcPr>
            <w:tcW w:w="762" w:type="pct"/>
          </w:tcPr>
          <w:p>
            <w:pPr>
              <w:pStyle w:val="136"/>
            </w:pPr>
            <w:r>
              <w:t>6</w:t>
            </w:r>
          </w:p>
        </w:tc>
        <w:tc>
          <w:tcPr>
            <w:tcW w:w="784" w:type="pct"/>
          </w:tcPr>
          <w:p>
            <w:pPr>
              <w:pStyle w:val="136"/>
            </w:pPr>
            <w:r>
              <w:t>直接工程费</w:t>
            </w:r>
          </w:p>
        </w:tc>
        <w:tc>
          <w:tcPr>
            <w:tcW w:w="762" w:type="pct"/>
            <w:vAlign w:val="center"/>
          </w:tcPr>
          <w:p>
            <w:pPr>
              <w:pStyle w:val="136"/>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pStyle w:val="136"/>
            </w:pPr>
            <w:r>
              <w:t>6</w:t>
            </w:r>
          </w:p>
        </w:tc>
        <w:tc>
          <w:tcPr>
            <w:tcW w:w="1563" w:type="pct"/>
            <w:vAlign w:val="center"/>
          </w:tcPr>
          <w:p>
            <w:pPr>
              <w:pStyle w:val="136"/>
            </w:pPr>
            <w:r>
              <w:t>钢筋制安工程</w:t>
            </w:r>
          </w:p>
        </w:tc>
        <w:tc>
          <w:tcPr>
            <w:tcW w:w="653" w:type="pct"/>
          </w:tcPr>
          <w:p>
            <w:pPr>
              <w:pStyle w:val="136"/>
            </w:pPr>
            <w:r>
              <w:t>直接费</w:t>
            </w:r>
          </w:p>
        </w:tc>
        <w:tc>
          <w:tcPr>
            <w:tcW w:w="762" w:type="pct"/>
          </w:tcPr>
          <w:p>
            <w:pPr>
              <w:pStyle w:val="136"/>
            </w:pPr>
            <w:r>
              <w:t>6</w:t>
            </w:r>
          </w:p>
        </w:tc>
        <w:tc>
          <w:tcPr>
            <w:tcW w:w="784" w:type="pct"/>
          </w:tcPr>
          <w:p>
            <w:pPr>
              <w:pStyle w:val="136"/>
            </w:pPr>
            <w:r>
              <w:t>直接工程费</w:t>
            </w:r>
          </w:p>
        </w:tc>
        <w:tc>
          <w:tcPr>
            <w:tcW w:w="762" w:type="pct"/>
            <w:vAlign w:val="center"/>
          </w:tcPr>
          <w:p>
            <w:pPr>
              <w:pStyle w:val="136"/>
            </w:pPr>
            <w: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pStyle w:val="136"/>
            </w:pPr>
            <w:r>
              <w:t>7</w:t>
            </w:r>
          </w:p>
        </w:tc>
        <w:tc>
          <w:tcPr>
            <w:tcW w:w="1563" w:type="pct"/>
            <w:vAlign w:val="center"/>
          </w:tcPr>
          <w:p>
            <w:pPr>
              <w:pStyle w:val="136"/>
            </w:pPr>
            <w:r>
              <w:t>钻孔灌浆工程</w:t>
            </w:r>
          </w:p>
        </w:tc>
        <w:tc>
          <w:tcPr>
            <w:tcW w:w="653" w:type="pct"/>
          </w:tcPr>
          <w:p>
            <w:pPr>
              <w:pStyle w:val="136"/>
            </w:pPr>
            <w:r>
              <w:t>直接费</w:t>
            </w:r>
          </w:p>
        </w:tc>
        <w:tc>
          <w:tcPr>
            <w:tcW w:w="762" w:type="pct"/>
          </w:tcPr>
          <w:p>
            <w:pPr>
              <w:pStyle w:val="136"/>
            </w:pPr>
            <w:r>
              <w:t>7</w:t>
            </w:r>
          </w:p>
        </w:tc>
        <w:tc>
          <w:tcPr>
            <w:tcW w:w="784" w:type="pct"/>
          </w:tcPr>
          <w:p>
            <w:pPr>
              <w:pStyle w:val="136"/>
            </w:pPr>
            <w:r>
              <w:t>直接工程费</w:t>
            </w:r>
          </w:p>
        </w:tc>
        <w:tc>
          <w:tcPr>
            <w:tcW w:w="762" w:type="pct"/>
            <w:vAlign w:val="center"/>
          </w:tcPr>
          <w:p>
            <w:pPr>
              <w:pStyle w:val="136"/>
            </w:pPr>
            <w: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pStyle w:val="136"/>
            </w:pPr>
            <w:r>
              <w:t>8</w:t>
            </w:r>
          </w:p>
        </w:tc>
        <w:tc>
          <w:tcPr>
            <w:tcW w:w="1563" w:type="pct"/>
            <w:vAlign w:val="center"/>
          </w:tcPr>
          <w:p>
            <w:pPr>
              <w:pStyle w:val="136"/>
            </w:pPr>
            <w:r>
              <w:t>其他工程</w:t>
            </w:r>
          </w:p>
        </w:tc>
        <w:tc>
          <w:tcPr>
            <w:tcW w:w="653" w:type="pct"/>
          </w:tcPr>
          <w:p>
            <w:pPr>
              <w:pStyle w:val="136"/>
            </w:pPr>
            <w:r>
              <w:t>直接费</w:t>
            </w:r>
          </w:p>
        </w:tc>
        <w:tc>
          <w:tcPr>
            <w:tcW w:w="762" w:type="pct"/>
          </w:tcPr>
          <w:p>
            <w:pPr>
              <w:pStyle w:val="136"/>
            </w:pPr>
            <w:r>
              <w:t>5</w:t>
            </w:r>
          </w:p>
        </w:tc>
        <w:tc>
          <w:tcPr>
            <w:tcW w:w="784" w:type="pct"/>
          </w:tcPr>
          <w:p>
            <w:pPr>
              <w:pStyle w:val="136"/>
            </w:pPr>
            <w:r>
              <w:t>直接工程费</w:t>
            </w:r>
          </w:p>
        </w:tc>
        <w:tc>
          <w:tcPr>
            <w:tcW w:w="762" w:type="pct"/>
            <w:vAlign w:val="center"/>
          </w:tcPr>
          <w:p>
            <w:pPr>
              <w:pStyle w:val="136"/>
            </w:pPr>
            <w: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pStyle w:val="136"/>
            </w:pPr>
            <w:r>
              <w:t>9</w:t>
            </w:r>
          </w:p>
        </w:tc>
        <w:tc>
          <w:tcPr>
            <w:tcW w:w="1563" w:type="pct"/>
            <w:vAlign w:val="center"/>
          </w:tcPr>
          <w:p>
            <w:pPr>
              <w:pStyle w:val="136"/>
            </w:pPr>
            <w:r>
              <w:t>机电、</w:t>
            </w:r>
            <w:r>
              <w:rPr>
                <w:rFonts w:hint="eastAsia"/>
                <w:lang w:eastAsia="zh-CN"/>
              </w:rPr>
              <w:t>金属设备</w:t>
            </w:r>
            <w:r>
              <w:t>安装工程</w:t>
            </w:r>
          </w:p>
        </w:tc>
        <w:tc>
          <w:tcPr>
            <w:tcW w:w="653" w:type="pct"/>
          </w:tcPr>
          <w:p>
            <w:pPr>
              <w:pStyle w:val="136"/>
            </w:pPr>
            <w:r>
              <w:t>人工费</w:t>
            </w:r>
          </w:p>
        </w:tc>
        <w:tc>
          <w:tcPr>
            <w:tcW w:w="762" w:type="pct"/>
          </w:tcPr>
          <w:p>
            <w:pPr>
              <w:pStyle w:val="136"/>
            </w:pPr>
            <w:r>
              <w:t>45</w:t>
            </w:r>
          </w:p>
        </w:tc>
        <w:tc>
          <w:tcPr>
            <w:tcW w:w="784" w:type="pct"/>
          </w:tcPr>
          <w:p>
            <w:pPr>
              <w:pStyle w:val="136"/>
            </w:pPr>
            <w:r>
              <w:t>人工费</w:t>
            </w:r>
          </w:p>
        </w:tc>
        <w:tc>
          <w:tcPr>
            <w:tcW w:w="762" w:type="pct"/>
            <w:vAlign w:val="center"/>
          </w:tcPr>
          <w:p>
            <w:pPr>
              <w:pStyle w:val="136"/>
            </w:pPr>
            <w:r>
              <w:t>75</w:t>
            </w:r>
          </w:p>
        </w:tc>
      </w:tr>
    </w:tbl>
    <w:p>
      <w:pPr>
        <w:ind w:firstLine="480"/>
        <w:rPr>
          <w:rFonts w:cs="Times New Roman"/>
        </w:rPr>
      </w:pPr>
    </w:p>
    <w:p>
      <w:pPr>
        <w:pStyle w:val="62"/>
        <w:rPr>
          <w:rFonts w:cs="Times New Roman"/>
        </w:rPr>
      </w:pPr>
      <w:r>
        <w:rPr>
          <w:rFonts w:cs="Times New Roman"/>
        </w:rPr>
        <w:t>8.1.5.2 植物措施单价</w:t>
      </w:r>
    </w:p>
    <w:p>
      <w:pPr>
        <w:ind w:firstLine="480"/>
        <w:rPr>
          <w:rFonts w:cs="Times New Roman"/>
        </w:rPr>
      </w:pPr>
      <w:r>
        <w:rPr>
          <w:rFonts w:cs="Times New Roman"/>
        </w:rPr>
        <w:t>植物措施单价由直接费、间接费、企业利润和税金组成。</w:t>
      </w:r>
    </w:p>
    <w:p>
      <w:pPr>
        <w:ind w:firstLine="480"/>
        <w:rPr>
          <w:rFonts w:cs="Times New Roman"/>
        </w:rPr>
      </w:pPr>
      <w:r>
        <w:rPr>
          <w:rFonts w:cs="Times New Roman"/>
        </w:rPr>
        <w:t>（1）直接费</w:t>
      </w:r>
    </w:p>
    <w:p>
      <w:pPr>
        <w:ind w:firstLine="480"/>
        <w:rPr>
          <w:rFonts w:cs="Times New Roman"/>
        </w:rPr>
      </w:pPr>
      <w:r>
        <w:rPr>
          <w:rFonts w:cs="Times New Roman"/>
        </w:rPr>
        <w:t>包括基本直接费和其它直接费。</w:t>
      </w:r>
    </w:p>
    <w:p>
      <w:pPr>
        <w:ind w:firstLine="480"/>
        <w:rPr>
          <w:rFonts w:cs="Times New Roman"/>
        </w:rPr>
      </w:pPr>
      <w:r>
        <w:rPr>
          <w:rFonts w:cs="Times New Roman"/>
        </w:rPr>
        <w:t>基本直接费：包括人工费、材料费和施工机械使用费。</w:t>
      </w:r>
    </w:p>
    <w:p>
      <w:pPr>
        <w:ind w:firstLine="480"/>
        <w:rPr>
          <w:rFonts w:cs="Times New Roman"/>
        </w:rPr>
      </w:pPr>
      <w:r>
        <w:rPr>
          <w:rFonts w:hint="eastAsia" w:ascii="宋体" w:hAnsi="宋体" w:cs="宋体"/>
        </w:rPr>
        <w:t>②</w:t>
      </w:r>
      <w:r>
        <w:rPr>
          <w:rFonts w:cs="Times New Roman"/>
        </w:rPr>
        <w:t>其它直接费：按基本直接费乘以其它直接费率计算。</w:t>
      </w:r>
    </w:p>
    <w:p>
      <w:pPr>
        <w:ind w:firstLine="480"/>
        <w:rPr>
          <w:rFonts w:cs="Times New Roman"/>
        </w:rPr>
      </w:pPr>
      <w:r>
        <w:rPr>
          <w:rFonts w:cs="Times New Roman"/>
        </w:rPr>
        <w:t>（2）间接费</w:t>
      </w:r>
    </w:p>
    <w:p>
      <w:pPr>
        <w:ind w:firstLine="480"/>
        <w:rPr>
          <w:rFonts w:cs="Times New Roman"/>
        </w:rPr>
      </w:pPr>
      <w:r>
        <w:rPr>
          <w:rFonts w:cs="Times New Roman"/>
        </w:rPr>
        <w:t>按直接费乘以间接费费率计算。</w:t>
      </w:r>
    </w:p>
    <w:p>
      <w:pPr>
        <w:ind w:firstLine="480"/>
        <w:rPr>
          <w:rFonts w:cs="Times New Roman"/>
        </w:rPr>
      </w:pPr>
      <w:r>
        <w:rPr>
          <w:rFonts w:cs="Times New Roman"/>
        </w:rPr>
        <w:t>（3）企业利润</w:t>
      </w:r>
    </w:p>
    <w:p>
      <w:pPr>
        <w:ind w:firstLine="480"/>
        <w:rPr>
          <w:rFonts w:cs="Times New Roman"/>
        </w:rPr>
      </w:pPr>
      <w:r>
        <w:rPr>
          <w:rFonts w:cs="Times New Roman"/>
        </w:rPr>
        <w:t>按直接费与间接费之和的5％计算。</w:t>
      </w:r>
    </w:p>
    <w:p>
      <w:pPr>
        <w:ind w:firstLine="480"/>
        <w:rPr>
          <w:rFonts w:cs="Times New Roman"/>
        </w:rPr>
      </w:pPr>
      <w:r>
        <w:rPr>
          <w:rFonts w:cs="Times New Roman"/>
        </w:rPr>
        <w:t>（4）税金</w:t>
      </w:r>
    </w:p>
    <w:p>
      <w:pPr>
        <w:ind w:firstLine="480"/>
        <w:rPr>
          <w:rFonts w:cs="Times New Roman"/>
        </w:rPr>
      </w:pPr>
      <w:r>
        <w:rPr>
          <w:rFonts w:cs="Times New Roman"/>
        </w:rPr>
        <w:t>按直接费、间接费与企业利润之和的3.28%计算。见表8.1-2。</w:t>
      </w:r>
    </w:p>
    <w:p>
      <w:pPr>
        <w:ind w:firstLine="480"/>
        <w:rPr>
          <w:rFonts w:cs="Times New Roman"/>
        </w:rPr>
      </w:pPr>
      <w:r>
        <w:rPr>
          <w:rFonts w:cs="Times New Roman"/>
        </w:rPr>
        <w:t>植物工程费率见表8.1-3。</w:t>
      </w:r>
    </w:p>
    <w:p>
      <w:pPr>
        <w:pStyle w:val="137"/>
        <w:spacing w:before="62"/>
      </w:pPr>
      <w:r>
        <w:t>表8.1-3                   植物措施费率表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2024"/>
        <w:gridCol w:w="4751"/>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Pr>
          <w:p>
            <w:pPr>
              <w:pStyle w:val="136"/>
            </w:pPr>
            <w:r>
              <w:t>编号</w:t>
            </w:r>
          </w:p>
        </w:tc>
        <w:tc>
          <w:tcPr>
            <w:tcW w:w="1124" w:type="pct"/>
          </w:tcPr>
          <w:p>
            <w:pPr>
              <w:pStyle w:val="136"/>
            </w:pPr>
            <w:r>
              <w:t>项目</w:t>
            </w:r>
          </w:p>
        </w:tc>
        <w:tc>
          <w:tcPr>
            <w:tcW w:w="2638" w:type="pct"/>
          </w:tcPr>
          <w:p>
            <w:pPr>
              <w:pStyle w:val="136"/>
            </w:pPr>
            <w:r>
              <w:t>计算基数</w:t>
            </w:r>
          </w:p>
        </w:tc>
        <w:tc>
          <w:tcPr>
            <w:tcW w:w="674" w:type="pct"/>
          </w:tcPr>
          <w:p>
            <w:pPr>
              <w:pStyle w:val="136"/>
            </w:pPr>
            <w: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Pr>
          <w:p>
            <w:pPr>
              <w:pStyle w:val="136"/>
            </w:pPr>
            <w:r>
              <w:t>一</w:t>
            </w:r>
          </w:p>
        </w:tc>
        <w:tc>
          <w:tcPr>
            <w:tcW w:w="1124" w:type="pct"/>
          </w:tcPr>
          <w:p>
            <w:pPr>
              <w:pStyle w:val="136"/>
            </w:pPr>
            <w:r>
              <w:t>其它直接费</w:t>
            </w:r>
          </w:p>
        </w:tc>
        <w:tc>
          <w:tcPr>
            <w:tcW w:w="2638" w:type="pct"/>
          </w:tcPr>
          <w:p>
            <w:pPr>
              <w:pStyle w:val="136"/>
            </w:pPr>
            <w:r>
              <w:t>直接费</w:t>
            </w:r>
          </w:p>
        </w:tc>
        <w:tc>
          <w:tcPr>
            <w:tcW w:w="674" w:type="pct"/>
          </w:tcPr>
          <w:p>
            <w:pPr>
              <w:pStyle w:val="136"/>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Pr>
          <w:p>
            <w:pPr>
              <w:pStyle w:val="136"/>
            </w:pPr>
            <w:r>
              <w:t>二</w:t>
            </w:r>
          </w:p>
        </w:tc>
        <w:tc>
          <w:tcPr>
            <w:tcW w:w="1124" w:type="pct"/>
          </w:tcPr>
          <w:p>
            <w:pPr>
              <w:pStyle w:val="136"/>
            </w:pPr>
            <w:r>
              <w:t>现场经费</w:t>
            </w:r>
          </w:p>
        </w:tc>
        <w:tc>
          <w:tcPr>
            <w:tcW w:w="2638" w:type="pct"/>
          </w:tcPr>
          <w:p>
            <w:pPr>
              <w:pStyle w:val="136"/>
            </w:pPr>
            <w:r>
              <w:t>直接费</w:t>
            </w:r>
          </w:p>
        </w:tc>
        <w:tc>
          <w:tcPr>
            <w:tcW w:w="674" w:type="pct"/>
          </w:tcPr>
          <w:p>
            <w:pPr>
              <w:pStyle w:val="136"/>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Pr>
          <w:p>
            <w:pPr>
              <w:pStyle w:val="136"/>
            </w:pPr>
            <w:r>
              <w:t>三</w:t>
            </w:r>
          </w:p>
        </w:tc>
        <w:tc>
          <w:tcPr>
            <w:tcW w:w="1124" w:type="pct"/>
          </w:tcPr>
          <w:p>
            <w:pPr>
              <w:pStyle w:val="136"/>
            </w:pPr>
            <w:r>
              <w:t>间接费</w:t>
            </w:r>
          </w:p>
        </w:tc>
        <w:tc>
          <w:tcPr>
            <w:tcW w:w="2638" w:type="pct"/>
          </w:tcPr>
          <w:p>
            <w:pPr>
              <w:pStyle w:val="136"/>
            </w:pPr>
            <w:r>
              <w:t>直接工程费</w:t>
            </w:r>
          </w:p>
        </w:tc>
        <w:tc>
          <w:tcPr>
            <w:tcW w:w="674" w:type="pct"/>
          </w:tcPr>
          <w:p>
            <w:pPr>
              <w:pStyle w:val="136"/>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Pr>
          <w:p>
            <w:pPr>
              <w:pStyle w:val="136"/>
            </w:pPr>
            <w:r>
              <w:t>四</w:t>
            </w:r>
          </w:p>
        </w:tc>
        <w:tc>
          <w:tcPr>
            <w:tcW w:w="1124" w:type="pct"/>
          </w:tcPr>
          <w:p>
            <w:pPr>
              <w:pStyle w:val="136"/>
            </w:pPr>
            <w:r>
              <w:t>企业利润</w:t>
            </w:r>
          </w:p>
        </w:tc>
        <w:tc>
          <w:tcPr>
            <w:tcW w:w="2638" w:type="pct"/>
          </w:tcPr>
          <w:p>
            <w:pPr>
              <w:pStyle w:val="136"/>
            </w:pPr>
            <w:r>
              <w:t>直接费+间接费</w:t>
            </w:r>
          </w:p>
        </w:tc>
        <w:tc>
          <w:tcPr>
            <w:tcW w:w="674" w:type="pct"/>
          </w:tcPr>
          <w:p>
            <w:pPr>
              <w:pStyle w:val="1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Pr>
          <w:p>
            <w:pPr>
              <w:pStyle w:val="136"/>
            </w:pPr>
            <w:r>
              <w:t>五</w:t>
            </w:r>
          </w:p>
        </w:tc>
        <w:tc>
          <w:tcPr>
            <w:tcW w:w="1124" w:type="pct"/>
          </w:tcPr>
          <w:p>
            <w:pPr>
              <w:pStyle w:val="136"/>
            </w:pPr>
            <w:r>
              <w:t>税金</w:t>
            </w:r>
          </w:p>
        </w:tc>
        <w:tc>
          <w:tcPr>
            <w:tcW w:w="2638" w:type="pct"/>
          </w:tcPr>
          <w:p>
            <w:pPr>
              <w:pStyle w:val="136"/>
            </w:pPr>
            <w:r>
              <w:t>直接工程费+间接费+企业利润</w:t>
            </w:r>
          </w:p>
        </w:tc>
        <w:tc>
          <w:tcPr>
            <w:tcW w:w="674" w:type="pct"/>
          </w:tcPr>
          <w:p>
            <w:pPr>
              <w:pStyle w:val="136"/>
            </w:pPr>
            <w:r>
              <w:t>3.28%</w:t>
            </w:r>
          </w:p>
        </w:tc>
      </w:tr>
    </w:tbl>
    <w:p>
      <w:pPr>
        <w:ind w:firstLine="480"/>
        <w:rPr>
          <w:rFonts w:cs="Times New Roman"/>
        </w:rPr>
      </w:pPr>
    </w:p>
    <w:p>
      <w:pPr>
        <w:pStyle w:val="4"/>
        <w:rPr>
          <w:rFonts w:cs="Times New Roman"/>
        </w:rPr>
      </w:pPr>
      <w:r>
        <w:rPr>
          <w:rFonts w:cs="Times New Roman"/>
        </w:rPr>
        <w:t>8.1.6 独立费用及其他</w:t>
      </w:r>
    </w:p>
    <w:p>
      <w:pPr>
        <w:pStyle w:val="62"/>
        <w:rPr>
          <w:rFonts w:cs="Times New Roman"/>
        </w:rPr>
      </w:pPr>
      <w:r>
        <w:rPr>
          <w:rFonts w:cs="Times New Roman"/>
        </w:rPr>
        <w:t>8.1.6.1 独立费用</w:t>
      </w:r>
    </w:p>
    <w:p>
      <w:pPr>
        <w:ind w:firstLine="480"/>
        <w:rPr>
          <w:rFonts w:cs="Times New Roman"/>
        </w:rPr>
      </w:pPr>
      <w:r>
        <w:rPr>
          <w:rFonts w:cs="Times New Roman"/>
        </w:rPr>
        <w:t>主要包括建设管理费、环境监理费、科研勘察设计咨询费三部分。</w:t>
      </w:r>
    </w:p>
    <w:p>
      <w:pPr>
        <w:ind w:firstLine="480"/>
        <w:rPr>
          <w:rFonts w:cs="Times New Roman"/>
        </w:rPr>
      </w:pPr>
      <w:r>
        <w:rPr>
          <w:rFonts w:cs="Times New Roman"/>
        </w:rPr>
        <w:t>（1）建设管理费</w:t>
      </w:r>
    </w:p>
    <w:p>
      <w:pPr>
        <w:ind w:firstLine="480"/>
        <w:rPr>
          <w:rFonts w:cs="Times New Roman"/>
        </w:rPr>
      </w:pPr>
      <w:r>
        <w:rPr>
          <w:rFonts w:cs="Times New Roman"/>
        </w:rPr>
        <w:t>包括环境管理人员经常费、环境保护工程竣工验收费、环境保护宣传及技术培训费。其中：</w:t>
      </w:r>
    </w:p>
    <w:p>
      <w:pPr>
        <w:ind w:firstLine="480"/>
        <w:rPr>
          <w:rFonts w:cs="Times New Roman"/>
        </w:rPr>
      </w:pPr>
      <w:r>
        <w:rPr>
          <w:rFonts w:cs="Times New Roman"/>
        </w:rPr>
        <w:t>环境管理人员经常费：按环境保护投资估算一～四部分投资之和的2.5%计列；</w:t>
      </w:r>
    </w:p>
    <w:p>
      <w:pPr>
        <w:ind w:firstLine="480"/>
        <w:rPr>
          <w:rFonts w:cs="Times New Roman"/>
        </w:rPr>
      </w:pPr>
      <w:r>
        <w:rPr>
          <w:rFonts w:cs="Times New Roman"/>
        </w:rPr>
        <w:t>环境保护工程竣工验收费：类比同类工程及目前水利工程竣工环保验收市场价格估算；</w:t>
      </w:r>
    </w:p>
    <w:p>
      <w:pPr>
        <w:ind w:firstLine="480"/>
        <w:rPr>
          <w:rFonts w:cs="Times New Roman"/>
        </w:rPr>
      </w:pPr>
      <w:r>
        <w:rPr>
          <w:rFonts w:cs="Times New Roman"/>
        </w:rPr>
        <w:t>环境保护宣传及技术培训费：按环境保护投资估算一～四部分投资之和的1.5%计列。</w:t>
      </w:r>
    </w:p>
    <w:p>
      <w:pPr>
        <w:ind w:firstLine="480"/>
        <w:rPr>
          <w:rFonts w:cs="Times New Roman"/>
        </w:rPr>
      </w:pPr>
      <w:r>
        <w:rPr>
          <w:rFonts w:cs="Times New Roman"/>
        </w:rPr>
        <w:t>（2）环境监理费</w:t>
      </w:r>
    </w:p>
    <w:p>
      <w:pPr>
        <w:ind w:firstLine="480"/>
        <w:rPr>
          <w:rFonts w:cs="Times New Roman"/>
        </w:rPr>
      </w:pPr>
      <w:r>
        <w:rPr>
          <w:rFonts w:cs="Times New Roman"/>
        </w:rPr>
        <w:t>按工程建设周期，所需监理人员数量，参照国家发展改革委、建设部关于印发《建设工程监理与相关服务收费管理规定》的通知（发改价格[2007]670号）对监理人员费的规定，考虑所处区域环境条件艰苦，适当提高监理人员费，并增加监理人员住宿、车辆和办公用品损耗等费用。</w:t>
      </w:r>
    </w:p>
    <w:p>
      <w:pPr>
        <w:ind w:firstLine="480"/>
        <w:rPr>
          <w:rFonts w:cs="Times New Roman"/>
        </w:rPr>
      </w:pPr>
      <w:r>
        <w:rPr>
          <w:rFonts w:cs="Times New Roman"/>
        </w:rPr>
        <w:t>（3）科研勘测设计咨询费</w:t>
      </w:r>
    </w:p>
    <w:p>
      <w:pPr>
        <w:ind w:firstLine="480"/>
        <w:rPr>
          <w:rFonts w:cs="Times New Roman"/>
        </w:rPr>
      </w:pPr>
      <w:r>
        <w:rPr>
          <w:rFonts w:cs="Times New Roman"/>
        </w:rPr>
        <w:t>科研及特殊专项费：按环境保护投资估算一～四部分投资之和的10％计列；</w:t>
      </w:r>
    </w:p>
    <w:p>
      <w:pPr>
        <w:ind w:firstLine="480"/>
        <w:rPr>
          <w:rFonts w:cs="Times New Roman"/>
        </w:rPr>
      </w:pPr>
      <w:r>
        <w:rPr>
          <w:rFonts w:cs="Times New Roman"/>
        </w:rPr>
        <w:t>环境保护勘察设计费：类比同类工程及目前市场价格估算；</w:t>
      </w:r>
    </w:p>
    <w:p>
      <w:pPr>
        <w:ind w:firstLine="480"/>
        <w:rPr>
          <w:rFonts w:cs="Times New Roman"/>
        </w:rPr>
      </w:pPr>
      <w:r>
        <w:rPr>
          <w:rFonts w:cs="Times New Roman"/>
        </w:rPr>
        <w:t>环评报告书编制费及专项措施技术研究费：按实际合同额和目前市场价格估算。</w:t>
      </w:r>
    </w:p>
    <w:p>
      <w:pPr>
        <w:pStyle w:val="62"/>
        <w:rPr>
          <w:rFonts w:cs="Times New Roman"/>
        </w:rPr>
      </w:pPr>
      <w:r>
        <w:rPr>
          <w:rFonts w:cs="Times New Roman"/>
        </w:rPr>
        <w:t>8.1.6.2 其他</w:t>
      </w:r>
    </w:p>
    <w:p>
      <w:pPr>
        <w:ind w:firstLine="480"/>
        <w:rPr>
          <w:rFonts w:cs="Times New Roman"/>
        </w:rPr>
      </w:pPr>
      <w:r>
        <w:rPr>
          <w:rFonts w:cs="Times New Roman"/>
        </w:rPr>
        <w:t>为基本预备费。采用与主体工程一致的基本预备费费率，按工程环境保护投资估算一～五部分投资之和的10%。</w:t>
      </w:r>
    </w:p>
    <w:p>
      <w:pPr>
        <w:pStyle w:val="4"/>
        <w:rPr>
          <w:rFonts w:cs="Times New Roman"/>
        </w:rPr>
      </w:pPr>
      <w:r>
        <w:rPr>
          <w:rFonts w:cs="Times New Roman"/>
        </w:rPr>
        <w:t>8.1.7 环境保护投资估算</w:t>
      </w:r>
    </w:p>
    <w:p>
      <w:pPr>
        <w:ind w:firstLine="480"/>
        <w:rPr>
          <w:rFonts w:cs="Times New Roman"/>
        </w:rPr>
      </w:pPr>
      <w:r>
        <w:rPr>
          <w:rFonts w:cs="Times New Roman"/>
        </w:rPr>
        <w:t>根据上述编制办法和本工程环境保护措施工程量，经估算，工程环境保护总投资586.67万元，其中环境保护措施投资30万元，环境监测费用23.50万元，仪器设备安装137.06万元，环境保护临时措施费142.19万元，独立费用200.58万元，基本预备费53.33万元。工程环境保护投资总估算表、各分工程环境保护投资总估算表见表8.1-4～表8.1-6。</w:t>
      </w:r>
    </w:p>
    <w:p>
      <w:pPr>
        <w:pStyle w:val="137"/>
        <w:spacing w:before="62"/>
      </w:pPr>
      <w:r>
        <w:t>表8.1-4           工程环境保护投资总估算表                 单位：万元</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983"/>
        <w:gridCol w:w="1065"/>
        <w:gridCol w:w="1066"/>
        <w:gridCol w:w="1066"/>
        <w:gridCol w:w="1066"/>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blHeader/>
        </w:trPr>
        <w:tc>
          <w:tcPr>
            <w:tcW w:w="348" w:type="pct"/>
            <w:shd w:val="clear" w:color="auto" w:fill="auto"/>
            <w:vAlign w:val="center"/>
          </w:tcPr>
          <w:p>
            <w:pPr>
              <w:pStyle w:val="136"/>
            </w:pPr>
            <w:r>
              <w:t>序号</w:t>
            </w:r>
          </w:p>
        </w:tc>
        <w:tc>
          <w:tcPr>
            <w:tcW w:w="1101" w:type="pct"/>
            <w:shd w:val="clear" w:color="auto" w:fill="auto"/>
            <w:vAlign w:val="center"/>
          </w:tcPr>
          <w:p>
            <w:pPr>
              <w:pStyle w:val="136"/>
            </w:pPr>
            <w:r>
              <w:t>工程费用或名称</w:t>
            </w:r>
          </w:p>
        </w:tc>
        <w:tc>
          <w:tcPr>
            <w:tcW w:w="591" w:type="pct"/>
            <w:shd w:val="clear" w:color="auto" w:fill="auto"/>
            <w:vAlign w:val="center"/>
          </w:tcPr>
          <w:p>
            <w:pPr>
              <w:pStyle w:val="136"/>
            </w:pPr>
            <w:r>
              <w:t>建筑工程费</w:t>
            </w:r>
          </w:p>
        </w:tc>
        <w:tc>
          <w:tcPr>
            <w:tcW w:w="592" w:type="pct"/>
            <w:shd w:val="clear" w:color="auto" w:fill="auto"/>
            <w:vAlign w:val="center"/>
          </w:tcPr>
          <w:p>
            <w:pPr>
              <w:pStyle w:val="136"/>
            </w:pPr>
            <w:r>
              <w:t>仪器设备</w:t>
            </w:r>
          </w:p>
        </w:tc>
        <w:tc>
          <w:tcPr>
            <w:tcW w:w="592" w:type="pct"/>
            <w:shd w:val="clear" w:color="auto" w:fill="auto"/>
            <w:vAlign w:val="center"/>
          </w:tcPr>
          <w:p>
            <w:pPr>
              <w:pStyle w:val="136"/>
            </w:pPr>
            <w:r>
              <w:t>非工程措施</w:t>
            </w:r>
          </w:p>
        </w:tc>
        <w:tc>
          <w:tcPr>
            <w:tcW w:w="592" w:type="pct"/>
            <w:shd w:val="clear" w:color="auto" w:fill="auto"/>
            <w:vAlign w:val="center"/>
          </w:tcPr>
          <w:p>
            <w:pPr>
              <w:pStyle w:val="136"/>
            </w:pPr>
            <w:r>
              <w:t>独立费用</w:t>
            </w:r>
          </w:p>
        </w:tc>
        <w:tc>
          <w:tcPr>
            <w:tcW w:w="592" w:type="pct"/>
            <w:shd w:val="clear" w:color="auto" w:fill="auto"/>
            <w:vAlign w:val="center"/>
          </w:tcPr>
          <w:p>
            <w:pPr>
              <w:pStyle w:val="136"/>
            </w:pPr>
            <w:r>
              <w:t>合计</w:t>
            </w:r>
          </w:p>
        </w:tc>
        <w:tc>
          <w:tcPr>
            <w:tcW w:w="592" w:type="pct"/>
            <w:shd w:val="clear" w:color="auto" w:fill="auto"/>
            <w:vAlign w:val="center"/>
          </w:tcPr>
          <w:p>
            <w:pPr>
              <w:pStyle w:val="136"/>
            </w:pPr>
            <w: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449" w:type="pct"/>
            <w:gridSpan w:val="2"/>
            <w:shd w:val="clear" w:color="auto" w:fill="auto"/>
            <w:noWrap/>
            <w:vAlign w:val="center"/>
          </w:tcPr>
          <w:p>
            <w:pPr>
              <w:pStyle w:val="136"/>
            </w:pPr>
            <w:r>
              <w:t>第一部分环境保护措施</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30.00</w:t>
            </w:r>
          </w:p>
        </w:tc>
        <w:tc>
          <w:tcPr>
            <w:tcW w:w="592" w:type="pct"/>
            <w:shd w:val="clear" w:color="auto" w:fill="auto"/>
            <w:noWrap/>
            <w:vAlign w:val="center"/>
          </w:tcPr>
          <w:p>
            <w:pPr>
              <w:pStyle w:val="136"/>
            </w:pPr>
          </w:p>
        </w:tc>
        <w:tc>
          <w:tcPr>
            <w:tcW w:w="592" w:type="pct"/>
            <w:shd w:val="clear" w:color="auto" w:fill="auto"/>
            <w:noWrap/>
            <w:vAlign w:val="center"/>
          </w:tcPr>
          <w:p>
            <w:pPr>
              <w:pStyle w:val="136"/>
            </w:pPr>
            <w:r>
              <w:t>30.00</w:t>
            </w:r>
          </w:p>
        </w:tc>
        <w:tc>
          <w:tcPr>
            <w:tcW w:w="592" w:type="pct"/>
            <w:shd w:val="clear" w:color="auto" w:fill="auto"/>
            <w:noWrap/>
            <w:vAlign w:val="center"/>
          </w:tcPr>
          <w:p>
            <w:pPr>
              <w:pStyle w:val="136"/>
            </w:pPr>
            <w: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8" w:type="pct"/>
            <w:shd w:val="clear" w:color="auto" w:fill="auto"/>
            <w:noWrap/>
            <w:vAlign w:val="center"/>
          </w:tcPr>
          <w:p>
            <w:pPr>
              <w:pStyle w:val="136"/>
            </w:pPr>
            <w:r>
              <w:t>1</w:t>
            </w:r>
          </w:p>
        </w:tc>
        <w:tc>
          <w:tcPr>
            <w:tcW w:w="1101" w:type="pct"/>
            <w:shd w:val="clear" w:color="auto" w:fill="auto"/>
            <w:vAlign w:val="center"/>
          </w:tcPr>
          <w:p>
            <w:pPr>
              <w:pStyle w:val="136"/>
            </w:pPr>
            <w:r>
              <w:t>植物保护措施</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30.00</w:t>
            </w:r>
          </w:p>
        </w:tc>
        <w:tc>
          <w:tcPr>
            <w:tcW w:w="592" w:type="pct"/>
            <w:shd w:val="clear" w:color="auto" w:fill="auto"/>
            <w:noWrap/>
            <w:vAlign w:val="center"/>
          </w:tcPr>
          <w:p>
            <w:pPr>
              <w:pStyle w:val="136"/>
            </w:pPr>
          </w:p>
        </w:tc>
        <w:tc>
          <w:tcPr>
            <w:tcW w:w="592" w:type="pct"/>
            <w:shd w:val="clear" w:color="auto" w:fill="auto"/>
            <w:noWrap/>
            <w:vAlign w:val="center"/>
          </w:tcPr>
          <w:p>
            <w:pPr>
              <w:pStyle w:val="136"/>
            </w:pPr>
            <w:r>
              <w:t>30.00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9" w:type="pct"/>
            <w:gridSpan w:val="2"/>
            <w:shd w:val="clear" w:color="auto" w:fill="auto"/>
            <w:noWrap/>
            <w:vAlign w:val="center"/>
          </w:tcPr>
          <w:p>
            <w:pPr>
              <w:pStyle w:val="136"/>
            </w:pPr>
            <w:r>
              <w:t>第二部分环境监测措施</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23.50</w:t>
            </w:r>
          </w:p>
        </w:tc>
        <w:tc>
          <w:tcPr>
            <w:tcW w:w="592" w:type="pct"/>
            <w:shd w:val="clear" w:color="auto" w:fill="auto"/>
            <w:noWrap/>
            <w:vAlign w:val="center"/>
          </w:tcPr>
          <w:p>
            <w:pPr>
              <w:pStyle w:val="136"/>
            </w:pPr>
          </w:p>
        </w:tc>
        <w:tc>
          <w:tcPr>
            <w:tcW w:w="592" w:type="pct"/>
            <w:shd w:val="clear" w:color="auto" w:fill="auto"/>
            <w:noWrap/>
            <w:vAlign w:val="center"/>
          </w:tcPr>
          <w:p>
            <w:pPr>
              <w:pStyle w:val="136"/>
            </w:pPr>
            <w:r>
              <w:t>23.50</w:t>
            </w:r>
          </w:p>
        </w:tc>
        <w:tc>
          <w:tcPr>
            <w:tcW w:w="592" w:type="pct"/>
            <w:shd w:val="clear" w:color="auto" w:fill="auto"/>
            <w:noWrap/>
            <w:vAlign w:val="center"/>
          </w:tcPr>
          <w:p>
            <w:pPr>
              <w:pStyle w:val="136"/>
            </w:pPr>
            <w: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8" w:type="pct"/>
            <w:shd w:val="clear" w:color="auto" w:fill="auto"/>
            <w:noWrap/>
            <w:vAlign w:val="center"/>
          </w:tcPr>
          <w:p>
            <w:pPr>
              <w:pStyle w:val="136"/>
            </w:pPr>
            <w:r>
              <w:t>1</w:t>
            </w:r>
          </w:p>
        </w:tc>
        <w:tc>
          <w:tcPr>
            <w:tcW w:w="1101" w:type="pct"/>
            <w:shd w:val="clear" w:color="auto" w:fill="auto"/>
            <w:vAlign w:val="center"/>
          </w:tcPr>
          <w:p>
            <w:pPr>
              <w:pStyle w:val="136"/>
            </w:pPr>
            <w:r>
              <w:t>水环境监测</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8.70</w:t>
            </w:r>
          </w:p>
        </w:tc>
        <w:tc>
          <w:tcPr>
            <w:tcW w:w="592" w:type="pct"/>
            <w:shd w:val="clear" w:color="auto" w:fill="auto"/>
            <w:noWrap/>
            <w:vAlign w:val="center"/>
          </w:tcPr>
          <w:p>
            <w:pPr>
              <w:pStyle w:val="136"/>
            </w:pPr>
          </w:p>
        </w:tc>
        <w:tc>
          <w:tcPr>
            <w:tcW w:w="592" w:type="pct"/>
            <w:shd w:val="clear" w:color="auto" w:fill="auto"/>
            <w:noWrap/>
            <w:vAlign w:val="center"/>
          </w:tcPr>
          <w:p>
            <w:pPr>
              <w:pStyle w:val="136"/>
            </w:pPr>
            <w:r>
              <w:t>8.70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48" w:type="pct"/>
            <w:shd w:val="clear" w:color="auto" w:fill="auto"/>
            <w:noWrap/>
            <w:vAlign w:val="center"/>
          </w:tcPr>
          <w:p>
            <w:pPr>
              <w:pStyle w:val="136"/>
            </w:pPr>
            <w:r>
              <w:t>2</w:t>
            </w:r>
          </w:p>
        </w:tc>
        <w:tc>
          <w:tcPr>
            <w:tcW w:w="1101" w:type="pct"/>
            <w:shd w:val="clear" w:color="auto" w:fill="auto"/>
            <w:vAlign w:val="center"/>
          </w:tcPr>
          <w:p>
            <w:pPr>
              <w:pStyle w:val="136"/>
            </w:pPr>
            <w:r>
              <w:t>施工期环境空气监测</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5.40</w:t>
            </w:r>
          </w:p>
        </w:tc>
        <w:tc>
          <w:tcPr>
            <w:tcW w:w="592" w:type="pct"/>
            <w:shd w:val="clear" w:color="auto" w:fill="auto"/>
            <w:noWrap/>
            <w:vAlign w:val="center"/>
          </w:tcPr>
          <w:p>
            <w:pPr>
              <w:pStyle w:val="136"/>
            </w:pPr>
          </w:p>
        </w:tc>
        <w:tc>
          <w:tcPr>
            <w:tcW w:w="592" w:type="pct"/>
            <w:shd w:val="clear" w:color="auto" w:fill="auto"/>
            <w:noWrap/>
            <w:vAlign w:val="center"/>
          </w:tcPr>
          <w:p>
            <w:pPr>
              <w:pStyle w:val="136"/>
            </w:pPr>
            <w:r>
              <w:t>5.40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3</w:t>
            </w:r>
          </w:p>
        </w:tc>
        <w:tc>
          <w:tcPr>
            <w:tcW w:w="1101" w:type="pct"/>
            <w:shd w:val="clear" w:color="auto" w:fill="auto"/>
            <w:vAlign w:val="center"/>
          </w:tcPr>
          <w:p>
            <w:pPr>
              <w:pStyle w:val="136"/>
            </w:pPr>
            <w:r>
              <w:t>施工期声环境监测</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1.80</w:t>
            </w:r>
          </w:p>
        </w:tc>
        <w:tc>
          <w:tcPr>
            <w:tcW w:w="592" w:type="pct"/>
            <w:shd w:val="clear" w:color="auto" w:fill="auto"/>
            <w:noWrap/>
            <w:vAlign w:val="center"/>
          </w:tcPr>
          <w:p>
            <w:pPr>
              <w:pStyle w:val="136"/>
            </w:pPr>
          </w:p>
        </w:tc>
        <w:tc>
          <w:tcPr>
            <w:tcW w:w="592" w:type="pct"/>
            <w:shd w:val="clear" w:color="auto" w:fill="auto"/>
            <w:noWrap/>
            <w:vAlign w:val="center"/>
          </w:tcPr>
          <w:p>
            <w:pPr>
              <w:pStyle w:val="136"/>
            </w:pPr>
            <w:r>
              <w:t>1.80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4</w:t>
            </w:r>
          </w:p>
        </w:tc>
        <w:tc>
          <w:tcPr>
            <w:tcW w:w="1101" w:type="pct"/>
            <w:shd w:val="clear" w:color="auto" w:fill="auto"/>
            <w:vAlign w:val="center"/>
          </w:tcPr>
          <w:p>
            <w:pPr>
              <w:pStyle w:val="136"/>
            </w:pPr>
            <w:r>
              <w:t>陆生生态监测</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6.00</w:t>
            </w:r>
          </w:p>
        </w:tc>
        <w:tc>
          <w:tcPr>
            <w:tcW w:w="592" w:type="pct"/>
            <w:shd w:val="clear" w:color="auto" w:fill="auto"/>
            <w:noWrap/>
            <w:vAlign w:val="center"/>
          </w:tcPr>
          <w:p>
            <w:pPr>
              <w:pStyle w:val="136"/>
            </w:pPr>
          </w:p>
        </w:tc>
        <w:tc>
          <w:tcPr>
            <w:tcW w:w="592" w:type="pct"/>
            <w:shd w:val="clear" w:color="auto" w:fill="auto"/>
            <w:noWrap/>
            <w:vAlign w:val="center"/>
          </w:tcPr>
          <w:p>
            <w:pPr>
              <w:pStyle w:val="136"/>
            </w:pPr>
            <w:r>
              <w:t>6.00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5</w:t>
            </w:r>
          </w:p>
        </w:tc>
        <w:tc>
          <w:tcPr>
            <w:tcW w:w="1101" w:type="pct"/>
            <w:shd w:val="clear" w:color="auto" w:fill="auto"/>
            <w:vAlign w:val="center"/>
          </w:tcPr>
          <w:p>
            <w:pPr>
              <w:pStyle w:val="136"/>
            </w:pPr>
            <w:r>
              <w:t>土壤环境监测</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1.60</w:t>
            </w:r>
          </w:p>
        </w:tc>
        <w:tc>
          <w:tcPr>
            <w:tcW w:w="592" w:type="pct"/>
            <w:shd w:val="clear" w:color="auto" w:fill="auto"/>
            <w:noWrap/>
            <w:vAlign w:val="center"/>
          </w:tcPr>
          <w:p>
            <w:pPr>
              <w:pStyle w:val="136"/>
            </w:pPr>
          </w:p>
        </w:tc>
        <w:tc>
          <w:tcPr>
            <w:tcW w:w="592" w:type="pct"/>
            <w:shd w:val="clear" w:color="auto" w:fill="auto"/>
            <w:noWrap/>
            <w:vAlign w:val="center"/>
          </w:tcPr>
          <w:p>
            <w:pPr>
              <w:pStyle w:val="136"/>
            </w:pPr>
            <w:r>
              <w:t>1.60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9" w:type="pct"/>
            <w:gridSpan w:val="2"/>
            <w:shd w:val="clear" w:color="auto" w:fill="auto"/>
            <w:noWrap/>
            <w:vAlign w:val="center"/>
          </w:tcPr>
          <w:p>
            <w:pPr>
              <w:pStyle w:val="136"/>
            </w:pPr>
            <w:r>
              <w:t>第三部分仪器设备及安装</w:t>
            </w:r>
          </w:p>
        </w:tc>
        <w:tc>
          <w:tcPr>
            <w:tcW w:w="591" w:type="pct"/>
            <w:shd w:val="clear" w:color="auto" w:fill="auto"/>
            <w:noWrap/>
            <w:vAlign w:val="center"/>
          </w:tcPr>
          <w:p>
            <w:pPr>
              <w:pStyle w:val="136"/>
            </w:pPr>
          </w:p>
        </w:tc>
        <w:tc>
          <w:tcPr>
            <w:tcW w:w="592" w:type="pct"/>
            <w:shd w:val="clear" w:color="auto" w:fill="auto"/>
            <w:noWrap/>
            <w:vAlign w:val="center"/>
          </w:tcPr>
          <w:p>
            <w:pPr>
              <w:pStyle w:val="136"/>
            </w:pPr>
            <w:r>
              <w:t>137.06</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137.06</w:t>
            </w:r>
          </w:p>
        </w:tc>
        <w:tc>
          <w:tcPr>
            <w:tcW w:w="592" w:type="pct"/>
            <w:shd w:val="clear" w:color="auto" w:fill="auto"/>
            <w:noWrap/>
            <w:vAlign w:val="center"/>
          </w:tcPr>
          <w:p>
            <w:pPr>
              <w:pStyle w:val="136"/>
            </w:pPr>
            <w:r>
              <w:t>25.70%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8" w:type="pct"/>
            <w:shd w:val="clear" w:color="auto" w:fill="auto"/>
            <w:noWrap/>
            <w:vAlign w:val="center"/>
          </w:tcPr>
          <w:p>
            <w:pPr>
              <w:pStyle w:val="136"/>
            </w:pPr>
            <w:r>
              <w:t>1</w:t>
            </w:r>
          </w:p>
        </w:tc>
        <w:tc>
          <w:tcPr>
            <w:tcW w:w="1101" w:type="pct"/>
            <w:shd w:val="clear" w:color="auto" w:fill="auto"/>
            <w:vAlign w:val="center"/>
          </w:tcPr>
          <w:p>
            <w:pPr>
              <w:pStyle w:val="136"/>
            </w:pPr>
            <w:r>
              <w:t>生态流量监测</w:t>
            </w:r>
          </w:p>
        </w:tc>
        <w:tc>
          <w:tcPr>
            <w:tcW w:w="591" w:type="pct"/>
            <w:shd w:val="clear" w:color="auto" w:fill="auto"/>
            <w:noWrap/>
            <w:vAlign w:val="center"/>
          </w:tcPr>
          <w:p>
            <w:pPr>
              <w:pStyle w:val="136"/>
            </w:pPr>
          </w:p>
        </w:tc>
        <w:tc>
          <w:tcPr>
            <w:tcW w:w="592" w:type="pct"/>
            <w:shd w:val="clear" w:color="auto" w:fill="auto"/>
            <w:noWrap/>
            <w:vAlign w:val="center"/>
          </w:tcPr>
          <w:p>
            <w:pPr>
              <w:pStyle w:val="136"/>
            </w:pPr>
            <w:r>
              <w:t>10.00</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10.00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2</w:t>
            </w:r>
          </w:p>
        </w:tc>
        <w:tc>
          <w:tcPr>
            <w:tcW w:w="1101" w:type="pct"/>
            <w:shd w:val="clear" w:color="auto" w:fill="auto"/>
            <w:vAlign w:val="center"/>
          </w:tcPr>
          <w:p>
            <w:pPr>
              <w:pStyle w:val="136"/>
            </w:pPr>
            <w:r>
              <w:t>废（污）水处理</w:t>
            </w:r>
          </w:p>
        </w:tc>
        <w:tc>
          <w:tcPr>
            <w:tcW w:w="591" w:type="pct"/>
            <w:shd w:val="clear" w:color="auto" w:fill="auto"/>
            <w:noWrap/>
            <w:vAlign w:val="center"/>
          </w:tcPr>
          <w:p>
            <w:pPr>
              <w:pStyle w:val="136"/>
            </w:pPr>
          </w:p>
        </w:tc>
        <w:tc>
          <w:tcPr>
            <w:tcW w:w="592" w:type="pct"/>
            <w:shd w:val="clear" w:color="auto" w:fill="auto"/>
            <w:noWrap/>
            <w:vAlign w:val="center"/>
          </w:tcPr>
          <w:p>
            <w:pPr>
              <w:pStyle w:val="136"/>
            </w:pPr>
            <w:r>
              <w:t>79.20</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79.20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3</w:t>
            </w:r>
          </w:p>
        </w:tc>
        <w:tc>
          <w:tcPr>
            <w:tcW w:w="1101" w:type="pct"/>
            <w:shd w:val="clear" w:color="auto" w:fill="auto"/>
            <w:vAlign w:val="center"/>
          </w:tcPr>
          <w:p>
            <w:pPr>
              <w:pStyle w:val="136"/>
            </w:pPr>
            <w:r>
              <w:t>环境空气</w:t>
            </w:r>
          </w:p>
        </w:tc>
        <w:tc>
          <w:tcPr>
            <w:tcW w:w="591" w:type="pct"/>
            <w:shd w:val="clear" w:color="auto" w:fill="auto"/>
            <w:noWrap/>
            <w:vAlign w:val="center"/>
          </w:tcPr>
          <w:p>
            <w:pPr>
              <w:pStyle w:val="136"/>
            </w:pPr>
          </w:p>
        </w:tc>
        <w:tc>
          <w:tcPr>
            <w:tcW w:w="592" w:type="pct"/>
            <w:shd w:val="clear" w:color="auto" w:fill="auto"/>
            <w:noWrap/>
            <w:vAlign w:val="center"/>
          </w:tcPr>
          <w:p>
            <w:pPr>
              <w:pStyle w:val="136"/>
            </w:pPr>
            <w:r>
              <w:t>20.00</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20.00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4</w:t>
            </w:r>
          </w:p>
        </w:tc>
        <w:tc>
          <w:tcPr>
            <w:tcW w:w="1101" w:type="pct"/>
            <w:shd w:val="clear" w:color="auto" w:fill="auto"/>
            <w:vAlign w:val="center"/>
          </w:tcPr>
          <w:p>
            <w:pPr>
              <w:pStyle w:val="136"/>
            </w:pPr>
            <w:r>
              <w:t>固体废物</w:t>
            </w:r>
          </w:p>
        </w:tc>
        <w:tc>
          <w:tcPr>
            <w:tcW w:w="591" w:type="pct"/>
            <w:shd w:val="clear" w:color="auto" w:fill="auto"/>
            <w:noWrap/>
            <w:vAlign w:val="center"/>
          </w:tcPr>
          <w:p>
            <w:pPr>
              <w:pStyle w:val="136"/>
            </w:pPr>
          </w:p>
        </w:tc>
        <w:tc>
          <w:tcPr>
            <w:tcW w:w="592" w:type="pct"/>
            <w:shd w:val="clear" w:color="auto" w:fill="auto"/>
            <w:noWrap/>
            <w:vAlign w:val="center"/>
          </w:tcPr>
          <w:p>
            <w:pPr>
              <w:pStyle w:val="136"/>
            </w:pPr>
            <w:r>
              <w:t>27.86</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27.86</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9" w:type="pct"/>
            <w:gridSpan w:val="2"/>
            <w:shd w:val="clear" w:color="auto" w:fill="auto"/>
            <w:noWrap/>
            <w:vAlign w:val="center"/>
          </w:tcPr>
          <w:p>
            <w:pPr>
              <w:pStyle w:val="136"/>
            </w:pPr>
            <w:r>
              <w:t>第四部分环境保护临时措施</w:t>
            </w:r>
          </w:p>
        </w:tc>
        <w:tc>
          <w:tcPr>
            <w:tcW w:w="591" w:type="pct"/>
            <w:shd w:val="clear" w:color="auto" w:fill="auto"/>
            <w:noWrap/>
            <w:vAlign w:val="center"/>
          </w:tcPr>
          <w:p>
            <w:pPr>
              <w:pStyle w:val="136"/>
            </w:pPr>
            <w:r>
              <w:t>142.19</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142.19</w:t>
            </w:r>
          </w:p>
        </w:tc>
        <w:tc>
          <w:tcPr>
            <w:tcW w:w="592" w:type="pct"/>
            <w:shd w:val="clear" w:color="auto" w:fill="auto"/>
            <w:noWrap/>
            <w:vAlign w:val="center"/>
          </w:tcPr>
          <w:p>
            <w:pPr>
              <w:pStyle w:val="136"/>
            </w:pPr>
            <w:r>
              <w:t>26.66%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8" w:type="pct"/>
            <w:shd w:val="clear" w:color="auto" w:fill="auto"/>
            <w:noWrap/>
            <w:vAlign w:val="center"/>
          </w:tcPr>
          <w:p>
            <w:pPr>
              <w:pStyle w:val="136"/>
            </w:pPr>
            <w:r>
              <w:t>1</w:t>
            </w:r>
          </w:p>
        </w:tc>
        <w:tc>
          <w:tcPr>
            <w:tcW w:w="1101" w:type="pct"/>
            <w:shd w:val="clear" w:color="auto" w:fill="auto"/>
            <w:vAlign w:val="center"/>
          </w:tcPr>
          <w:p>
            <w:pPr>
              <w:pStyle w:val="136"/>
            </w:pPr>
            <w:r>
              <w:t>废（污）水处理</w:t>
            </w:r>
          </w:p>
        </w:tc>
        <w:tc>
          <w:tcPr>
            <w:tcW w:w="591" w:type="pct"/>
            <w:shd w:val="clear" w:color="auto" w:fill="auto"/>
            <w:noWrap/>
            <w:vAlign w:val="center"/>
          </w:tcPr>
          <w:p>
            <w:pPr>
              <w:pStyle w:val="136"/>
            </w:pPr>
            <w:r>
              <w:t>133.60</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133.60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2</w:t>
            </w:r>
          </w:p>
        </w:tc>
        <w:tc>
          <w:tcPr>
            <w:tcW w:w="1101" w:type="pct"/>
            <w:shd w:val="clear" w:color="auto" w:fill="auto"/>
            <w:vAlign w:val="center"/>
          </w:tcPr>
          <w:p>
            <w:pPr>
              <w:pStyle w:val="136"/>
            </w:pPr>
            <w:r>
              <w:t>空气环境质量防治</w:t>
            </w:r>
          </w:p>
        </w:tc>
        <w:tc>
          <w:tcPr>
            <w:tcW w:w="591" w:type="pct"/>
            <w:shd w:val="clear" w:color="auto" w:fill="auto"/>
            <w:noWrap/>
            <w:vAlign w:val="center"/>
          </w:tcPr>
          <w:p>
            <w:pPr>
              <w:pStyle w:val="136"/>
            </w:pPr>
            <w:r>
              <w:t>1.95</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1.95</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3</w:t>
            </w:r>
          </w:p>
        </w:tc>
        <w:tc>
          <w:tcPr>
            <w:tcW w:w="1101" w:type="pct"/>
            <w:shd w:val="clear" w:color="auto" w:fill="auto"/>
            <w:vAlign w:val="center"/>
          </w:tcPr>
          <w:p>
            <w:pPr>
              <w:pStyle w:val="136"/>
            </w:pPr>
            <w:r>
              <w:t>噪声防治</w:t>
            </w:r>
          </w:p>
        </w:tc>
        <w:tc>
          <w:tcPr>
            <w:tcW w:w="591" w:type="pct"/>
            <w:shd w:val="clear" w:color="auto" w:fill="auto"/>
            <w:noWrap/>
            <w:vAlign w:val="center"/>
          </w:tcPr>
          <w:p>
            <w:pPr>
              <w:pStyle w:val="136"/>
            </w:pPr>
            <w:r>
              <w:t>3.25</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3.25</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48" w:type="pct"/>
            <w:shd w:val="clear" w:color="auto" w:fill="auto"/>
            <w:noWrap/>
            <w:vAlign w:val="center"/>
          </w:tcPr>
          <w:p>
            <w:pPr>
              <w:pStyle w:val="136"/>
            </w:pPr>
            <w:r>
              <w:t>4</w:t>
            </w:r>
          </w:p>
        </w:tc>
        <w:tc>
          <w:tcPr>
            <w:tcW w:w="1101" w:type="pct"/>
            <w:shd w:val="clear" w:color="auto" w:fill="auto"/>
            <w:vAlign w:val="center"/>
          </w:tcPr>
          <w:p>
            <w:pPr>
              <w:pStyle w:val="136"/>
            </w:pPr>
            <w:r>
              <w:t>生活垃圾处理及厕所建设</w:t>
            </w:r>
          </w:p>
        </w:tc>
        <w:tc>
          <w:tcPr>
            <w:tcW w:w="591" w:type="pct"/>
            <w:shd w:val="clear" w:color="auto" w:fill="auto"/>
            <w:noWrap/>
            <w:vAlign w:val="center"/>
          </w:tcPr>
          <w:p>
            <w:pPr>
              <w:pStyle w:val="136"/>
            </w:pPr>
            <w:r>
              <w:t>2.79</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2.79</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5</w:t>
            </w:r>
          </w:p>
        </w:tc>
        <w:tc>
          <w:tcPr>
            <w:tcW w:w="1101" w:type="pct"/>
            <w:shd w:val="clear" w:color="auto" w:fill="auto"/>
            <w:vAlign w:val="center"/>
          </w:tcPr>
          <w:p>
            <w:pPr>
              <w:pStyle w:val="136"/>
            </w:pPr>
            <w:r>
              <w:t>人群健康保护</w:t>
            </w:r>
          </w:p>
        </w:tc>
        <w:tc>
          <w:tcPr>
            <w:tcW w:w="591" w:type="pct"/>
            <w:shd w:val="clear" w:color="auto" w:fill="auto"/>
            <w:noWrap/>
            <w:vAlign w:val="center"/>
          </w:tcPr>
          <w:p>
            <w:pPr>
              <w:pStyle w:val="136"/>
            </w:pPr>
            <w:r>
              <w:t>0.60</w:t>
            </w: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0.60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9" w:type="pct"/>
            <w:gridSpan w:val="2"/>
            <w:shd w:val="clear" w:color="auto" w:fill="auto"/>
            <w:noWrap/>
            <w:vAlign w:val="center"/>
          </w:tcPr>
          <w:p>
            <w:pPr>
              <w:pStyle w:val="136"/>
            </w:pPr>
            <w:r>
              <w:t>第五部分独立费用</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177.31</w:t>
            </w:r>
          </w:p>
        </w:tc>
        <w:tc>
          <w:tcPr>
            <w:tcW w:w="592" w:type="pct"/>
            <w:shd w:val="clear" w:color="auto" w:fill="auto"/>
            <w:noWrap/>
            <w:vAlign w:val="center"/>
          </w:tcPr>
          <w:p>
            <w:pPr>
              <w:pStyle w:val="136"/>
            </w:pPr>
            <w:r>
              <w:t>177.31</w:t>
            </w:r>
          </w:p>
        </w:tc>
        <w:tc>
          <w:tcPr>
            <w:tcW w:w="592" w:type="pct"/>
            <w:shd w:val="clear" w:color="auto" w:fill="auto"/>
            <w:noWrap/>
            <w:vAlign w:val="center"/>
          </w:tcPr>
          <w:p>
            <w:pPr>
              <w:pStyle w:val="136"/>
            </w:pPr>
            <w:r>
              <w:t>37.61%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 w:type="pct"/>
            <w:shd w:val="clear" w:color="auto" w:fill="auto"/>
            <w:noWrap/>
            <w:vAlign w:val="center"/>
          </w:tcPr>
          <w:p>
            <w:pPr>
              <w:pStyle w:val="136"/>
            </w:pPr>
            <w:r>
              <w:t>1</w:t>
            </w:r>
          </w:p>
        </w:tc>
        <w:tc>
          <w:tcPr>
            <w:tcW w:w="1101" w:type="pct"/>
            <w:shd w:val="clear" w:color="auto" w:fill="auto"/>
            <w:vAlign w:val="center"/>
          </w:tcPr>
          <w:p>
            <w:pPr>
              <w:pStyle w:val="136"/>
            </w:pPr>
            <w:r>
              <w:t>建设管理费</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13.31</w:t>
            </w:r>
          </w:p>
        </w:tc>
        <w:tc>
          <w:tcPr>
            <w:tcW w:w="592" w:type="pct"/>
            <w:shd w:val="clear" w:color="auto" w:fill="auto"/>
            <w:noWrap/>
            <w:vAlign w:val="center"/>
          </w:tcPr>
          <w:p>
            <w:pPr>
              <w:pStyle w:val="136"/>
            </w:pPr>
            <w:r>
              <w:t>13.31</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8" w:type="pct"/>
            <w:shd w:val="clear" w:color="auto" w:fill="auto"/>
            <w:noWrap/>
            <w:vAlign w:val="center"/>
          </w:tcPr>
          <w:p>
            <w:pPr>
              <w:pStyle w:val="136"/>
            </w:pPr>
            <w:r>
              <w:t>2</w:t>
            </w:r>
          </w:p>
        </w:tc>
        <w:tc>
          <w:tcPr>
            <w:tcW w:w="1101" w:type="pct"/>
            <w:shd w:val="clear" w:color="auto" w:fill="auto"/>
            <w:vAlign w:val="center"/>
          </w:tcPr>
          <w:p>
            <w:pPr>
              <w:pStyle w:val="136"/>
            </w:pPr>
            <w:r>
              <w:t>环境监理费</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24.00</w:t>
            </w:r>
          </w:p>
        </w:tc>
        <w:tc>
          <w:tcPr>
            <w:tcW w:w="592" w:type="pct"/>
            <w:shd w:val="clear" w:color="auto" w:fill="auto"/>
            <w:noWrap/>
            <w:vAlign w:val="center"/>
          </w:tcPr>
          <w:p>
            <w:pPr>
              <w:pStyle w:val="136"/>
            </w:pPr>
            <w:r>
              <w:t>24.00</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48" w:type="pct"/>
            <w:shd w:val="clear" w:color="auto" w:fill="auto"/>
            <w:noWrap/>
            <w:vAlign w:val="center"/>
          </w:tcPr>
          <w:p>
            <w:pPr>
              <w:pStyle w:val="136"/>
            </w:pPr>
            <w:r>
              <w:t>3</w:t>
            </w:r>
          </w:p>
        </w:tc>
        <w:tc>
          <w:tcPr>
            <w:tcW w:w="1101" w:type="pct"/>
            <w:shd w:val="clear" w:color="auto" w:fill="auto"/>
            <w:vAlign w:val="center"/>
          </w:tcPr>
          <w:p>
            <w:pPr>
              <w:pStyle w:val="136"/>
            </w:pPr>
            <w:r>
              <w:t>环境保护科研勘测设计咨询费</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163.27</w:t>
            </w:r>
          </w:p>
        </w:tc>
        <w:tc>
          <w:tcPr>
            <w:tcW w:w="592" w:type="pct"/>
            <w:shd w:val="clear" w:color="auto" w:fill="auto"/>
            <w:noWrap/>
            <w:vAlign w:val="center"/>
          </w:tcPr>
          <w:p>
            <w:pPr>
              <w:pStyle w:val="136"/>
            </w:pPr>
            <w:r>
              <w:t>163.27</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9" w:type="pct"/>
            <w:gridSpan w:val="2"/>
            <w:shd w:val="clear" w:color="auto" w:fill="auto"/>
            <w:noWrap/>
            <w:vAlign w:val="center"/>
          </w:tcPr>
          <w:p>
            <w:pPr>
              <w:pStyle w:val="136"/>
            </w:pPr>
            <w:r>
              <w:t>一至五部分之和</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533.33</w:t>
            </w:r>
          </w:p>
        </w:tc>
        <w:tc>
          <w:tcPr>
            <w:tcW w:w="592" w:type="pct"/>
            <w:shd w:val="clear" w:color="auto" w:fill="auto"/>
            <w:noWrap/>
            <w:vAlign w:val="center"/>
          </w:tcPr>
          <w:p>
            <w:pPr>
              <w:pStyle w:val="136"/>
            </w:pPr>
            <w: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9" w:type="pct"/>
            <w:gridSpan w:val="2"/>
            <w:shd w:val="clear" w:color="auto" w:fill="auto"/>
            <w:noWrap/>
            <w:vAlign w:val="center"/>
          </w:tcPr>
          <w:p>
            <w:pPr>
              <w:pStyle w:val="136"/>
            </w:pPr>
            <w:r>
              <w:t>基本预备费</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53.33</w:t>
            </w:r>
          </w:p>
        </w:tc>
        <w:tc>
          <w:tcPr>
            <w:tcW w:w="592" w:type="pct"/>
            <w:shd w:val="clear" w:color="auto" w:fill="auto"/>
            <w:noWrap/>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49" w:type="pct"/>
            <w:gridSpan w:val="2"/>
            <w:shd w:val="clear" w:color="auto" w:fill="auto"/>
            <w:noWrap/>
            <w:vAlign w:val="center"/>
          </w:tcPr>
          <w:p>
            <w:pPr>
              <w:pStyle w:val="136"/>
            </w:pPr>
            <w:r>
              <w:t>环境保护总投资</w:t>
            </w:r>
          </w:p>
        </w:tc>
        <w:tc>
          <w:tcPr>
            <w:tcW w:w="591"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p>
        </w:tc>
        <w:tc>
          <w:tcPr>
            <w:tcW w:w="592" w:type="pct"/>
            <w:shd w:val="clear" w:color="auto" w:fill="auto"/>
            <w:noWrap/>
            <w:vAlign w:val="center"/>
          </w:tcPr>
          <w:p>
            <w:pPr>
              <w:pStyle w:val="136"/>
            </w:pPr>
            <w:r>
              <w:t>586.67</w:t>
            </w:r>
          </w:p>
        </w:tc>
        <w:tc>
          <w:tcPr>
            <w:tcW w:w="592" w:type="pct"/>
            <w:shd w:val="clear" w:color="auto" w:fill="auto"/>
            <w:noWrap/>
            <w:vAlign w:val="center"/>
          </w:tcPr>
          <w:p>
            <w:pPr>
              <w:pStyle w:val="136"/>
            </w:pPr>
          </w:p>
        </w:tc>
      </w:tr>
    </w:tbl>
    <w:p>
      <w:pPr>
        <w:ind w:firstLine="480"/>
        <w:rPr>
          <w:rFonts w:cs="Times New Roman"/>
        </w:rPr>
      </w:pPr>
    </w:p>
    <w:p>
      <w:pPr>
        <w:pStyle w:val="137"/>
        <w:spacing w:before="62"/>
      </w:pPr>
      <w:r>
        <w:t>表8.1-5                  工程环境保护分部估算表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835"/>
        <w:gridCol w:w="1306"/>
        <w:gridCol w:w="1010"/>
        <w:gridCol w:w="1207"/>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704" w:type="dxa"/>
            <w:shd w:val="clear" w:color="auto" w:fill="auto"/>
            <w:vAlign w:val="center"/>
          </w:tcPr>
          <w:p>
            <w:pPr>
              <w:pStyle w:val="136"/>
            </w:pPr>
            <w:r>
              <w:t>序号</w:t>
            </w:r>
          </w:p>
        </w:tc>
        <w:tc>
          <w:tcPr>
            <w:tcW w:w="2835" w:type="dxa"/>
            <w:shd w:val="clear" w:color="auto" w:fill="auto"/>
            <w:vAlign w:val="center"/>
          </w:tcPr>
          <w:p>
            <w:pPr>
              <w:pStyle w:val="136"/>
            </w:pPr>
            <w:r>
              <w:t>工程费用或名称</w:t>
            </w:r>
          </w:p>
        </w:tc>
        <w:tc>
          <w:tcPr>
            <w:tcW w:w="1262" w:type="dxa"/>
            <w:shd w:val="clear" w:color="auto" w:fill="auto"/>
            <w:vAlign w:val="center"/>
          </w:tcPr>
          <w:p>
            <w:pPr>
              <w:pStyle w:val="136"/>
            </w:pPr>
            <w:r>
              <w:t>单位</w:t>
            </w:r>
          </w:p>
        </w:tc>
        <w:tc>
          <w:tcPr>
            <w:tcW w:w="0" w:type="auto"/>
            <w:shd w:val="clear" w:color="auto" w:fill="auto"/>
            <w:vAlign w:val="center"/>
          </w:tcPr>
          <w:p>
            <w:pPr>
              <w:pStyle w:val="136"/>
            </w:pPr>
            <w:r>
              <w:t>数量</w:t>
            </w:r>
          </w:p>
        </w:tc>
        <w:tc>
          <w:tcPr>
            <w:tcW w:w="0" w:type="auto"/>
            <w:shd w:val="clear" w:color="auto" w:fill="auto"/>
            <w:vAlign w:val="center"/>
          </w:tcPr>
          <w:p>
            <w:pPr>
              <w:pStyle w:val="136"/>
            </w:pPr>
            <w:r>
              <w:t>单价（元）</w:t>
            </w:r>
          </w:p>
        </w:tc>
        <w:tc>
          <w:tcPr>
            <w:tcW w:w="0" w:type="auto"/>
            <w:shd w:val="clear" w:color="auto" w:fill="auto"/>
            <w:vAlign w:val="center"/>
          </w:tcPr>
          <w:p>
            <w:pPr>
              <w:pStyle w:val="136"/>
            </w:pPr>
            <w:r>
              <w:t>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2"/>
            <w:shd w:val="clear" w:color="auto" w:fill="auto"/>
            <w:vAlign w:val="center"/>
          </w:tcPr>
          <w:p>
            <w:pPr>
              <w:pStyle w:val="136"/>
            </w:pPr>
            <w:r>
              <w:t>第一部分  环境保护措施</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rPr>
                <w:bCs/>
              </w:rPr>
            </w:pPr>
            <w:r>
              <w:rPr>
                <w:bC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1</w:t>
            </w:r>
          </w:p>
        </w:tc>
        <w:tc>
          <w:tcPr>
            <w:tcW w:w="2835" w:type="dxa"/>
            <w:shd w:val="clear" w:color="auto" w:fill="auto"/>
            <w:vAlign w:val="center"/>
          </w:tcPr>
          <w:p>
            <w:pPr>
              <w:pStyle w:val="136"/>
            </w:pPr>
            <w:r>
              <w:t>植物保护措施</w:t>
            </w:r>
          </w:p>
        </w:tc>
        <w:tc>
          <w:tcPr>
            <w:tcW w:w="1262" w:type="dxa"/>
            <w:shd w:val="clear" w:color="auto" w:fill="auto"/>
            <w:noWrap/>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植物移植</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保护植物采集种源及恢复</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2"/>
            <w:shd w:val="clear" w:color="auto" w:fill="auto"/>
            <w:vAlign w:val="center"/>
          </w:tcPr>
          <w:p>
            <w:pPr>
              <w:pStyle w:val="136"/>
            </w:pPr>
            <w:r>
              <w:t>第二部分  环境监测措施</w:t>
            </w:r>
          </w:p>
        </w:tc>
        <w:tc>
          <w:tcPr>
            <w:tcW w:w="1262" w:type="dxa"/>
            <w:shd w:val="clear" w:color="auto" w:fill="auto"/>
            <w:noWrap/>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rPr>
                <w:bCs/>
              </w:rPr>
            </w:pPr>
            <w:r>
              <w:rPr>
                <w:bCs/>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1</w:t>
            </w:r>
          </w:p>
        </w:tc>
        <w:tc>
          <w:tcPr>
            <w:tcW w:w="2835" w:type="dxa"/>
            <w:shd w:val="clear" w:color="auto" w:fill="auto"/>
            <w:vAlign w:val="center"/>
          </w:tcPr>
          <w:p>
            <w:pPr>
              <w:pStyle w:val="136"/>
            </w:pPr>
            <w:r>
              <w:t>水环境监测</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（1）施工期河流水质监测</w:t>
            </w:r>
          </w:p>
        </w:tc>
        <w:tc>
          <w:tcPr>
            <w:tcW w:w="1262" w:type="dxa"/>
            <w:shd w:val="clear" w:color="auto" w:fill="auto"/>
            <w:vAlign w:val="center"/>
          </w:tcPr>
          <w:p>
            <w:pPr>
              <w:pStyle w:val="136"/>
            </w:pPr>
            <w:r>
              <w:t>个</w:t>
            </w:r>
          </w:p>
        </w:tc>
        <w:tc>
          <w:tcPr>
            <w:tcW w:w="0" w:type="auto"/>
            <w:shd w:val="clear" w:color="auto" w:fill="auto"/>
            <w:vAlign w:val="center"/>
          </w:tcPr>
          <w:p>
            <w:pPr>
              <w:pStyle w:val="136"/>
            </w:pPr>
            <w:r>
              <w:t>6</w:t>
            </w:r>
          </w:p>
        </w:tc>
        <w:tc>
          <w:tcPr>
            <w:tcW w:w="0" w:type="auto"/>
            <w:shd w:val="clear" w:color="auto" w:fill="auto"/>
            <w:vAlign w:val="center"/>
          </w:tcPr>
          <w:p>
            <w:pPr>
              <w:pStyle w:val="136"/>
            </w:pPr>
            <w:r>
              <w:t>2500</w:t>
            </w:r>
          </w:p>
        </w:tc>
        <w:tc>
          <w:tcPr>
            <w:tcW w:w="0" w:type="auto"/>
            <w:shd w:val="clear" w:color="auto" w:fill="auto"/>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t>（2）施工期生活污水监测</w:t>
            </w:r>
          </w:p>
        </w:tc>
        <w:tc>
          <w:tcPr>
            <w:tcW w:w="1262" w:type="dxa"/>
            <w:shd w:val="clear" w:color="auto" w:fill="auto"/>
            <w:noWrap/>
            <w:vAlign w:val="center"/>
          </w:tcPr>
          <w:p>
            <w:pPr>
              <w:pStyle w:val="136"/>
            </w:pPr>
            <w:r>
              <w:t>个</w:t>
            </w:r>
          </w:p>
        </w:tc>
        <w:tc>
          <w:tcPr>
            <w:tcW w:w="0" w:type="auto"/>
            <w:shd w:val="clear" w:color="auto" w:fill="auto"/>
            <w:vAlign w:val="center"/>
          </w:tcPr>
          <w:p>
            <w:pPr>
              <w:pStyle w:val="136"/>
            </w:pPr>
            <w:r>
              <w:t>12</w:t>
            </w:r>
          </w:p>
        </w:tc>
        <w:tc>
          <w:tcPr>
            <w:tcW w:w="0" w:type="auto"/>
            <w:shd w:val="clear" w:color="auto" w:fill="auto"/>
            <w:vAlign w:val="center"/>
          </w:tcPr>
          <w:p>
            <w:pPr>
              <w:pStyle w:val="136"/>
            </w:pPr>
            <w:r>
              <w:t>2000</w:t>
            </w:r>
          </w:p>
        </w:tc>
        <w:tc>
          <w:tcPr>
            <w:tcW w:w="0" w:type="auto"/>
            <w:shd w:val="clear" w:color="auto" w:fill="auto"/>
            <w:vAlign w:val="center"/>
          </w:tcPr>
          <w:p>
            <w:pPr>
              <w:pStyle w:val="136"/>
            </w:pP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t>（3）施工期生产废水监测</w:t>
            </w:r>
          </w:p>
        </w:tc>
        <w:tc>
          <w:tcPr>
            <w:tcW w:w="1262" w:type="dxa"/>
            <w:shd w:val="clear" w:color="auto" w:fill="auto"/>
            <w:noWrap/>
            <w:vAlign w:val="center"/>
          </w:tcPr>
          <w:p>
            <w:pPr>
              <w:pStyle w:val="136"/>
            </w:pPr>
            <w:r>
              <w:t>个</w:t>
            </w:r>
          </w:p>
        </w:tc>
        <w:tc>
          <w:tcPr>
            <w:tcW w:w="0" w:type="auto"/>
            <w:shd w:val="clear" w:color="auto" w:fill="auto"/>
            <w:vAlign w:val="center"/>
          </w:tcPr>
          <w:p>
            <w:pPr>
              <w:pStyle w:val="136"/>
            </w:pPr>
            <w:r>
              <w:t>48</w:t>
            </w:r>
          </w:p>
        </w:tc>
        <w:tc>
          <w:tcPr>
            <w:tcW w:w="0" w:type="auto"/>
            <w:shd w:val="clear" w:color="auto" w:fill="auto"/>
            <w:vAlign w:val="center"/>
          </w:tcPr>
          <w:p>
            <w:pPr>
              <w:pStyle w:val="136"/>
            </w:pPr>
            <w:r>
              <w:t>1000</w:t>
            </w:r>
          </w:p>
        </w:tc>
        <w:tc>
          <w:tcPr>
            <w:tcW w:w="0" w:type="auto"/>
            <w:shd w:val="clear" w:color="auto" w:fill="auto"/>
            <w:vAlign w:val="center"/>
          </w:tcPr>
          <w:p>
            <w:pPr>
              <w:pStyle w:val="136"/>
            </w:pPr>
            <w: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2</w:t>
            </w:r>
          </w:p>
        </w:tc>
        <w:tc>
          <w:tcPr>
            <w:tcW w:w="2835" w:type="dxa"/>
            <w:shd w:val="clear" w:color="auto" w:fill="auto"/>
            <w:noWrap/>
            <w:vAlign w:val="center"/>
          </w:tcPr>
          <w:p>
            <w:pPr>
              <w:pStyle w:val="136"/>
            </w:pPr>
            <w:r>
              <w:t>施工期环境空气监测</w:t>
            </w:r>
          </w:p>
        </w:tc>
        <w:tc>
          <w:tcPr>
            <w:tcW w:w="1262" w:type="dxa"/>
            <w:shd w:val="clear" w:color="auto" w:fill="auto"/>
            <w:noWrap/>
            <w:vAlign w:val="center"/>
          </w:tcPr>
          <w:p>
            <w:pPr>
              <w:pStyle w:val="136"/>
            </w:pPr>
            <w:r>
              <w:t>个</w:t>
            </w:r>
          </w:p>
        </w:tc>
        <w:tc>
          <w:tcPr>
            <w:tcW w:w="0" w:type="auto"/>
            <w:shd w:val="clear" w:color="auto" w:fill="auto"/>
            <w:vAlign w:val="center"/>
          </w:tcPr>
          <w:p>
            <w:pPr>
              <w:pStyle w:val="136"/>
            </w:pPr>
            <w:r>
              <w:t>27</w:t>
            </w:r>
          </w:p>
        </w:tc>
        <w:tc>
          <w:tcPr>
            <w:tcW w:w="0" w:type="auto"/>
            <w:shd w:val="clear" w:color="auto" w:fill="auto"/>
            <w:vAlign w:val="center"/>
          </w:tcPr>
          <w:p>
            <w:pPr>
              <w:pStyle w:val="136"/>
            </w:pPr>
            <w:r>
              <w:t>2000</w:t>
            </w:r>
          </w:p>
        </w:tc>
        <w:tc>
          <w:tcPr>
            <w:tcW w:w="0" w:type="auto"/>
            <w:shd w:val="clear" w:color="auto" w:fill="auto"/>
            <w:vAlign w:val="center"/>
          </w:tcPr>
          <w:p>
            <w:pPr>
              <w:pStyle w:val="136"/>
            </w:pPr>
            <w: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3</w:t>
            </w:r>
          </w:p>
        </w:tc>
        <w:tc>
          <w:tcPr>
            <w:tcW w:w="2835" w:type="dxa"/>
            <w:shd w:val="clear" w:color="auto" w:fill="auto"/>
            <w:noWrap/>
            <w:vAlign w:val="center"/>
          </w:tcPr>
          <w:p>
            <w:pPr>
              <w:pStyle w:val="136"/>
            </w:pPr>
            <w:r>
              <w:t>施工期声环境监测</w:t>
            </w:r>
          </w:p>
        </w:tc>
        <w:tc>
          <w:tcPr>
            <w:tcW w:w="1262" w:type="dxa"/>
            <w:shd w:val="clear" w:color="auto" w:fill="auto"/>
            <w:noWrap/>
            <w:vAlign w:val="center"/>
          </w:tcPr>
          <w:p>
            <w:pPr>
              <w:pStyle w:val="136"/>
            </w:pPr>
            <w:r>
              <w:t>个</w:t>
            </w:r>
          </w:p>
        </w:tc>
        <w:tc>
          <w:tcPr>
            <w:tcW w:w="0" w:type="auto"/>
            <w:shd w:val="clear" w:color="auto" w:fill="auto"/>
            <w:vAlign w:val="center"/>
          </w:tcPr>
          <w:p>
            <w:pPr>
              <w:pStyle w:val="136"/>
            </w:pPr>
            <w:r>
              <w:t>9</w:t>
            </w:r>
          </w:p>
        </w:tc>
        <w:tc>
          <w:tcPr>
            <w:tcW w:w="0" w:type="auto"/>
            <w:shd w:val="clear" w:color="auto" w:fill="auto"/>
            <w:vAlign w:val="center"/>
          </w:tcPr>
          <w:p>
            <w:pPr>
              <w:pStyle w:val="136"/>
            </w:pPr>
            <w:r>
              <w:t>2000</w:t>
            </w:r>
          </w:p>
        </w:tc>
        <w:tc>
          <w:tcPr>
            <w:tcW w:w="0" w:type="auto"/>
            <w:shd w:val="clear" w:color="auto" w:fill="auto"/>
            <w:vAlign w:val="center"/>
          </w:tcPr>
          <w:p>
            <w:pPr>
              <w:pStyle w:val="136"/>
            </w:pPr>
            <w: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4</w:t>
            </w:r>
          </w:p>
        </w:tc>
        <w:tc>
          <w:tcPr>
            <w:tcW w:w="2835" w:type="dxa"/>
            <w:shd w:val="clear" w:color="auto" w:fill="auto"/>
            <w:noWrap/>
            <w:vAlign w:val="center"/>
          </w:tcPr>
          <w:p>
            <w:pPr>
              <w:pStyle w:val="136"/>
            </w:pPr>
            <w:r>
              <w:t>陆生生态监测</w:t>
            </w:r>
          </w:p>
        </w:tc>
        <w:tc>
          <w:tcPr>
            <w:tcW w:w="1262" w:type="dxa"/>
            <w:shd w:val="clear" w:color="auto" w:fill="auto"/>
            <w:noWrap/>
            <w:vAlign w:val="center"/>
          </w:tcPr>
          <w:p>
            <w:pPr>
              <w:pStyle w:val="136"/>
            </w:pPr>
            <w:r>
              <w:t>年</w:t>
            </w: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（1）陆生植物遥感监测</w:t>
            </w:r>
          </w:p>
        </w:tc>
        <w:tc>
          <w:tcPr>
            <w:tcW w:w="1262" w:type="dxa"/>
            <w:shd w:val="clear" w:color="auto" w:fill="auto"/>
            <w:noWrap/>
            <w:vAlign w:val="center"/>
          </w:tcPr>
          <w:p>
            <w:pPr>
              <w:pStyle w:val="136"/>
            </w:pPr>
            <w:r>
              <w:t>次</w:t>
            </w:r>
          </w:p>
        </w:tc>
        <w:tc>
          <w:tcPr>
            <w:tcW w:w="0" w:type="auto"/>
            <w:shd w:val="clear" w:color="auto" w:fill="auto"/>
            <w:vAlign w:val="center"/>
          </w:tcPr>
          <w:p>
            <w:pPr>
              <w:pStyle w:val="136"/>
            </w:pPr>
            <w:r>
              <w:t>2</w:t>
            </w:r>
          </w:p>
        </w:tc>
        <w:tc>
          <w:tcPr>
            <w:tcW w:w="0" w:type="auto"/>
            <w:shd w:val="clear" w:color="auto" w:fill="auto"/>
            <w:vAlign w:val="center"/>
          </w:tcPr>
          <w:p>
            <w:pPr>
              <w:pStyle w:val="136"/>
            </w:pPr>
            <w:r>
              <w:t>30000</w:t>
            </w:r>
          </w:p>
        </w:tc>
        <w:tc>
          <w:tcPr>
            <w:tcW w:w="0" w:type="auto"/>
            <w:shd w:val="clear" w:color="auto" w:fill="auto"/>
            <w:vAlign w:val="center"/>
          </w:tcPr>
          <w:p>
            <w:pPr>
              <w:pStyle w:val="136"/>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5</w:t>
            </w:r>
          </w:p>
        </w:tc>
        <w:tc>
          <w:tcPr>
            <w:tcW w:w="2835" w:type="dxa"/>
            <w:shd w:val="clear" w:color="auto" w:fill="auto"/>
            <w:vAlign w:val="center"/>
          </w:tcPr>
          <w:p>
            <w:pPr>
              <w:pStyle w:val="136"/>
            </w:pPr>
            <w:r>
              <w:t>土壤环境监测</w:t>
            </w:r>
          </w:p>
        </w:tc>
        <w:tc>
          <w:tcPr>
            <w:tcW w:w="1262" w:type="dxa"/>
            <w:shd w:val="clear" w:color="auto" w:fill="auto"/>
            <w:vAlign w:val="center"/>
          </w:tcPr>
          <w:p>
            <w:pPr>
              <w:pStyle w:val="136"/>
            </w:pPr>
            <w:r>
              <w:t>年</w:t>
            </w:r>
          </w:p>
        </w:tc>
        <w:tc>
          <w:tcPr>
            <w:tcW w:w="0" w:type="auto"/>
            <w:shd w:val="clear" w:color="auto" w:fill="auto"/>
            <w:vAlign w:val="center"/>
          </w:tcPr>
          <w:p>
            <w:pPr>
              <w:pStyle w:val="136"/>
            </w:pPr>
            <w:r>
              <w:t>2</w:t>
            </w:r>
          </w:p>
        </w:tc>
        <w:tc>
          <w:tcPr>
            <w:tcW w:w="0" w:type="auto"/>
            <w:shd w:val="clear" w:color="auto" w:fill="auto"/>
            <w:vAlign w:val="center"/>
          </w:tcPr>
          <w:p>
            <w:pPr>
              <w:pStyle w:val="136"/>
            </w:pPr>
            <w:r>
              <w:t>8000</w:t>
            </w:r>
          </w:p>
        </w:tc>
        <w:tc>
          <w:tcPr>
            <w:tcW w:w="0" w:type="auto"/>
            <w:shd w:val="clear" w:color="auto" w:fill="auto"/>
            <w:vAlign w:val="center"/>
          </w:tcPr>
          <w:p>
            <w:pPr>
              <w:pStyle w:val="136"/>
            </w:pP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2"/>
            <w:shd w:val="clear" w:color="auto" w:fill="auto"/>
            <w:vAlign w:val="center"/>
          </w:tcPr>
          <w:p>
            <w:pPr>
              <w:pStyle w:val="136"/>
            </w:pPr>
            <w:r>
              <w:t>第三部分  仪器设备及安装</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rPr>
                <w:bCs/>
              </w:rPr>
            </w:pPr>
            <w:r>
              <w:rPr>
                <w:bCs/>
              </w:rPr>
              <w:t>137.06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1</w:t>
            </w:r>
          </w:p>
        </w:tc>
        <w:tc>
          <w:tcPr>
            <w:tcW w:w="2835" w:type="dxa"/>
            <w:shd w:val="clear" w:color="auto" w:fill="auto"/>
            <w:vAlign w:val="center"/>
          </w:tcPr>
          <w:p>
            <w:pPr>
              <w:pStyle w:val="136"/>
            </w:pPr>
            <w:r>
              <w:t>生态流量监测及水温监测</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自动流量计</w:t>
            </w:r>
          </w:p>
        </w:tc>
        <w:tc>
          <w:tcPr>
            <w:tcW w:w="1262" w:type="dxa"/>
            <w:shd w:val="clear" w:color="auto" w:fill="auto"/>
            <w:vAlign w:val="center"/>
          </w:tcPr>
          <w:p>
            <w:pPr>
              <w:pStyle w:val="136"/>
            </w:pPr>
            <w:r>
              <w:t>套</w:t>
            </w:r>
          </w:p>
        </w:tc>
        <w:tc>
          <w:tcPr>
            <w:tcW w:w="0" w:type="auto"/>
            <w:shd w:val="clear" w:color="auto" w:fill="auto"/>
            <w:vAlign w:val="center"/>
          </w:tcPr>
          <w:p>
            <w:pPr>
              <w:pStyle w:val="136"/>
            </w:pPr>
            <w:r>
              <w:t>1</w:t>
            </w:r>
          </w:p>
        </w:tc>
        <w:tc>
          <w:tcPr>
            <w:tcW w:w="0" w:type="auto"/>
            <w:shd w:val="clear" w:color="auto" w:fill="auto"/>
            <w:vAlign w:val="center"/>
          </w:tcPr>
          <w:p>
            <w:pPr>
              <w:pStyle w:val="136"/>
            </w:pPr>
            <w:r>
              <w:t>100000</w:t>
            </w:r>
          </w:p>
        </w:tc>
        <w:tc>
          <w:tcPr>
            <w:tcW w:w="0" w:type="auto"/>
            <w:shd w:val="clear" w:color="auto" w:fill="auto"/>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2</w:t>
            </w:r>
          </w:p>
        </w:tc>
        <w:tc>
          <w:tcPr>
            <w:tcW w:w="2835" w:type="dxa"/>
            <w:shd w:val="clear" w:color="auto" w:fill="auto"/>
            <w:vAlign w:val="center"/>
          </w:tcPr>
          <w:p>
            <w:pPr>
              <w:pStyle w:val="136"/>
            </w:pPr>
            <w:r>
              <w:t>废（污）水处理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（1）生产废水处理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1.砂石料加工废水处理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砂浆泵</w:t>
            </w:r>
          </w:p>
        </w:tc>
        <w:tc>
          <w:tcPr>
            <w:tcW w:w="1262" w:type="dxa"/>
            <w:shd w:val="clear" w:color="auto" w:fill="auto"/>
            <w:vAlign w:val="center"/>
          </w:tcPr>
          <w:p>
            <w:pPr>
              <w:pStyle w:val="136"/>
            </w:pPr>
            <w:r>
              <w:t>台</w:t>
            </w:r>
          </w:p>
        </w:tc>
        <w:tc>
          <w:tcPr>
            <w:tcW w:w="0" w:type="auto"/>
            <w:shd w:val="clear" w:color="auto" w:fill="auto"/>
            <w:vAlign w:val="center"/>
          </w:tcPr>
          <w:p>
            <w:pPr>
              <w:pStyle w:val="136"/>
            </w:pPr>
            <w:r>
              <w:t>2</w:t>
            </w:r>
          </w:p>
        </w:tc>
        <w:tc>
          <w:tcPr>
            <w:tcW w:w="0" w:type="auto"/>
            <w:shd w:val="clear" w:color="auto" w:fill="auto"/>
            <w:vAlign w:val="center"/>
          </w:tcPr>
          <w:p>
            <w:pPr>
              <w:pStyle w:val="136"/>
            </w:pPr>
            <w:r>
              <w:t>50000</w:t>
            </w:r>
          </w:p>
        </w:tc>
        <w:tc>
          <w:tcPr>
            <w:tcW w:w="0" w:type="auto"/>
            <w:shd w:val="clear" w:color="auto" w:fill="auto"/>
            <w:vAlign w:val="center"/>
          </w:tcPr>
          <w:p>
            <w:pPr>
              <w:pStyle w:val="136"/>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②</w:t>
            </w:r>
            <w:r>
              <w:t>细砂回收处理器</w:t>
            </w:r>
          </w:p>
        </w:tc>
        <w:tc>
          <w:tcPr>
            <w:tcW w:w="1262" w:type="dxa"/>
            <w:shd w:val="clear" w:color="auto" w:fill="auto"/>
            <w:vAlign w:val="center"/>
          </w:tcPr>
          <w:p>
            <w:pPr>
              <w:pStyle w:val="136"/>
            </w:pPr>
            <w:r>
              <w:t>台</w:t>
            </w:r>
          </w:p>
        </w:tc>
        <w:tc>
          <w:tcPr>
            <w:tcW w:w="0" w:type="auto"/>
            <w:shd w:val="clear" w:color="auto" w:fill="auto"/>
            <w:vAlign w:val="center"/>
          </w:tcPr>
          <w:p>
            <w:pPr>
              <w:pStyle w:val="136"/>
            </w:pPr>
            <w:r>
              <w:t>1</w:t>
            </w:r>
          </w:p>
        </w:tc>
        <w:tc>
          <w:tcPr>
            <w:tcW w:w="0" w:type="auto"/>
            <w:shd w:val="clear" w:color="auto" w:fill="auto"/>
            <w:vAlign w:val="center"/>
          </w:tcPr>
          <w:p>
            <w:pPr>
              <w:pStyle w:val="136"/>
            </w:pPr>
            <w:r>
              <w:t>60000</w:t>
            </w:r>
          </w:p>
        </w:tc>
        <w:tc>
          <w:tcPr>
            <w:tcW w:w="0" w:type="auto"/>
            <w:shd w:val="clear" w:color="auto" w:fill="auto"/>
            <w:vAlign w:val="center"/>
          </w:tcPr>
          <w:p>
            <w:pPr>
              <w:pStyle w:val="136"/>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③</w:t>
            </w:r>
            <w:r>
              <w:t>JY型加药机</w:t>
            </w:r>
          </w:p>
        </w:tc>
        <w:tc>
          <w:tcPr>
            <w:tcW w:w="1262" w:type="dxa"/>
            <w:shd w:val="clear" w:color="auto" w:fill="auto"/>
            <w:vAlign w:val="center"/>
          </w:tcPr>
          <w:p>
            <w:pPr>
              <w:pStyle w:val="136"/>
            </w:pPr>
            <w:r>
              <w:t>台</w:t>
            </w:r>
          </w:p>
        </w:tc>
        <w:tc>
          <w:tcPr>
            <w:tcW w:w="0" w:type="auto"/>
            <w:shd w:val="clear" w:color="auto" w:fill="auto"/>
            <w:vAlign w:val="center"/>
          </w:tcPr>
          <w:p>
            <w:pPr>
              <w:pStyle w:val="136"/>
            </w:pPr>
            <w:r>
              <w:t>2</w:t>
            </w:r>
          </w:p>
        </w:tc>
        <w:tc>
          <w:tcPr>
            <w:tcW w:w="0" w:type="auto"/>
            <w:shd w:val="clear" w:color="auto" w:fill="auto"/>
            <w:vAlign w:val="center"/>
          </w:tcPr>
          <w:p>
            <w:pPr>
              <w:pStyle w:val="136"/>
            </w:pPr>
            <w:r>
              <w:t>35000</w:t>
            </w:r>
          </w:p>
        </w:tc>
        <w:tc>
          <w:tcPr>
            <w:tcW w:w="0" w:type="auto"/>
            <w:shd w:val="clear" w:color="auto" w:fill="auto"/>
            <w:vAlign w:val="center"/>
          </w:tcPr>
          <w:p>
            <w:pPr>
              <w:pStyle w:val="136"/>
            </w:pP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④</w:t>
            </w:r>
            <w:r>
              <w:t>JT型管式静态混合器</w:t>
            </w:r>
          </w:p>
        </w:tc>
        <w:tc>
          <w:tcPr>
            <w:tcW w:w="1262" w:type="dxa"/>
            <w:shd w:val="clear" w:color="auto" w:fill="auto"/>
            <w:vAlign w:val="center"/>
          </w:tcPr>
          <w:p>
            <w:pPr>
              <w:pStyle w:val="136"/>
            </w:pPr>
            <w:r>
              <w:t>台</w:t>
            </w:r>
          </w:p>
        </w:tc>
        <w:tc>
          <w:tcPr>
            <w:tcW w:w="0" w:type="auto"/>
            <w:shd w:val="clear" w:color="auto" w:fill="auto"/>
            <w:vAlign w:val="center"/>
          </w:tcPr>
          <w:p>
            <w:pPr>
              <w:pStyle w:val="136"/>
            </w:pPr>
            <w:r>
              <w:t>2</w:t>
            </w:r>
          </w:p>
        </w:tc>
        <w:tc>
          <w:tcPr>
            <w:tcW w:w="0" w:type="auto"/>
            <w:shd w:val="clear" w:color="auto" w:fill="auto"/>
            <w:vAlign w:val="center"/>
          </w:tcPr>
          <w:p>
            <w:pPr>
              <w:pStyle w:val="136"/>
            </w:pPr>
            <w:r>
              <w:t>25000</w:t>
            </w:r>
          </w:p>
        </w:tc>
        <w:tc>
          <w:tcPr>
            <w:tcW w:w="0" w:type="auto"/>
            <w:shd w:val="clear" w:color="auto" w:fill="auto"/>
            <w:vAlign w:val="center"/>
          </w:tcPr>
          <w:p>
            <w:pPr>
              <w:pStyle w:val="1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⑤</w:t>
            </w:r>
            <w:r>
              <w:t>BGH-6型行车式刮泥机</w:t>
            </w:r>
          </w:p>
        </w:tc>
        <w:tc>
          <w:tcPr>
            <w:tcW w:w="1262" w:type="dxa"/>
            <w:shd w:val="clear" w:color="auto" w:fill="auto"/>
            <w:vAlign w:val="center"/>
          </w:tcPr>
          <w:p>
            <w:pPr>
              <w:pStyle w:val="136"/>
            </w:pPr>
            <w:r>
              <w:t>台</w:t>
            </w:r>
          </w:p>
        </w:tc>
        <w:tc>
          <w:tcPr>
            <w:tcW w:w="0" w:type="auto"/>
            <w:shd w:val="clear" w:color="auto" w:fill="auto"/>
            <w:vAlign w:val="center"/>
          </w:tcPr>
          <w:p>
            <w:pPr>
              <w:pStyle w:val="136"/>
            </w:pPr>
            <w:r>
              <w:t>2</w:t>
            </w:r>
          </w:p>
        </w:tc>
        <w:tc>
          <w:tcPr>
            <w:tcW w:w="0" w:type="auto"/>
            <w:shd w:val="clear" w:color="auto" w:fill="auto"/>
            <w:vAlign w:val="center"/>
          </w:tcPr>
          <w:p>
            <w:pPr>
              <w:pStyle w:val="136"/>
            </w:pPr>
            <w:r>
              <w:t>80000</w:t>
            </w:r>
          </w:p>
        </w:tc>
        <w:tc>
          <w:tcPr>
            <w:tcW w:w="0" w:type="auto"/>
            <w:shd w:val="clear" w:color="auto" w:fill="auto"/>
            <w:vAlign w:val="center"/>
          </w:tcPr>
          <w:p>
            <w:pPr>
              <w:pStyle w:val="136"/>
            </w:pP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⑥</w:t>
            </w:r>
            <w:r>
              <w:t>150WQ-300-10-15型潜水泵</w:t>
            </w:r>
          </w:p>
        </w:tc>
        <w:tc>
          <w:tcPr>
            <w:tcW w:w="1262" w:type="dxa"/>
            <w:shd w:val="clear" w:color="auto" w:fill="auto"/>
            <w:vAlign w:val="center"/>
          </w:tcPr>
          <w:p>
            <w:pPr>
              <w:pStyle w:val="136"/>
            </w:pPr>
            <w:r>
              <w:t>台</w:t>
            </w:r>
          </w:p>
        </w:tc>
        <w:tc>
          <w:tcPr>
            <w:tcW w:w="0" w:type="auto"/>
            <w:shd w:val="clear" w:color="auto" w:fill="auto"/>
            <w:vAlign w:val="center"/>
          </w:tcPr>
          <w:p>
            <w:pPr>
              <w:pStyle w:val="136"/>
            </w:pPr>
            <w:r>
              <w:t>2</w:t>
            </w:r>
          </w:p>
        </w:tc>
        <w:tc>
          <w:tcPr>
            <w:tcW w:w="0" w:type="auto"/>
            <w:shd w:val="clear" w:color="auto" w:fill="auto"/>
            <w:vAlign w:val="center"/>
          </w:tcPr>
          <w:p>
            <w:pPr>
              <w:pStyle w:val="136"/>
            </w:pPr>
            <w:r>
              <w:t>15000</w:t>
            </w:r>
          </w:p>
        </w:tc>
        <w:tc>
          <w:tcPr>
            <w:tcW w:w="0" w:type="auto"/>
            <w:shd w:val="clear" w:color="auto" w:fill="auto"/>
            <w:vAlign w:val="center"/>
          </w:tcPr>
          <w:p>
            <w:pPr>
              <w:pStyle w:val="136"/>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2.混凝土拌和废水处理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回用水泵</w:t>
            </w:r>
          </w:p>
        </w:tc>
        <w:tc>
          <w:tcPr>
            <w:tcW w:w="1262" w:type="dxa"/>
            <w:shd w:val="clear" w:color="auto" w:fill="auto"/>
            <w:vAlign w:val="center"/>
          </w:tcPr>
          <w:p>
            <w:pPr>
              <w:pStyle w:val="136"/>
            </w:pPr>
            <w:r>
              <w:t>台</w:t>
            </w:r>
          </w:p>
        </w:tc>
        <w:tc>
          <w:tcPr>
            <w:tcW w:w="0" w:type="auto"/>
            <w:shd w:val="clear" w:color="auto" w:fill="auto"/>
            <w:vAlign w:val="center"/>
          </w:tcPr>
          <w:p>
            <w:pPr>
              <w:pStyle w:val="136"/>
            </w:pPr>
            <w:r>
              <w:t>2</w:t>
            </w:r>
          </w:p>
        </w:tc>
        <w:tc>
          <w:tcPr>
            <w:tcW w:w="0" w:type="auto"/>
            <w:shd w:val="clear" w:color="auto" w:fill="auto"/>
            <w:vAlign w:val="center"/>
          </w:tcPr>
          <w:p>
            <w:pPr>
              <w:pStyle w:val="136"/>
            </w:pPr>
            <w:r>
              <w:t>15000</w:t>
            </w:r>
          </w:p>
        </w:tc>
        <w:tc>
          <w:tcPr>
            <w:tcW w:w="0" w:type="auto"/>
            <w:shd w:val="clear" w:color="auto" w:fill="auto"/>
            <w:vAlign w:val="center"/>
          </w:tcPr>
          <w:p>
            <w:pPr>
              <w:pStyle w:val="136"/>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3.机械保养含油废水处理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回用水泵</w:t>
            </w:r>
          </w:p>
        </w:tc>
        <w:tc>
          <w:tcPr>
            <w:tcW w:w="1262" w:type="dxa"/>
            <w:shd w:val="clear" w:color="auto" w:fill="auto"/>
            <w:vAlign w:val="center"/>
          </w:tcPr>
          <w:p>
            <w:pPr>
              <w:pStyle w:val="136"/>
            </w:pPr>
            <w:r>
              <w:t>台</w:t>
            </w:r>
          </w:p>
        </w:tc>
        <w:tc>
          <w:tcPr>
            <w:tcW w:w="0" w:type="auto"/>
            <w:shd w:val="clear" w:color="auto" w:fill="auto"/>
            <w:vAlign w:val="center"/>
          </w:tcPr>
          <w:p>
            <w:pPr>
              <w:pStyle w:val="136"/>
            </w:pPr>
            <w:r>
              <w:t>2</w:t>
            </w:r>
          </w:p>
        </w:tc>
        <w:tc>
          <w:tcPr>
            <w:tcW w:w="0" w:type="auto"/>
            <w:shd w:val="clear" w:color="auto" w:fill="auto"/>
            <w:vAlign w:val="center"/>
          </w:tcPr>
          <w:p>
            <w:pPr>
              <w:pStyle w:val="136"/>
            </w:pPr>
            <w:r>
              <w:t>15000</w:t>
            </w:r>
          </w:p>
        </w:tc>
        <w:tc>
          <w:tcPr>
            <w:tcW w:w="0" w:type="auto"/>
            <w:shd w:val="clear" w:color="auto" w:fill="auto"/>
            <w:vAlign w:val="center"/>
          </w:tcPr>
          <w:p>
            <w:pPr>
              <w:pStyle w:val="136"/>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4.洞室废水处理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回用水泵</w:t>
            </w:r>
          </w:p>
        </w:tc>
        <w:tc>
          <w:tcPr>
            <w:tcW w:w="1262" w:type="dxa"/>
            <w:shd w:val="clear" w:color="auto" w:fill="auto"/>
            <w:vAlign w:val="center"/>
          </w:tcPr>
          <w:p>
            <w:pPr>
              <w:pStyle w:val="136"/>
            </w:pPr>
            <w:r>
              <w:t>台</w:t>
            </w:r>
          </w:p>
        </w:tc>
        <w:tc>
          <w:tcPr>
            <w:tcW w:w="0" w:type="auto"/>
            <w:shd w:val="clear" w:color="auto" w:fill="auto"/>
            <w:vAlign w:val="center"/>
          </w:tcPr>
          <w:p>
            <w:pPr>
              <w:pStyle w:val="136"/>
            </w:pPr>
            <w:r>
              <w:t>1</w:t>
            </w:r>
          </w:p>
        </w:tc>
        <w:tc>
          <w:tcPr>
            <w:tcW w:w="0" w:type="auto"/>
            <w:shd w:val="clear" w:color="auto" w:fill="auto"/>
            <w:vAlign w:val="center"/>
          </w:tcPr>
          <w:p>
            <w:pPr>
              <w:pStyle w:val="136"/>
            </w:pPr>
            <w:r>
              <w:t>15000</w:t>
            </w:r>
          </w:p>
        </w:tc>
        <w:tc>
          <w:tcPr>
            <w:tcW w:w="0" w:type="auto"/>
            <w:shd w:val="clear" w:color="auto" w:fill="auto"/>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5.基坑废水处理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抽水泵</w:t>
            </w:r>
          </w:p>
        </w:tc>
        <w:tc>
          <w:tcPr>
            <w:tcW w:w="1262" w:type="dxa"/>
            <w:shd w:val="clear" w:color="auto" w:fill="auto"/>
            <w:vAlign w:val="center"/>
          </w:tcPr>
          <w:p>
            <w:pPr>
              <w:pStyle w:val="136"/>
            </w:pPr>
            <w:r>
              <w:t>台</w:t>
            </w:r>
          </w:p>
        </w:tc>
        <w:tc>
          <w:tcPr>
            <w:tcW w:w="0" w:type="auto"/>
            <w:shd w:val="clear" w:color="auto" w:fill="auto"/>
            <w:vAlign w:val="center"/>
          </w:tcPr>
          <w:p>
            <w:pPr>
              <w:pStyle w:val="136"/>
            </w:pPr>
            <w:r>
              <w:t>1</w:t>
            </w:r>
          </w:p>
        </w:tc>
        <w:tc>
          <w:tcPr>
            <w:tcW w:w="0" w:type="auto"/>
            <w:shd w:val="clear" w:color="auto" w:fill="auto"/>
            <w:vAlign w:val="center"/>
          </w:tcPr>
          <w:p>
            <w:pPr>
              <w:pStyle w:val="136"/>
            </w:pPr>
            <w:r>
              <w:t>15000</w:t>
            </w:r>
          </w:p>
        </w:tc>
        <w:tc>
          <w:tcPr>
            <w:tcW w:w="0" w:type="auto"/>
            <w:shd w:val="clear" w:color="auto" w:fill="auto"/>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（2）生活污水处理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1.一体化成套处理设备</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SEJ-2型一体化污水处理装置</w:t>
            </w:r>
          </w:p>
        </w:tc>
        <w:tc>
          <w:tcPr>
            <w:tcW w:w="1262" w:type="dxa"/>
            <w:shd w:val="clear" w:color="auto" w:fill="auto"/>
            <w:vAlign w:val="center"/>
          </w:tcPr>
          <w:p>
            <w:pPr>
              <w:pStyle w:val="136"/>
            </w:pPr>
            <w:r>
              <w:t>套</w:t>
            </w:r>
          </w:p>
        </w:tc>
        <w:tc>
          <w:tcPr>
            <w:tcW w:w="0" w:type="auto"/>
            <w:shd w:val="clear" w:color="auto" w:fill="auto"/>
            <w:vAlign w:val="center"/>
          </w:tcPr>
          <w:p>
            <w:pPr>
              <w:pStyle w:val="136"/>
            </w:pPr>
            <w:r>
              <w:t>1</w:t>
            </w:r>
          </w:p>
        </w:tc>
        <w:tc>
          <w:tcPr>
            <w:tcW w:w="0" w:type="auto"/>
            <w:shd w:val="clear" w:color="auto" w:fill="auto"/>
            <w:vAlign w:val="center"/>
          </w:tcPr>
          <w:p>
            <w:pPr>
              <w:pStyle w:val="136"/>
            </w:pPr>
            <w:r>
              <w:t>200000</w:t>
            </w:r>
          </w:p>
        </w:tc>
        <w:tc>
          <w:tcPr>
            <w:tcW w:w="0" w:type="auto"/>
            <w:shd w:val="clear" w:color="auto" w:fill="auto"/>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②</w:t>
            </w:r>
            <w:r>
              <w:t>SSR50风机</w:t>
            </w:r>
          </w:p>
        </w:tc>
        <w:tc>
          <w:tcPr>
            <w:tcW w:w="1262" w:type="dxa"/>
            <w:shd w:val="clear" w:color="auto" w:fill="auto"/>
            <w:vAlign w:val="center"/>
          </w:tcPr>
          <w:p>
            <w:pPr>
              <w:pStyle w:val="136"/>
            </w:pPr>
            <w:r>
              <w:t>台</w:t>
            </w:r>
          </w:p>
        </w:tc>
        <w:tc>
          <w:tcPr>
            <w:tcW w:w="0" w:type="auto"/>
            <w:shd w:val="clear" w:color="auto" w:fill="auto"/>
            <w:vAlign w:val="center"/>
          </w:tcPr>
          <w:p>
            <w:pPr>
              <w:pStyle w:val="136"/>
            </w:pPr>
            <w:r>
              <w:t>1</w:t>
            </w:r>
          </w:p>
        </w:tc>
        <w:tc>
          <w:tcPr>
            <w:tcW w:w="0" w:type="auto"/>
            <w:shd w:val="clear" w:color="auto" w:fill="auto"/>
            <w:vAlign w:val="center"/>
          </w:tcPr>
          <w:p>
            <w:pPr>
              <w:pStyle w:val="136"/>
            </w:pPr>
            <w:r>
              <w:t>20000</w:t>
            </w:r>
          </w:p>
        </w:tc>
        <w:tc>
          <w:tcPr>
            <w:tcW w:w="0" w:type="auto"/>
            <w:shd w:val="clear" w:color="auto" w:fill="auto"/>
            <w:vAlign w:val="center"/>
          </w:tcPr>
          <w:p>
            <w:pPr>
              <w:pStyle w:val="136"/>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③</w:t>
            </w:r>
            <w:r>
              <w:t>AS10-2CB水泵</w:t>
            </w:r>
          </w:p>
        </w:tc>
        <w:tc>
          <w:tcPr>
            <w:tcW w:w="1262" w:type="dxa"/>
            <w:shd w:val="clear" w:color="auto" w:fill="auto"/>
            <w:vAlign w:val="center"/>
          </w:tcPr>
          <w:p>
            <w:pPr>
              <w:pStyle w:val="136"/>
            </w:pPr>
            <w:r>
              <w:t>台</w:t>
            </w:r>
          </w:p>
        </w:tc>
        <w:tc>
          <w:tcPr>
            <w:tcW w:w="0" w:type="auto"/>
            <w:shd w:val="clear" w:color="auto" w:fill="auto"/>
            <w:vAlign w:val="center"/>
          </w:tcPr>
          <w:p>
            <w:pPr>
              <w:pStyle w:val="136"/>
            </w:pPr>
            <w:r>
              <w:t>1</w:t>
            </w:r>
          </w:p>
        </w:tc>
        <w:tc>
          <w:tcPr>
            <w:tcW w:w="0" w:type="auto"/>
            <w:shd w:val="clear" w:color="auto" w:fill="auto"/>
            <w:vAlign w:val="center"/>
          </w:tcPr>
          <w:p>
            <w:pPr>
              <w:pStyle w:val="136"/>
            </w:pPr>
            <w:r>
              <w:t>12000</w:t>
            </w:r>
          </w:p>
        </w:tc>
        <w:tc>
          <w:tcPr>
            <w:tcW w:w="0" w:type="auto"/>
            <w:shd w:val="clear" w:color="auto" w:fill="auto"/>
            <w:vAlign w:val="center"/>
          </w:tcPr>
          <w:p>
            <w:pPr>
              <w:pStyle w:val="136"/>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3</w:t>
            </w:r>
          </w:p>
        </w:tc>
        <w:tc>
          <w:tcPr>
            <w:tcW w:w="2835" w:type="dxa"/>
            <w:shd w:val="clear" w:color="auto" w:fill="auto"/>
            <w:vAlign w:val="center"/>
          </w:tcPr>
          <w:p>
            <w:pPr>
              <w:pStyle w:val="136"/>
            </w:pPr>
            <w:r>
              <w:t>环境空气</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洒水车</w:t>
            </w:r>
          </w:p>
        </w:tc>
        <w:tc>
          <w:tcPr>
            <w:tcW w:w="1262" w:type="dxa"/>
            <w:shd w:val="clear" w:color="auto" w:fill="auto"/>
            <w:vAlign w:val="center"/>
          </w:tcPr>
          <w:p>
            <w:pPr>
              <w:pStyle w:val="136"/>
            </w:pPr>
            <w:r>
              <w:t>辆</w:t>
            </w:r>
          </w:p>
        </w:tc>
        <w:tc>
          <w:tcPr>
            <w:tcW w:w="0" w:type="auto"/>
            <w:shd w:val="clear" w:color="auto" w:fill="auto"/>
            <w:vAlign w:val="center"/>
          </w:tcPr>
          <w:p>
            <w:pPr>
              <w:pStyle w:val="136"/>
            </w:pPr>
            <w:r>
              <w:t>1</w:t>
            </w:r>
          </w:p>
        </w:tc>
        <w:tc>
          <w:tcPr>
            <w:tcW w:w="0" w:type="auto"/>
            <w:shd w:val="clear" w:color="auto" w:fill="auto"/>
            <w:vAlign w:val="center"/>
          </w:tcPr>
          <w:p>
            <w:pPr>
              <w:pStyle w:val="136"/>
            </w:pPr>
            <w:r>
              <w:t>200000</w:t>
            </w:r>
          </w:p>
        </w:tc>
        <w:tc>
          <w:tcPr>
            <w:tcW w:w="0" w:type="auto"/>
            <w:shd w:val="clear" w:color="auto" w:fill="auto"/>
            <w:vAlign w:val="center"/>
          </w:tcPr>
          <w:p>
            <w:pPr>
              <w:pStyle w:val="136"/>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4</w:t>
            </w:r>
          </w:p>
        </w:tc>
        <w:tc>
          <w:tcPr>
            <w:tcW w:w="2835" w:type="dxa"/>
            <w:shd w:val="clear" w:color="auto" w:fill="auto"/>
            <w:noWrap/>
            <w:vAlign w:val="center"/>
          </w:tcPr>
          <w:p>
            <w:pPr>
              <w:pStyle w:val="136"/>
            </w:pPr>
            <w:r>
              <w:t>固体废物</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27.86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t>（1）生活垃圾</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①</w:t>
            </w:r>
            <w:r>
              <w:t>垃圾清运车</w:t>
            </w:r>
          </w:p>
        </w:tc>
        <w:tc>
          <w:tcPr>
            <w:tcW w:w="1262" w:type="dxa"/>
            <w:shd w:val="clear" w:color="auto" w:fill="auto"/>
            <w:noWrap/>
            <w:vAlign w:val="center"/>
          </w:tcPr>
          <w:p>
            <w:pPr>
              <w:pStyle w:val="136"/>
            </w:pPr>
            <w:r>
              <w:t>辆</w:t>
            </w:r>
          </w:p>
        </w:tc>
        <w:tc>
          <w:tcPr>
            <w:tcW w:w="0" w:type="auto"/>
            <w:shd w:val="clear" w:color="auto" w:fill="auto"/>
            <w:vAlign w:val="center"/>
          </w:tcPr>
          <w:p>
            <w:pPr>
              <w:pStyle w:val="136"/>
            </w:pPr>
            <w:r>
              <w:t>1</w:t>
            </w:r>
          </w:p>
        </w:tc>
        <w:tc>
          <w:tcPr>
            <w:tcW w:w="0" w:type="auto"/>
            <w:shd w:val="clear" w:color="auto" w:fill="auto"/>
            <w:vAlign w:val="center"/>
          </w:tcPr>
          <w:p>
            <w:pPr>
              <w:pStyle w:val="136"/>
            </w:pPr>
            <w:r>
              <w:t>150000</w:t>
            </w:r>
          </w:p>
        </w:tc>
        <w:tc>
          <w:tcPr>
            <w:tcW w:w="0" w:type="auto"/>
            <w:shd w:val="clear" w:color="auto" w:fill="auto"/>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②</w:t>
            </w:r>
            <w:r>
              <w:t>移动垃圾收集站</w:t>
            </w:r>
          </w:p>
        </w:tc>
        <w:tc>
          <w:tcPr>
            <w:tcW w:w="1262" w:type="dxa"/>
            <w:shd w:val="clear" w:color="auto" w:fill="auto"/>
            <w:noWrap/>
            <w:vAlign w:val="center"/>
          </w:tcPr>
          <w:p>
            <w:pPr>
              <w:pStyle w:val="136"/>
            </w:pPr>
            <w:r>
              <w:t>个</w:t>
            </w:r>
          </w:p>
        </w:tc>
        <w:tc>
          <w:tcPr>
            <w:tcW w:w="0" w:type="auto"/>
            <w:shd w:val="clear" w:color="auto" w:fill="auto"/>
            <w:vAlign w:val="center"/>
          </w:tcPr>
          <w:p>
            <w:pPr>
              <w:pStyle w:val="136"/>
            </w:pPr>
            <w:r>
              <w:t>2</w:t>
            </w:r>
          </w:p>
        </w:tc>
        <w:tc>
          <w:tcPr>
            <w:tcW w:w="0" w:type="auto"/>
            <w:shd w:val="clear" w:color="auto" w:fill="auto"/>
            <w:vAlign w:val="center"/>
          </w:tcPr>
          <w:p>
            <w:pPr>
              <w:pStyle w:val="136"/>
            </w:pPr>
            <w:r>
              <w:t>3000</w:t>
            </w:r>
          </w:p>
        </w:tc>
        <w:tc>
          <w:tcPr>
            <w:tcW w:w="0" w:type="auto"/>
            <w:shd w:val="clear" w:color="auto" w:fill="auto"/>
            <w:vAlign w:val="center"/>
          </w:tcPr>
          <w:p>
            <w:pPr>
              <w:pStyle w:val="136"/>
            </w:pPr>
            <w: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③</w:t>
            </w:r>
            <w:r>
              <w:t>垃圾桶</w:t>
            </w:r>
          </w:p>
        </w:tc>
        <w:tc>
          <w:tcPr>
            <w:tcW w:w="1262" w:type="dxa"/>
            <w:shd w:val="clear" w:color="auto" w:fill="auto"/>
            <w:noWrap/>
            <w:vAlign w:val="center"/>
          </w:tcPr>
          <w:p>
            <w:pPr>
              <w:pStyle w:val="136"/>
            </w:pPr>
            <w:r>
              <w:t>个</w:t>
            </w:r>
          </w:p>
        </w:tc>
        <w:tc>
          <w:tcPr>
            <w:tcW w:w="0" w:type="auto"/>
            <w:shd w:val="clear" w:color="auto" w:fill="auto"/>
            <w:vAlign w:val="center"/>
          </w:tcPr>
          <w:p>
            <w:pPr>
              <w:pStyle w:val="136"/>
            </w:pPr>
            <w:r>
              <w:t>13</w:t>
            </w:r>
          </w:p>
        </w:tc>
        <w:tc>
          <w:tcPr>
            <w:tcW w:w="0" w:type="auto"/>
            <w:shd w:val="clear" w:color="auto" w:fill="auto"/>
            <w:vAlign w:val="center"/>
          </w:tcPr>
          <w:p>
            <w:pPr>
              <w:pStyle w:val="136"/>
            </w:pPr>
            <w:r>
              <w:t>200</w:t>
            </w:r>
          </w:p>
        </w:tc>
        <w:tc>
          <w:tcPr>
            <w:tcW w:w="0" w:type="auto"/>
            <w:shd w:val="clear" w:color="auto" w:fill="auto"/>
            <w:vAlign w:val="center"/>
          </w:tcPr>
          <w:p>
            <w:pPr>
              <w:pStyle w:val="136"/>
            </w:pPr>
            <w: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t>（2）危险废物</w:t>
            </w:r>
          </w:p>
        </w:tc>
        <w:tc>
          <w:tcPr>
            <w:tcW w:w="1262" w:type="dxa"/>
            <w:shd w:val="clear" w:color="auto" w:fill="auto"/>
            <w:noWrap/>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①</w:t>
            </w:r>
            <w:r>
              <w:t>暂存设施建设费</w:t>
            </w:r>
          </w:p>
        </w:tc>
        <w:tc>
          <w:tcPr>
            <w:tcW w:w="1262" w:type="dxa"/>
            <w:shd w:val="clear" w:color="auto" w:fill="auto"/>
            <w:noWrap/>
            <w:vAlign w:val="center"/>
          </w:tcPr>
          <w:p>
            <w:pPr>
              <w:pStyle w:val="136"/>
            </w:pPr>
            <w:r>
              <w:t>m</w:t>
            </w:r>
            <w:r>
              <w:rPr>
                <w:vertAlign w:val="superscript"/>
              </w:rPr>
              <w:t>2</w:t>
            </w:r>
          </w:p>
        </w:tc>
        <w:tc>
          <w:tcPr>
            <w:tcW w:w="0" w:type="auto"/>
            <w:shd w:val="clear" w:color="auto" w:fill="auto"/>
            <w:vAlign w:val="center"/>
          </w:tcPr>
          <w:p>
            <w:pPr>
              <w:pStyle w:val="136"/>
            </w:pPr>
            <w:r>
              <w:t>10</w:t>
            </w:r>
          </w:p>
        </w:tc>
        <w:tc>
          <w:tcPr>
            <w:tcW w:w="0" w:type="auto"/>
            <w:shd w:val="clear" w:color="auto" w:fill="auto"/>
            <w:vAlign w:val="center"/>
          </w:tcPr>
          <w:p>
            <w:pPr>
              <w:pStyle w:val="136"/>
            </w:pPr>
            <w:r>
              <w:t>5000</w:t>
            </w:r>
          </w:p>
        </w:tc>
        <w:tc>
          <w:tcPr>
            <w:tcW w:w="0" w:type="auto"/>
            <w:shd w:val="clear" w:color="auto" w:fill="auto"/>
            <w:vAlign w:val="center"/>
          </w:tcPr>
          <w:p>
            <w:pPr>
              <w:pStyle w:val="1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②</w:t>
            </w:r>
            <w:r>
              <w:t>转运、处置费</w:t>
            </w:r>
          </w:p>
        </w:tc>
        <w:tc>
          <w:tcPr>
            <w:tcW w:w="1262" w:type="dxa"/>
            <w:shd w:val="clear" w:color="auto" w:fill="auto"/>
            <w:noWrap/>
            <w:vAlign w:val="center"/>
          </w:tcPr>
          <w:p>
            <w:pPr>
              <w:pStyle w:val="136"/>
            </w:pPr>
            <w:r>
              <w:t>t</w:t>
            </w:r>
          </w:p>
        </w:tc>
        <w:tc>
          <w:tcPr>
            <w:tcW w:w="0" w:type="auto"/>
            <w:shd w:val="clear" w:color="auto" w:fill="auto"/>
            <w:vAlign w:val="center"/>
          </w:tcPr>
          <w:p>
            <w:pPr>
              <w:pStyle w:val="136"/>
            </w:pPr>
            <w:r>
              <w:t>1</w:t>
            </w:r>
          </w:p>
        </w:tc>
        <w:tc>
          <w:tcPr>
            <w:tcW w:w="0" w:type="auto"/>
            <w:shd w:val="clear" w:color="auto" w:fill="auto"/>
            <w:vAlign w:val="center"/>
          </w:tcPr>
          <w:p>
            <w:pPr>
              <w:pStyle w:val="136"/>
            </w:pPr>
            <w:r>
              <w:t>50000</w:t>
            </w:r>
          </w:p>
        </w:tc>
        <w:tc>
          <w:tcPr>
            <w:tcW w:w="0" w:type="auto"/>
            <w:shd w:val="clear" w:color="auto" w:fill="auto"/>
            <w:vAlign w:val="center"/>
          </w:tcPr>
          <w:p>
            <w:pPr>
              <w:pStyle w:val="1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③</w:t>
            </w:r>
            <w:r>
              <w:t>日常管理、维护费</w:t>
            </w:r>
          </w:p>
        </w:tc>
        <w:tc>
          <w:tcPr>
            <w:tcW w:w="1262" w:type="dxa"/>
            <w:shd w:val="clear" w:color="auto" w:fill="auto"/>
            <w:noWrap/>
            <w:vAlign w:val="center"/>
          </w:tcPr>
          <w:p>
            <w:pPr>
              <w:pStyle w:val="136"/>
            </w:pPr>
            <w:r>
              <w:t>年·座</w:t>
            </w:r>
          </w:p>
        </w:tc>
        <w:tc>
          <w:tcPr>
            <w:tcW w:w="0" w:type="auto"/>
            <w:shd w:val="clear" w:color="auto" w:fill="auto"/>
            <w:vAlign w:val="center"/>
          </w:tcPr>
          <w:p>
            <w:pPr>
              <w:pStyle w:val="136"/>
            </w:pPr>
            <w:r>
              <w:t>1</w:t>
            </w:r>
          </w:p>
        </w:tc>
        <w:tc>
          <w:tcPr>
            <w:tcW w:w="0" w:type="auto"/>
            <w:shd w:val="clear" w:color="auto" w:fill="auto"/>
            <w:vAlign w:val="center"/>
          </w:tcPr>
          <w:p>
            <w:pPr>
              <w:pStyle w:val="136"/>
            </w:pPr>
            <w:r>
              <w:t>20000</w:t>
            </w:r>
          </w:p>
        </w:tc>
        <w:tc>
          <w:tcPr>
            <w:tcW w:w="0" w:type="auto"/>
            <w:shd w:val="clear" w:color="auto" w:fill="auto"/>
            <w:vAlign w:val="center"/>
          </w:tcPr>
          <w:p>
            <w:pPr>
              <w:pStyle w:val="136"/>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2"/>
            <w:shd w:val="clear" w:color="auto" w:fill="auto"/>
            <w:vAlign w:val="center"/>
          </w:tcPr>
          <w:p>
            <w:pPr>
              <w:pStyle w:val="136"/>
            </w:pPr>
            <w:r>
              <w:t>第四部分  环境保护临时措施</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rPr>
                <w:bCs/>
              </w:rPr>
            </w:pPr>
            <w:r>
              <w:rPr>
                <w:bCs/>
              </w:rPr>
              <w:t>142.19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1</w:t>
            </w:r>
          </w:p>
        </w:tc>
        <w:tc>
          <w:tcPr>
            <w:tcW w:w="2835" w:type="dxa"/>
            <w:shd w:val="clear" w:color="auto" w:fill="auto"/>
            <w:vAlign w:val="center"/>
          </w:tcPr>
          <w:p>
            <w:pPr>
              <w:pStyle w:val="136"/>
            </w:pPr>
            <w:r>
              <w:t>废（污）水处理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（1）生产废水处理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45.95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1.砂石料加工废水处理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土石方工程</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1835.7</w:t>
            </w:r>
          </w:p>
        </w:tc>
        <w:tc>
          <w:tcPr>
            <w:tcW w:w="0" w:type="auto"/>
            <w:shd w:val="clear" w:color="auto" w:fill="auto"/>
            <w:vAlign w:val="center"/>
          </w:tcPr>
          <w:p>
            <w:pPr>
              <w:pStyle w:val="136"/>
            </w:pPr>
            <w:r>
              <w:t>18.28</w:t>
            </w:r>
          </w:p>
        </w:tc>
        <w:tc>
          <w:tcPr>
            <w:tcW w:w="0" w:type="auto"/>
            <w:shd w:val="clear" w:color="auto" w:fill="auto"/>
            <w:vAlign w:val="center"/>
          </w:tcPr>
          <w:p>
            <w:pPr>
              <w:pStyle w:val="136"/>
            </w:pPr>
            <w: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②</w:t>
            </w:r>
            <w:r>
              <w:t>C25混凝土</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75.3</w:t>
            </w:r>
          </w:p>
        </w:tc>
        <w:tc>
          <w:tcPr>
            <w:tcW w:w="0" w:type="auto"/>
            <w:shd w:val="clear" w:color="auto" w:fill="auto"/>
            <w:vAlign w:val="center"/>
          </w:tcPr>
          <w:p>
            <w:pPr>
              <w:pStyle w:val="136"/>
            </w:pPr>
            <w:r>
              <w:t>1039.19</w:t>
            </w:r>
          </w:p>
        </w:tc>
        <w:tc>
          <w:tcPr>
            <w:tcW w:w="0" w:type="auto"/>
            <w:shd w:val="clear" w:color="auto" w:fill="auto"/>
            <w:vAlign w:val="center"/>
          </w:tcPr>
          <w:p>
            <w:pPr>
              <w:pStyle w:val="136"/>
            </w:pPr>
            <w:r>
              <w:t>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③</w:t>
            </w:r>
            <w:r>
              <w:t>钢筋</w:t>
            </w:r>
          </w:p>
        </w:tc>
        <w:tc>
          <w:tcPr>
            <w:tcW w:w="1262" w:type="dxa"/>
            <w:shd w:val="clear" w:color="auto" w:fill="auto"/>
            <w:vAlign w:val="center"/>
          </w:tcPr>
          <w:p>
            <w:pPr>
              <w:pStyle w:val="136"/>
            </w:pPr>
            <w:r>
              <w:t>t</w:t>
            </w:r>
          </w:p>
        </w:tc>
        <w:tc>
          <w:tcPr>
            <w:tcW w:w="0" w:type="auto"/>
            <w:shd w:val="clear" w:color="auto" w:fill="auto"/>
            <w:vAlign w:val="center"/>
          </w:tcPr>
          <w:p>
            <w:pPr>
              <w:pStyle w:val="136"/>
            </w:pPr>
            <w:r>
              <w:t>3.79</w:t>
            </w:r>
          </w:p>
        </w:tc>
        <w:tc>
          <w:tcPr>
            <w:tcW w:w="0" w:type="auto"/>
            <w:shd w:val="clear" w:color="auto" w:fill="auto"/>
            <w:vAlign w:val="center"/>
          </w:tcPr>
          <w:p>
            <w:pPr>
              <w:pStyle w:val="136"/>
            </w:pPr>
            <w:r>
              <w:t>4698.26</w:t>
            </w:r>
          </w:p>
        </w:tc>
        <w:tc>
          <w:tcPr>
            <w:tcW w:w="0" w:type="auto"/>
            <w:shd w:val="clear" w:color="auto" w:fill="auto"/>
            <w:vAlign w:val="center"/>
          </w:tcPr>
          <w:p>
            <w:pPr>
              <w:pStyle w:val="136"/>
            </w:pPr>
            <w: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④</w:t>
            </w:r>
            <w:r>
              <w:t>砖砌</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112.95</w:t>
            </w:r>
          </w:p>
        </w:tc>
        <w:tc>
          <w:tcPr>
            <w:tcW w:w="0" w:type="auto"/>
            <w:shd w:val="clear" w:color="auto" w:fill="auto"/>
            <w:vAlign w:val="center"/>
          </w:tcPr>
          <w:p>
            <w:pPr>
              <w:pStyle w:val="136"/>
            </w:pPr>
            <w:r>
              <w:t>300</w:t>
            </w:r>
          </w:p>
        </w:tc>
        <w:tc>
          <w:tcPr>
            <w:tcW w:w="0" w:type="auto"/>
            <w:shd w:val="clear" w:color="auto" w:fill="auto"/>
            <w:vAlign w:val="center"/>
          </w:tcPr>
          <w:p>
            <w:pPr>
              <w:pStyle w:val="136"/>
            </w:pPr>
            <w: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⑤</w:t>
            </w:r>
            <w:r>
              <w:t>浆砌块石</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189</w:t>
            </w:r>
          </w:p>
        </w:tc>
        <w:tc>
          <w:tcPr>
            <w:tcW w:w="0" w:type="auto"/>
            <w:shd w:val="clear" w:color="auto" w:fill="auto"/>
            <w:vAlign w:val="center"/>
          </w:tcPr>
          <w:p>
            <w:pPr>
              <w:pStyle w:val="136"/>
            </w:pPr>
            <w:r>
              <w:t>100</w:t>
            </w:r>
          </w:p>
        </w:tc>
        <w:tc>
          <w:tcPr>
            <w:tcW w:w="0" w:type="auto"/>
            <w:shd w:val="clear" w:color="auto" w:fill="auto"/>
            <w:vAlign w:val="center"/>
          </w:tcPr>
          <w:p>
            <w:pPr>
              <w:pStyle w:val="136"/>
            </w:pPr>
            <w: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⑥</w:t>
            </w:r>
            <w:r>
              <w:t>运行管理费</w:t>
            </w:r>
          </w:p>
        </w:tc>
        <w:tc>
          <w:tcPr>
            <w:tcW w:w="1262" w:type="dxa"/>
            <w:shd w:val="clear" w:color="auto" w:fill="auto"/>
            <w:vAlign w:val="center"/>
          </w:tcPr>
          <w:p>
            <w:pPr>
              <w:pStyle w:val="136"/>
            </w:pPr>
            <w:r>
              <w:t>年</w:t>
            </w:r>
          </w:p>
        </w:tc>
        <w:tc>
          <w:tcPr>
            <w:tcW w:w="0" w:type="auto"/>
            <w:shd w:val="clear" w:color="auto" w:fill="auto"/>
            <w:vAlign w:val="center"/>
          </w:tcPr>
          <w:p>
            <w:pPr>
              <w:pStyle w:val="136"/>
            </w:pPr>
            <w:r>
              <w:t>3</w:t>
            </w:r>
          </w:p>
        </w:tc>
        <w:tc>
          <w:tcPr>
            <w:tcW w:w="0" w:type="auto"/>
            <w:shd w:val="clear" w:color="auto" w:fill="auto"/>
            <w:vAlign w:val="center"/>
          </w:tcPr>
          <w:p>
            <w:pPr>
              <w:pStyle w:val="136"/>
            </w:pPr>
            <w:r>
              <w:t>12000</w:t>
            </w:r>
          </w:p>
        </w:tc>
        <w:tc>
          <w:tcPr>
            <w:tcW w:w="0" w:type="auto"/>
            <w:shd w:val="clear" w:color="auto" w:fill="auto"/>
            <w:vAlign w:val="center"/>
          </w:tcPr>
          <w:p>
            <w:pPr>
              <w:pStyle w:val="136"/>
            </w:pPr>
            <w: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2.混凝土拌和废水处理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土方开挖</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74.88</w:t>
            </w:r>
          </w:p>
        </w:tc>
        <w:tc>
          <w:tcPr>
            <w:tcW w:w="0" w:type="auto"/>
            <w:shd w:val="clear" w:color="auto" w:fill="auto"/>
            <w:vAlign w:val="center"/>
          </w:tcPr>
          <w:p>
            <w:pPr>
              <w:pStyle w:val="136"/>
            </w:pPr>
            <w:r>
              <w:t>18.28</w:t>
            </w:r>
          </w:p>
        </w:tc>
        <w:tc>
          <w:tcPr>
            <w:tcW w:w="0" w:type="auto"/>
            <w:shd w:val="clear" w:color="auto" w:fill="auto"/>
            <w:vAlign w:val="center"/>
          </w:tcPr>
          <w:p>
            <w:pPr>
              <w:pStyle w:val="136"/>
            </w:pPr>
            <w: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②</w:t>
            </w:r>
            <w:r>
              <w:t>C25混凝土</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12.08</w:t>
            </w:r>
          </w:p>
        </w:tc>
        <w:tc>
          <w:tcPr>
            <w:tcW w:w="0" w:type="auto"/>
            <w:shd w:val="clear" w:color="auto" w:fill="auto"/>
            <w:vAlign w:val="center"/>
          </w:tcPr>
          <w:p>
            <w:pPr>
              <w:pStyle w:val="136"/>
            </w:pPr>
            <w:r>
              <w:t>1039.19</w:t>
            </w:r>
          </w:p>
        </w:tc>
        <w:tc>
          <w:tcPr>
            <w:tcW w:w="0" w:type="auto"/>
            <w:shd w:val="clear" w:color="auto" w:fill="auto"/>
            <w:vAlign w:val="center"/>
          </w:tcPr>
          <w:p>
            <w:pPr>
              <w:pStyle w:val="136"/>
            </w:pPr>
            <w: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③</w:t>
            </w:r>
            <w:r>
              <w:t>钢筋</w:t>
            </w:r>
          </w:p>
        </w:tc>
        <w:tc>
          <w:tcPr>
            <w:tcW w:w="1262" w:type="dxa"/>
            <w:shd w:val="clear" w:color="auto" w:fill="auto"/>
            <w:vAlign w:val="center"/>
          </w:tcPr>
          <w:p>
            <w:pPr>
              <w:pStyle w:val="136"/>
            </w:pPr>
            <w:r>
              <w:t>t</w:t>
            </w:r>
          </w:p>
        </w:tc>
        <w:tc>
          <w:tcPr>
            <w:tcW w:w="0" w:type="auto"/>
            <w:shd w:val="clear" w:color="auto" w:fill="auto"/>
            <w:vAlign w:val="center"/>
          </w:tcPr>
          <w:p>
            <w:pPr>
              <w:pStyle w:val="136"/>
            </w:pPr>
            <w:r>
              <w:t>7.488</w:t>
            </w:r>
          </w:p>
        </w:tc>
        <w:tc>
          <w:tcPr>
            <w:tcW w:w="0" w:type="auto"/>
            <w:shd w:val="clear" w:color="auto" w:fill="auto"/>
            <w:vAlign w:val="center"/>
          </w:tcPr>
          <w:p>
            <w:pPr>
              <w:pStyle w:val="136"/>
            </w:pPr>
            <w:r>
              <w:t>4698.26</w:t>
            </w:r>
          </w:p>
        </w:tc>
        <w:tc>
          <w:tcPr>
            <w:tcW w:w="0" w:type="auto"/>
            <w:shd w:val="clear" w:color="auto" w:fill="auto"/>
            <w:vAlign w:val="center"/>
          </w:tcPr>
          <w:p>
            <w:pPr>
              <w:pStyle w:val="136"/>
            </w:pPr>
            <w: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④</w:t>
            </w:r>
            <w:r>
              <w:t>砖砌</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12.84</w:t>
            </w:r>
          </w:p>
        </w:tc>
        <w:tc>
          <w:tcPr>
            <w:tcW w:w="0" w:type="auto"/>
            <w:shd w:val="clear" w:color="auto" w:fill="auto"/>
            <w:vAlign w:val="center"/>
          </w:tcPr>
          <w:p>
            <w:pPr>
              <w:pStyle w:val="136"/>
            </w:pPr>
            <w:r>
              <w:t>300</w:t>
            </w:r>
          </w:p>
        </w:tc>
        <w:tc>
          <w:tcPr>
            <w:tcW w:w="0" w:type="auto"/>
            <w:shd w:val="clear" w:color="auto" w:fill="auto"/>
            <w:vAlign w:val="center"/>
          </w:tcPr>
          <w:p>
            <w:pPr>
              <w:pStyle w:val="136"/>
            </w:pPr>
            <w: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⑤</w:t>
            </w:r>
            <w:r>
              <w:t>运行管理费</w:t>
            </w:r>
          </w:p>
        </w:tc>
        <w:tc>
          <w:tcPr>
            <w:tcW w:w="1262" w:type="dxa"/>
            <w:shd w:val="clear" w:color="auto" w:fill="auto"/>
            <w:vAlign w:val="center"/>
          </w:tcPr>
          <w:p>
            <w:pPr>
              <w:pStyle w:val="136"/>
            </w:pPr>
            <w:r>
              <w:t>年</w:t>
            </w:r>
          </w:p>
        </w:tc>
        <w:tc>
          <w:tcPr>
            <w:tcW w:w="0" w:type="auto"/>
            <w:shd w:val="clear" w:color="auto" w:fill="auto"/>
            <w:vAlign w:val="center"/>
          </w:tcPr>
          <w:p>
            <w:pPr>
              <w:pStyle w:val="136"/>
            </w:pPr>
            <w:r>
              <w:t>3</w:t>
            </w:r>
          </w:p>
        </w:tc>
        <w:tc>
          <w:tcPr>
            <w:tcW w:w="0" w:type="auto"/>
            <w:shd w:val="clear" w:color="auto" w:fill="auto"/>
            <w:vAlign w:val="center"/>
          </w:tcPr>
          <w:p>
            <w:pPr>
              <w:pStyle w:val="136"/>
            </w:pPr>
            <w:r>
              <w:t>12000</w:t>
            </w:r>
          </w:p>
        </w:tc>
        <w:tc>
          <w:tcPr>
            <w:tcW w:w="0" w:type="auto"/>
            <w:shd w:val="clear" w:color="auto" w:fill="auto"/>
            <w:vAlign w:val="center"/>
          </w:tcPr>
          <w:p>
            <w:pPr>
              <w:pStyle w:val="136"/>
            </w:pPr>
            <w: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3.机械保养含油废水处理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土方开挖</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103</w:t>
            </w:r>
          </w:p>
        </w:tc>
        <w:tc>
          <w:tcPr>
            <w:tcW w:w="0" w:type="auto"/>
            <w:shd w:val="clear" w:color="auto" w:fill="auto"/>
            <w:vAlign w:val="center"/>
          </w:tcPr>
          <w:p>
            <w:pPr>
              <w:pStyle w:val="136"/>
            </w:pPr>
            <w:r>
              <w:t>18.28</w:t>
            </w:r>
          </w:p>
        </w:tc>
        <w:tc>
          <w:tcPr>
            <w:tcW w:w="0" w:type="auto"/>
            <w:shd w:val="clear" w:color="auto" w:fill="auto"/>
            <w:vAlign w:val="center"/>
          </w:tcPr>
          <w:p>
            <w:pPr>
              <w:pStyle w:val="136"/>
            </w:pPr>
            <w: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②</w:t>
            </w:r>
            <w:r>
              <w:t>C25混凝土</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45</w:t>
            </w:r>
          </w:p>
        </w:tc>
        <w:tc>
          <w:tcPr>
            <w:tcW w:w="0" w:type="auto"/>
            <w:shd w:val="clear" w:color="auto" w:fill="auto"/>
            <w:vAlign w:val="center"/>
          </w:tcPr>
          <w:p>
            <w:pPr>
              <w:pStyle w:val="136"/>
            </w:pPr>
            <w:r>
              <w:t>1039.19</w:t>
            </w:r>
          </w:p>
        </w:tc>
        <w:tc>
          <w:tcPr>
            <w:tcW w:w="0" w:type="auto"/>
            <w:shd w:val="clear" w:color="auto" w:fill="auto"/>
            <w:vAlign w:val="center"/>
          </w:tcPr>
          <w:p>
            <w:pPr>
              <w:pStyle w:val="136"/>
            </w:pPr>
            <w: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③</w:t>
            </w:r>
            <w:r>
              <w:t>钢筋</w:t>
            </w:r>
          </w:p>
        </w:tc>
        <w:tc>
          <w:tcPr>
            <w:tcW w:w="1262" w:type="dxa"/>
            <w:shd w:val="clear" w:color="auto" w:fill="auto"/>
            <w:vAlign w:val="center"/>
          </w:tcPr>
          <w:p>
            <w:pPr>
              <w:pStyle w:val="136"/>
            </w:pPr>
            <w:r>
              <w:t>t</w:t>
            </w:r>
          </w:p>
        </w:tc>
        <w:tc>
          <w:tcPr>
            <w:tcW w:w="0" w:type="auto"/>
            <w:shd w:val="clear" w:color="auto" w:fill="auto"/>
            <w:vAlign w:val="center"/>
          </w:tcPr>
          <w:p>
            <w:pPr>
              <w:pStyle w:val="136"/>
            </w:pPr>
            <w:r>
              <w:t>1.4</w:t>
            </w:r>
          </w:p>
        </w:tc>
        <w:tc>
          <w:tcPr>
            <w:tcW w:w="0" w:type="auto"/>
            <w:shd w:val="clear" w:color="auto" w:fill="auto"/>
            <w:vAlign w:val="center"/>
          </w:tcPr>
          <w:p>
            <w:pPr>
              <w:pStyle w:val="136"/>
            </w:pPr>
            <w:r>
              <w:t>4698.26</w:t>
            </w:r>
          </w:p>
        </w:tc>
        <w:tc>
          <w:tcPr>
            <w:tcW w:w="0" w:type="auto"/>
            <w:shd w:val="clear" w:color="auto" w:fill="auto"/>
            <w:vAlign w:val="center"/>
          </w:tcPr>
          <w:p>
            <w:pPr>
              <w:pStyle w:val="136"/>
            </w:pPr>
            <w: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④</w:t>
            </w:r>
            <w:r>
              <w:t>运行管理费</w:t>
            </w:r>
          </w:p>
        </w:tc>
        <w:tc>
          <w:tcPr>
            <w:tcW w:w="1262" w:type="dxa"/>
            <w:shd w:val="clear" w:color="auto" w:fill="auto"/>
            <w:vAlign w:val="center"/>
          </w:tcPr>
          <w:p>
            <w:pPr>
              <w:pStyle w:val="136"/>
            </w:pPr>
            <w:r>
              <w:t>年</w:t>
            </w:r>
          </w:p>
        </w:tc>
        <w:tc>
          <w:tcPr>
            <w:tcW w:w="0" w:type="auto"/>
            <w:shd w:val="clear" w:color="auto" w:fill="auto"/>
            <w:vAlign w:val="center"/>
          </w:tcPr>
          <w:p>
            <w:pPr>
              <w:pStyle w:val="136"/>
            </w:pPr>
            <w:r>
              <w:t>3</w:t>
            </w:r>
          </w:p>
        </w:tc>
        <w:tc>
          <w:tcPr>
            <w:tcW w:w="0" w:type="auto"/>
            <w:shd w:val="clear" w:color="auto" w:fill="auto"/>
            <w:vAlign w:val="center"/>
          </w:tcPr>
          <w:p>
            <w:pPr>
              <w:pStyle w:val="136"/>
            </w:pPr>
            <w:r>
              <w:t>12000</w:t>
            </w:r>
          </w:p>
        </w:tc>
        <w:tc>
          <w:tcPr>
            <w:tcW w:w="0" w:type="auto"/>
            <w:shd w:val="clear" w:color="auto" w:fill="auto"/>
            <w:vAlign w:val="center"/>
          </w:tcPr>
          <w:p>
            <w:pPr>
              <w:pStyle w:val="136"/>
            </w:pPr>
            <w: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4.洞室废水处理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①</w:t>
            </w:r>
            <w:r>
              <w:t>土石方工程</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282</w:t>
            </w:r>
          </w:p>
        </w:tc>
        <w:tc>
          <w:tcPr>
            <w:tcW w:w="0" w:type="auto"/>
            <w:shd w:val="clear" w:color="auto" w:fill="auto"/>
            <w:vAlign w:val="center"/>
          </w:tcPr>
          <w:p>
            <w:pPr>
              <w:pStyle w:val="136"/>
            </w:pPr>
            <w:r>
              <w:t>18.28</w:t>
            </w:r>
          </w:p>
        </w:tc>
        <w:tc>
          <w:tcPr>
            <w:tcW w:w="0" w:type="auto"/>
            <w:shd w:val="clear" w:color="auto" w:fill="auto"/>
            <w:vAlign w:val="center"/>
          </w:tcPr>
          <w:p>
            <w:pPr>
              <w:pStyle w:val="136"/>
            </w:pPr>
            <w: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②</w:t>
            </w:r>
            <w:r>
              <w:t>C25混凝土</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19</w:t>
            </w:r>
          </w:p>
        </w:tc>
        <w:tc>
          <w:tcPr>
            <w:tcW w:w="0" w:type="auto"/>
            <w:shd w:val="clear" w:color="auto" w:fill="auto"/>
            <w:vAlign w:val="center"/>
          </w:tcPr>
          <w:p>
            <w:pPr>
              <w:pStyle w:val="136"/>
            </w:pPr>
            <w:r>
              <w:t>1039.19</w:t>
            </w:r>
          </w:p>
        </w:tc>
        <w:tc>
          <w:tcPr>
            <w:tcW w:w="0" w:type="auto"/>
            <w:shd w:val="clear" w:color="auto" w:fill="auto"/>
            <w:vAlign w:val="center"/>
          </w:tcPr>
          <w:p>
            <w:pPr>
              <w:pStyle w:val="136"/>
            </w:pPr>
            <w: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③</w:t>
            </w:r>
            <w:r>
              <w:t>运行管理费</w:t>
            </w:r>
          </w:p>
        </w:tc>
        <w:tc>
          <w:tcPr>
            <w:tcW w:w="1262" w:type="dxa"/>
            <w:shd w:val="clear" w:color="auto" w:fill="auto"/>
            <w:vAlign w:val="center"/>
          </w:tcPr>
          <w:p>
            <w:pPr>
              <w:pStyle w:val="136"/>
            </w:pPr>
            <w:r>
              <w:t>年</w:t>
            </w:r>
          </w:p>
        </w:tc>
        <w:tc>
          <w:tcPr>
            <w:tcW w:w="0" w:type="auto"/>
            <w:shd w:val="clear" w:color="auto" w:fill="auto"/>
            <w:vAlign w:val="center"/>
          </w:tcPr>
          <w:p>
            <w:pPr>
              <w:pStyle w:val="136"/>
            </w:pPr>
            <w:r>
              <w:t>3</w:t>
            </w:r>
          </w:p>
        </w:tc>
        <w:tc>
          <w:tcPr>
            <w:tcW w:w="0" w:type="auto"/>
            <w:shd w:val="clear" w:color="auto" w:fill="auto"/>
            <w:vAlign w:val="center"/>
          </w:tcPr>
          <w:p>
            <w:pPr>
              <w:pStyle w:val="136"/>
            </w:pPr>
            <w:r>
              <w:t>12000</w:t>
            </w:r>
          </w:p>
        </w:tc>
        <w:tc>
          <w:tcPr>
            <w:tcW w:w="0" w:type="auto"/>
            <w:shd w:val="clear" w:color="auto" w:fill="auto"/>
            <w:vAlign w:val="center"/>
          </w:tcPr>
          <w:p>
            <w:pPr>
              <w:pStyle w:val="136"/>
            </w:pPr>
            <w: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（2）生活污水处理</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87.65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1.化粪池</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41.65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土方开挖</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3322</w:t>
            </w:r>
          </w:p>
        </w:tc>
        <w:tc>
          <w:tcPr>
            <w:tcW w:w="0" w:type="auto"/>
            <w:shd w:val="clear" w:color="auto" w:fill="auto"/>
            <w:vAlign w:val="center"/>
          </w:tcPr>
          <w:p>
            <w:pPr>
              <w:pStyle w:val="136"/>
            </w:pPr>
            <w:r>
              <w:t>18.28</w:t>
            </w:r>
          </w:p>
        </w:tc>
        <w:tc>
          <w:tcPr>
            <w:tcW w:w="0" w:type="auto"/>
            <w:shd w:val="clear" w:color="auto" w:fill="auto"/>
            <w:vAlign w:val="center"/>
          </w:tcPr>
          <w:p>
            <w:pPr>
              <w:pStyle w:val="136"/>
            </w:pPr>
            <w:r>
              <w:t>6.072616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②</w:t>
            </w:r>
            <w:r>
              <w:t>土方回填</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1702</w:t>
            </w:r>
          </w:p>
        </w:tc>
        <w:tc>
          <w:tcPr>
            <w:tcW w:w="0" w:type="auto"/>
            <w:shd w:val="clear" w:color="auto" w:fill="auto"/>
            <w:vAlign w:val="center"/>
          </w:tcPr>
          <w:p>
            <w:pPr>
              <w:pStyle w:val="136"/>
            </w:pPr>
            <w:r>
              <w:t>114.7</w:t>
            </w:r>
          </w:p>
        </w:tc>
        <w:tc>
          <w:tcPr>
            <w:tcW w:w="0" w:type="auto"/>
            <w:shd w:val="clear" w:color="auto" w:fill="auto"/>
            <w:vAlign w:val="center"/>
          </w:tcPr>
          <w:p>
            <w:pPr>
              <w:pStyle w:val="136"/>
            </w:pPr>
            <w:r>
              <w:t>19.52194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③</w:t>
            </w:r>
            <w:r>
              <w:t>灰土夯实垫层</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160</w:t>
            </w:r>
          </w:p>
        </w:tc>
        <w:tc>
          <w:tcPr>
            <w:tcW w:w="0" w:type="auto"/>
            <w:shd w:val="clear" w:color="auto" w:fill="auto"/>
            <w:vAlign w:val="center"/>
          </w:tcPr>
          <w:p>
            <w:pPr>
              <w:pStyle w:val="136"/>
            </w:pPr>
            <w:r>
              <w:t>462.3</w:t>
            </w:r>
          </w:p>
        </w:tc>
        <w:tc>
          <w:tcPr>
            <w:tcW w:w="0" w:type="auto"/>
            <w:shd w:val="clear" w:color="auto" w:fill="auto"/>
            <w:vAlign w:val="center"/>
          </w:tcPr>
          <w:p>
            <w:pPr>
              <w:pStyle w:val="136"/>
            </w:pPr>
            <w:r>
              <w:t>7.3968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④</w:t>
            </w:r>
            <w:r>
              <w:t>砂土垫层</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160</w:t>
            </w:r>
          </w:p>
        </w:tc>
        <w:tc>
          <w:tcPr>
            <w:tcW w:w="0" w:type="auto"/>
            <w:shd w:val="clear" w:color="auto" w:fill="auto"/>
            <w:vAlign w:val="center"/>
          </w:tcPr>
          <w:p>
            <w:pPr>
              <w:pStyle w:val="136"/>
            </w:pPr>
            <w:r>
              <w:t>316.4</w:t>
            </w:r>
          </w:p>
        </w:tc>
        <w:tc>
          <w:tcPr>
            <w:tcW w:w="0" w:type="auto"/>
            <w:shd w:val="clear" w:color="auto" w:fill="auto"/>
            <w:vAlign w:val="center"/>
          </w:tcPr>
          <w:p>
            <w:pPr>
              <w:pStyle w:val="136"/>
            </w:pPr>
            <w:r>
              <w:t>5.0624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⑤</w:t>
            </w:r>
            <w:r>
              <w:t>运行管理费</w:t>
            </w:r>
          </w:p>
        </w:tc>
        <w:tc>
          <w:tcPr>
            <w:tcW w:w="1262" w:type="dxa"/>
            <w:shd w:val="clear" w:color="auto" w:fill="auto"/>
            <w:vAlign w:val="center"/>
          </w:tcPr>
          <w:p>
            <w:pPr>
              <w:pStyle w:val="136"/>
            </w:pPr>
          </w:p>
        </w:tc>
        <w:tc>
          <w:tcPr>
            <w:tcW w:w="0" w:type="auto"/>
            <w:shd w:val="clear" w:color="auto" w:fill="auto"/>
            <w:vAlign w:val="center"/>
          </w:tcPr>
          <w:p>
            <w:pPr>
              <w:pStyle w:val="136"/>
            </w:pPr>
            <w:r>
              <w:t>3</w:t>
            </w:r>
          </w:p>
        </w:tc>
        <w:tc>
          <w:tcPr>
            <w:tcW w:w="0" w:type="auto"/>
            <w:shd w:val="clear" w:color="auto" w:fill="auto"/>
            <w:vAlign w:val="center"/>
          </w:tcPr>
          <w:p>
            <w:pPr>
              <w:pStyle w:val="136"/>
            </w:pPr>
            <w:r>
              <w:t>12000</w:t>
            </w:r>
          </w:p>
        </w:tc>
        <w:tc>
          <w:tcPr>
            <w:tcW w:w="0" w:type="auto"/>
            <w:shd w:val="clear" w:color="auto" w:fill="auto"/>
            <w:vAlign w:val="center"/>
          </w:tcPr>
          <w:p>
            <w:pPr>
              <w:pStyle w:val="136"/>
            </w:pPr>
            <w: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2.一体化成套处理设备</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土方开挖</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1495</w:t>
            </w:r>
          </w:p>
        </w:tc>
        <w:tc>
          <w:tcPr>
            <w:tcW w:w="0" w:type="auto"/>
            <w:shd w:val="clear" w:color="auto" w:fill="auto"/>
            <w:vAlign w:val="center"/>
          </w:tcPr>
          <w:p>
            <w:pPr>
              <w:pStyle w:val="136"/>
            </w:pPr>
            <w:r>
              <w:t>18.28</w:t>
            </w:r>
          </w:p>
        </w:tc>
        <w:tc>
          <w:tcPr>
            <w:tcW w:w="0" w:type="auto"/>
            <w:shd w:val="clear" w:color="auto" w:fill="auto"/>
            <w:vAlign w:val="center"/>
          </w:tcPr>
          <w:p>
            <w:pPr>
              <w:pStyle w:val="136"/>
            </w:pPr>
            <w:r>
              <w:t>2.73286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②</w:t>
            </w:r>
            <w:r>
              <w:t>C25混凝土</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156</w:t>
            </w:r>
          </w:p>
        </w:tc>
        <w:tc>
          <w:tcPr>
            <w:tcW w:w="0" w:type="auto"/>
            <w:shd w:val="clear" w:color="auto" w:fill="auto"/>
            <w:vAlign w:val="center"/>
          </w:tcPr>
          <w:p>
            <w:pPr>
              <w:pStyle w:val="136"/>
            </w:pPr>
            <w:r>
              <w:t>1039.19</w:t>
            </w:r>
          </w:p>
        </w:tc>
        <w:tc>
          <w:tcPr>
            <w:tcW w:w="0" w:type="auto"/>
            <w:shd w:val="clear" w:color="auto" w:fill="auto"/>
            <w:vAlign w:val="center"/>
          </w:tcPr>
          <w:p>
            <w:pPr>
              <w:pStyle w:val="136"/>
            </w:pPr>
            <w:r>
              <w:t>16.211364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③</w:t>
            </w:r>
            <w:r>
              <w:t>钢筋</w:t>
            </w:r>
          </w:p>
        </w:tc>
        <w:tc>
          <w:tcPr>
            <w:tcW w:w="1262" w:type="dxa"/>
            <w:shd w:val="clear" w:color="auto" w:fill="auto"/>
            <w:vAlign w:val="center"/>
          </w:tcPr>
          <w:p>
            <w:pPr>
              <w:pStyle w:val="136"/>
            </w:pPr>
            <w:r>
              <w:t>t</w:t>
            </w:r>
          </w:p>
        </w:tc>
        <w:tc>
          <w:tcPr>
            <w:tcW w:w="0" w:type="auto"/>
            <w:shd w:val="clear" w:color="auto" w:fill="auto"/>
            <w:vAlign w:val="center"/>
          </w:tcPr>
          <w:p>
            <w:pPr>
              <w:pStyle w:val="136"/>
            </w:pPr>
            <w:r>
              <w:t>20</w:t>
            </w:r>
          </w:p>
        </w:tc>
        <w:tc>
          <w:tcPr>
            <w:tcW w:w="0" w:type="auto"/>
            <w:shd w:val="clear" w:color="auto" w:fill="auto"/>
            <w:vAlign w:val="center"/>
          </w:tcPr>
          <w:p>
            <w:pPr>
              <w:pStyle w:val="136"/>
            </w:pPr>
            <w:r>
              <w:t>4698.26</w:t>
            </w:r>
          </w:p>
        </w:tc>
        <w:tc>
          <w:tcPr>
            <w:tcW w:w="0" w:type="auto"/>
            <w:shd w:val="clear" w:color="auto" w:fill="auto"/>
            <w:vAlign w:val="center"/>
          </w:tcPr>
          <w:p>
            <w:pPr>
              <w:pStyle w:val="136"/>
            </w:pPr>
            <w:r>
              <w:t>9.39652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rPr>
                <w:rFonts w:hint="eastAsia" w:ascii="宋体" w:hAnsi="宋体" w:cs="宋体"/>
              </w:rPr>
              <w:t>④</w:t>
            </w:r>
            <w:r>
              <w:t>混凝土预制板</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25</w:t>
            </w:r>
          </w:p>
        </w:tc>
        <w:tc>
          <w:tcPr>
            <w:tcW w:w="0" w:type="auto"/>
            <w:shd w:val="clear" w:color="auto" w:fill="auto"/>
            <w:vAlign w:val="center"/>
          </w:tcPr>
          <w:p>
            <w:pPr>
              <w:pStyle w:val="136"/>
            </w:pPr>
            <w:r>
              <w:t>750</w:t>
            </w:r>
          </w:p>
        </w:tc>
        <w:tc>
          <w:tcPr>
            <w:tcW w:w="0" w:type="auto"/>
            <w:shd w:val="clear" w:color="auto" w:fill="auto"/>
            <w:vAlign w:val="center"/>
          </w:tcPr>
          <w:p>
            <w:pPr>
              <w:pStyle w:val="136"/>
            </w:pPr>
            <w: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⑤</w:t>
            </w:r>
            <w:r>
              <w:t>砌石</w:t>
            </w:r>
          </w:p>
        </w:tc>
        <w:tc>
          <w:tcPr>
            <w:tcW w:w="1262" w:type="dxa"/>
            <w:shd w:val="clear" w:color="auto" w:fill="auto"/>
            <w:vAlign w:val="center"/>
          </w:tcPr>
          <w:p>
            <w:pPr>
              <w:pStyle w:val="136"/>
            </w:pPr>
            <w:r>
              <w:t>m</w:t>
            </w:r>
            <w:r>
              <w:rPr>
                <w:vertAlign w:val="superscript"/>
              </w:rPr>
              <w:t>3</w:t>
            </w:r>
          </w:p>
        </w:tc>
        <w:tc>
          <w:tcPr>
            <w:tcW w:w="0" w:type="auto"/>
            <w:shd w:val="clear" w:color="auto" w:fill="auto"/>
            <w:vAlign w:val="center"/>
          </w:tcPr>
          <w:p>
            <w:pPr>
              <w:pStyle w:val="136"/>
            </w:pPr>
            <w:r>
              <w:t>256</w:t>
            </w:r>
          </w:p>
        </w:tc>
        <w:tc>
          <w:tcPr>
            <w:tcW w:w="0" w:type="auto"/>
            <w:shd w:val="clear" w:color="auto" w:fill="auto"/>
            <w:vAlign w:val="center"/>
          </w:tcPr>
          <w:p>
            <w:pPr>
              <w:pStyle w:val="136"/>
            </w:pPr>
            <w:r>
              <w:t>300</w:t>
            </w:r>
          </w:p>
        </w:tc>
        <w:tc>
          <w:tcPr>
            <w:tcW w:w="0" w:type="auto"/>
            <w:shd w:val="clear" w:color="auto" w:fill="auto"/>
            <w:vAlign w:val="center"/>
          </w:tcPr>
          <w:p>
            <w:pPr>
              <w:pStyle w:val="136"/>
            </w:pPr>
            <w: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⑥</w:t>
            </w:r>
            <w:r>
              <w:t>砖混暖房</w:t>
            </w:r>
          </w:p>
        </w:tc>
        <w:tc>
          <w:tcPr>
            <w:tcW w:w="1262" w:type="dxa"/>
            <w:shd w:val="clear" w:color="auto" w:fill="auto"/>
            <w:vAlign w:val="center"/>
          </w:tcPr>
          <w:p>
            <w:pPr>
              <w:pStyle w:val="136"/>
            </w:pPr>
            <w:r>
              <w:t>m</w:t>
            </w:r>
            <w:r>
              <w:rPr>
                <w:vertAlign w:val="superscript"/>
              </w:rPr>
              <w:t>2</w:t>
            </w:r>
          </w:p>
        </w:tc>
        <w:tc>
          <w:tcPr>
            <w:tcW w:w="0" w:type="auto"/>
            <w:shd w:val="clear" w:color="auto" w:fill="auto"/>
            <w:vAlign w:val="center"/>
          </w:tcPr>
          <w:p>
            <w:pPr>
              <w:pStyle w:val="136"/>
            </w:pPr>
            <w:r>
              <w:t>30</w:t>
            </w:r>
          </w:p>
        </w:tc>
        <w:tc>
          <w:tcPr>
            <w:tcW w:w="0" w:type="auto"/>
            <w:shd w:val="clear" w:color="auto" w:fill="auto"/>
            <w:vAlign w:val="center"/>
          </w:tcPr>
          <w:p>
            <w:pPr>
              <w:pStyle w:val="136"/>
            </w:pPr>
            <w:r>
              <w:t>1500</w:t>
            </w:r>
          </w:p>
        </w:tc>
        <w:tc>
          <w:tcPr>
            <w:tcW w:w="0" w:type="auto"/>
            <w:shd w:val="clear" w:color="auto" w:fill="auto"/>
            <w:vAlign w:val="center"/>
          </w:tcPr>
          <w:p>
            <w:pPr>
              <w:pStyle w:val="136"/>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⑥</w:t>
            </w:r>
            <w:r>
              <w:t>运行管理费</w:t>
            </w:r>
          </w:p>
        </w:tc>
        <w:tc>
          <w:tcPr>
            <w:tcW w:w="1262" w:type="dxa"/>
            <w:shd w:val="clear" w:color="auto" w:fill="auto"/>
            <w:vAlign w:val="center"/>
          </w:tcPr>
          <w:p>
            <w:pPr>
              <w:pStyle w:val="136"/>
            </w:pPr>
            <w:r>
              <w:t>年</w:t>
            </w:r>
          </w:p>
        </w:tc>
        <w:tc>
          <w:tcPr>
            <w:tcW w:w="0" w:type="auto"/>
            <w:shd w:val="clear" w:color="auto" w:fill="auto"/>
            <w:vAlign w:val="center"/>
          </w:tcPr>
          <w:p>
            <w:pPr>
              <w:pStyle w:val="136"/>
            </w:pPr>
            <w:r>
              <w:t>3</w:t>
            </w:r>
          </w:p>
        </w:tc>
        <w:tc>
          <w:tcPr>
            <w:tcW w:w="0" w:type="auto"/>
            <w:shd w:val="clear" w:color="auto" w:fill="auto"/>
            <w:vAlign w:val="center"/>
          </w:tcPr>
          <w:p>
            <w:pPr>
              <w:pStyle w:val="136"/>
            </w:pPr>
            <w:r>
              <w:t>12000</w:t>
            </w:r>
          </w:p>
        </w:tc>
        <w:tc>
          <w:tcPr>
            <w:tcW w:w="0" w:type="auto"/>
            <w:shd w:val="clear" w:color="auto" w:fill="auto"/>
            <w:vAlign w:val="center"/>
          </w:tcPr>
          <w:p>
            <w:pPr>
              <w:pStyle w:val="136"/>
            </w:pPr>
            <w: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2</w:t>
            </w:r>
          </w:p>
        </w:tc>
        <w:tc>
          <w:tcPr>
            <w:tcW w:w="2835" w:type="dxa"/>
            <w:shd w:val="clear" w:color="auto" w:fill="auto"/>
            <w:vAlign w:val="center"/>
          </w:tcPr>
          <w:p>
            <w:pPr>
              <w:pStyle w:val="136"/>
            </w:pPr>
            <w:r>
              <w:t>空气环境质量防治</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防尘口罩</w:t>
            </w:r>
          </w:p>
        </w:tc>
        <w:tc>
          <w:tcPr>
            <w:tcW w:w="1262" w:type="dxa"/>
            <w:shd w:val="clear" w:color="auto" w:fill="auto"/>
            <w:vAlign w:val="center"/>
          </w:tcPr>
          <w:p>
            <w:pPr>
              <w:pStyle w:val="136"/>
            </w:pPr>
            <w:r>
              <w:t>个</w:t>
            </w:r>
          </w:p>
        </w:tc>
        <w:tc>
          <w:tcPr>
            <w:tcW w:w="0" w:type="auto"/>
            <w:shd w:val="clear" w:color="auto" w:fill="auto"/>
            <w:vAlign w:val="center"/>
          </w:tcPr>
          <w:p>
            <w:pPr>
              <w:pStyle w:val="136"/>
            </w:pPr>
            <w:r>
              <w:t>650</w:t>
            </w:r>
          </w:p>
        </w:tc>
        <w:tc>
          <w:tcPr>
            <w:tcW w:w="0" w:type="auto"/>
            <w:shd w:val="clear" w:color="auto" w:fill="auto"/>
            <w:vAlign w:val="center"/>
          </w:tcPr>
          <w:p>
            <w:pPr>
              <w:pStyle w:val="136"/>
            </w:pPr>
            <w:r>
              <w:t>30</w:t>
            </w:r>
          </w:p>
        </w:tc>
        <w:tc>
          <w:tcPr>
            <w:tcW w:w="0" w:type="auto"/>
            <w:shd w:val="clear" w:color="auto" w:fill="auto"/>
            <w:vAlign w:val="center"/>
          </w:tcPr>
          <w:p>
            <w:pPr>
              <w:pStyle w:val="136"/>
            </w:pPr>
            <w: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3</w:t>
            </w:r>
          </w:p>
        </w:tc>
        <w:tc>
          <w:tcPr>
            <w:tcW w:w="2835" w:type="dxa"/>
            <w:shd w:val="clear" w:color="auto" w:fill="auto"/>
            <w:vAlign w:val="center"/>
          </w:tcPr>
          <w:p>
            <w:pPr>
              <w:pStyle w:val="136"/>
            </w:pPr>
            <w:r>
              <w:t>噪声防治</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防噪用具</w:t>
            </w:r>
          </w:p>
        </w:tc>
        <w:tc>
          <w:tcPr>
            <w:tcW w:w="1262" w:type="dxa"/>
            <w:shd w:val="clear" w:color="auto" w:fill="auto"/>
            <w:vAlign w:val="center"/>
          </w:tcPr>
          <w:p>
            <w:pPr>
              <w:pStyle w:val="136"/>
            </w:pPr>
            <w:r>
              <w:t>个</w:t>
            </w:r>
          </w:p>
        </w:tc>
        <w:tc>
          <w:tcPr>
            <w:tcW w:w="0" w:type="auto"/>
            <w:shd w:val="clear" w:color="auto" w:fill="auto"/>
            <w:vAlign w:val="center"/>
          </w:tcPr>
          <w:p>
            <w:pPr>
              <w:pStyle w:val="136"/>
            </w:pPr>
            <w:r>
              <w:t>650</w:t>
            </w:r>
          </w:p>
        </w:tc>
        <w:tc>
          <w:tcPr>
            <w:tcW w:w="0" w:type="auto"/>
            <w:shd w:val="clear" w:color="auto" w:fill="auto"/>
            <w:vAlign w:val="center"/>
          </w:tcPr>
          <w:p>
            <w:pPr>
              <w:pStyle w:val="136"/>
            </w:pPr>
            <w:r>
              <w:t>50</w:t>
            </w:r>
          </w:p>
        </w:tc>
        <w:tc>
          <w:tcPr>
            <w:tcW w:w="0" w:type="auto"/>
            <w:shd w:val="clear" w:color="auto" w:fill="auto"/>
            <w:vAlign w:val="center"/>
          </w:tcPr>
          <w:p>
            <w:pPr>
              <w:pStyle w:val="136"/>
            </w:pPr>
            <w: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4</w:t>
            </w:r>
          </w:p>
        </w:tc>
        <w:tc>
          <w:tcPr>
            <w:tcW w:w="2835" w:type="dxa"/>
            <w:shd w:val="clear" w:color="auto" w:fill="auto"/>
            <w:noWrap/>
            <w:vAlign w:val="center"/>
          </w:tcPr>
          <w:p>
            <w:pPr>
              <w:pStyle w:val="136"/>
            </w:pPr>
            <w:r>
              <w:t>生活垃圾处理及厕所建设</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2.792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环保厕所</w:t>
            </w:r>
          </w:p>
        </w:tc>
        <w:tc>
          <w:tcPr>
            <w:tcW w:w="1262" w:type="dxa"/>
            <w:shd w:val="clear" w:color="auto" w:fill="auto"/>
            <w:vAlign w:val="center"/>
          </w:tcPr>
          <w:p>
            <w:pPr>
              <w:pStyle w:val="136"/>
            </w:pPr>
            <w:r>
              <w:t>座</w:t>
            </w:r>
          </w:p>
        </w:tc>
        <w:tc>
          <w:tcPr>
            <w:tcW w:w="0" w:type="auto"/>
            <w:shd w:val="clear" w:color="auto" w:fill="auto"/>
            <w:vAlign w:val="center"/>
          </w:tcPr>
          <w:p>
            <w:pPr>
              <w:pStyle w:val="136"/>
            </w:pPr>
            <w:r>
              <w:t>4</w:t>
            </w:r>
          </w:p>
        </w:tc>
        <w:tc>
          <w:tcPr>
            <w:tcW w:w="0" w:type="auto"/>
            <w:shd w:val="clear" w:color="auto" w:fill="auto"/>
            <w:vAlign w:val="center"/>
          </w:tcPr>
          <w:p>
            <w:pPr>
              <w:pStyle w:val="136"/>
            </w:pPr>
            <w:r>
              <w:t>5000</w:t>
            </w:r>
          </w:p>
        </w:tc>
        <w:tc>
          <w:tcPr>
            <w:tcW w:w="0" w:type="auto"/>
            <w:shd w:val="clear" w:color="auto" w:fill="auto"/>
            <w:vAlign w:val="center"/>
          </w:tcPr>
          <w:p>
            <w:pPr>
              <w:pStyle w:val="136"/>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②</w:t>
            </w:r>
            <w:r>
              <w:t>垃圾清运</w:t>
            </w:r>
          </w:p>
        </w:tc>
        <w:tc>
          <w:tcPr>
            <w:tcW w:w="1262" w:type="dxa"/>
            <w:shd w:val="clear" w:color="auto" w:fill="auto"/>
            <w:vAlign w:val="center"/>
          </w:tcPr>
          <w:p>
            <w:pPr>
              <w:pStyle w:val="136"/>
            </w:pPr>
            <w:r>
              <w:t>t</w:t>
            </w:r>
          </w:p>
        </w:tc>
        <w:tc>
          <w:tcPr>
            <w:tcW w:w="0" w:type="auto"/>
            <w:shd w:val="clear" w:color="auto" w:fill="auto"/>
            <w:vAlign w:val="center"/>
          </w:tcPr>
          <w:p>
            <w:pPr>
              <w:pStyle w:val="136"/>
            </w:pPr>
            <w:r>
              <w:t>44</w:t>
            </w:r>
          </w:p>
        </w:tc>
        <w:tc>
          <w:tcPr>
            <w:tcW w:w="0" w:type="auto"/>
            <w:shd w:val="clear" w:color="auto" w:fill="auto"/>
            <w:vAlign w:val="center"/>
          </w:tcPr>
          <w:p>
            <w:pPr>
              <w:pStyle w:val="136"/>
            </w:pPr>
            <w:r>
              <w:t>180</w:t>
            </w:r>
          </w:p>
        </w:tc>
        <w:tc>
          <w:tcPr>
            <w:tcW w:w="0" w:type="auto"/>
            <w:shd w:val="clear" w:color="auto" w:fill="auto"/>
            <w:vAlign w:val="center"/>
          </w:tcPr>
          <w:p>
            <w:pPr>
              <w:pStyle w:val="136"/>
            </w:pPr>
            <w:r>
              <w:t>0.792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5</w:t>
            </w:r>
          </w:p>
        </w:tc>
        <w:tc>
          <w:tcPr>
            <w:tcW w:w="2835" w:type="dxa"/>
            <w:shd w:val="clear" w:color="auto" w:fill="auto"/>
            <w:noWrap/>
            <w:vAlign w:val="center"/>
          </w:tcPr>
          <w:p>
            <w:pPr>
              <w:pStyle w:val="136"/>
            </w:pPr>
            <w:r>
              <w:t>环境保护宣传</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rPr>
                <w:rFonts w:hint="eastAsia" w:ascii="宋体" w:hAnsi="宋体" w:cs="宋体"/>
              </w:rPr>
              <w:t>①</w:t>
            </w:r>
            <w:r>
              <w:t>宣传牌</w:t>
            </w:r>
          </w:p>
        </w:tc>
        <w:tc>
          <w:tcPr>
            <w:tcW w:w="1262" w:type="dxa"/>
            <w:shd w:val="clear" w:color="auto" w:fill="auto"/>
            <w:vAlign w:val="center"/>
          </w:tcPr>
          <w:p>
            <w:pPr>
              <w:pStyle w:val="136"/>
            </w:pPr>
            <w:r>
              <w:t>块</w:t>
            </w:r>
          </w:p>
        </w:tc>
        <w:tc>
          <w:tcPr>
            <w:tcW w:w="0" w:type="auto"/>
            <w:shd w:val="clear" w:color="auto" w:fill="auto"/>
            <w:vAlign w:val="center"/>
          </w:tcPr>
          <w:p>
            <w:pPr>
              <w:pStyle w:val="136"/>
            </w:pPr>
            <w:r>
              <w:t>6</w:t>
            </w:r>
          </w:p>
        </w:tc>
        <w:tc>
          <w:tcPr>
            <w:tcW w:w="0" w:type="auto"/>
            <w:shd w:val="clear" w:color="auto" w:fill="auto"/>
            <w:vAlign w:val="center"/>
          </w:tcPr>
          <w:p>
            <w:pPr>
              <w:pStyle w:val="136"/>
            </w:pPr>
            <w:r>
              <w:t>1000</w:t>
            </w:r>
          </w:p>
        </w:tc>
        <w:tc>
          <w:tcPr>
            <w:tcW w:w="0" w:type="auto"/>
            <w:shd w:val="clear" w:color="auto" w:fill="auto"/>
            <w:vAlign w:val="center"/>
          </w:tcPr>
          <w:p>
            <w:pPr>
              <w:pStyle w:val="136"/>
            </w:pPr>
            <w: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2"/>
            <w:shd w:val="clear" w:color="auto" w:fill="auto"/>
            <w:vAlign w:val="center"/>
          </w:tcPr>
          <w:p>
            <w:pPr>
              <w:pStyle w:val="136"/>
            </w:pPr>
            <w:r>
              <w:t>第一~四部分合计</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rPr>
                <w:bCs/>
              </w:rPr>
            </w:pPr>
            <w:r>
              <w:rPr>
                <w:bCs/>
              </w:rPr>
              <w:t>332.75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2"/>
            <w:shd w:val="clear" w:color="auto" w:fill="auto"/>
            <w:vAlign w:val="center"/>
          </w:tcPr>
          <w:p>
            <w:pPr>
              <w:pStyle w:val="136"/>
            </w:pPr>
            <w:r>
              <w:t>第五部分  独立费用</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rPr>
                <w:bCs/>
              </w:rPr>
            </w:pPr>
            <w:r>
              <w:rPr>
                <w:bCs/>
              </w:rPr>
              <w:t>200.58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1</w:t>
            </w:r>
          </w:p>
        </w:tc>
        <w:tc>
          <w:tcPr>
            <w:tcW w:w="2835" w:type="dxa"/>
            <w:shd w:val="clear" w:color="auto" w:fill="auto"/>
            <w:vAlign w:val="center"/>
          </w:tcPr>
          <w:p>
            <w:pPr>
              <w:pStyle w:val="136"/>
            </w:pPr>
            <w:r>
              <w:t>建设管理费</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（1）环境管理人员经常费（2.5%）</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vAlign w:val="center"/>
          </w:tcPr>
          <w:p>
            <w:pPr>
              <w:pStyle w:val="136"/>
            </w:pPr>
            <w:r>
              <w:t>（2）环境保护宣传及技术培训费（1.5%）</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2</w:t>
            </w:r>
          </w:p>
        </w:tc>
        <w:tc>
          <w:tcPr>
            <w:tcW w:w="2835" w:type="dxa"/>
            <w:shd w:val="clear" w:color="auto" w:fill="auto"/>
            <w:vAlign w:val="center"/>
          </w:tcPr>
          <w:p>
            <w:pPr>
              <w:pStyle w:val="136"/>
            </w:pPr>
            <w:r>
              <w:t>环境监理费</w:t>
            </w:r>
          </w:p>
        </w:tc>
        <w:tc>
          <w:tcPr>
            <w:tcW w:w="1262" w:type="dxa"/>
            <w:shd w:val="clear" w:color="auto" w:fill="auto"/>
            <w:noWrap/>
            <w:vAlign w:val="center"/>
          </w:tcPr>
          <w:p>
            <w:pPr>
              <w:pStyle w:val="136"/>
            </w:pPr>
            <w:r>
              <w:t>年·人</w:t>
            </w:r>
          </w:p>
        </w:tc>
        <w:tc>
          <w:tcPr>
            <w:tcW w:w="0" w:type="auto"/>
            <w:shd w:val="clear" w:color="auto" w:fill="auto"/>
            <w:noWrap/>
            <w:vAlign w:val="center"/>
          </w:tcPr>
          <w:p>
            <w:pPr>
              <w:pStyle w:val="136"/>
            </w:pPr>
            <w:r>
              <w:t>3年*1人</w:t>
            </w:r>
          </w:p>
        </w:tc>
        <w:tc>
          <w:tcPr>
            <w:tcW w:w="0" w:type="auto"/>
            <w:shd w:val="clear" w:color="auto" w:fill="auto"/>
            <w:vAlign w:val="center"/>
          </w:tcPr>
          <w:p>
            <w:pPr>
              <w:pStyle w:val="136"/>
            </w:pPr>
            <w:r>
              <w:t>80000</w:t>
            </w:r>
          </w:p>
        </w:tc>
        <w:tc>
          <w:tcPr>
            <w:tcW w:w="0" w:type="auto"/>
            <w:shd w:val="clear" w:color="auto" w:fill="auto"/>
            <w:vAlign w:val="center"/>
          </w:tcPr>
          <w:p>
            <w:pPr>
              <w:pStyle w:val="136"/>
            </w:pP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r>
              <w:t>3</w:t>
            </w:r>
          </w:p>
        </w:tc>
        <w:tc>
          <w:tcPr>
            <w:tcW w:w="2835" w:type="dxa"/>
            <w:shd w:val="clear" w:color="auto" w:fill="auto"/>
            <w:vAlign w:val="center"/>
          </w:tcPr>
          <w:p>
            <w:pPr>
              <w:pStyle w:val="136"/>
            </w:pPr>
            <w:r>
              <w:t>环境保护科研勘测设计咨询费</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163.27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t>（1）科研及特殊专项费</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33.27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t>（2）环评报告书编制费</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t>（3）环境保护勘察设计费</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4" w:type="dxa"/>
            <w:shd w:val="clear" w:color="auto" w:fill="auto"/>
            <w:vAlign w:val="center"/>
          </w:tcPr>
          <w:p>
            <w:pPr>
              <w:pStyle w:val="136"/>
            </w:pPr>
          </w:p>
        </w:tc>
        <w:tc>
          <w:tcPr>
            <w:tcW w:w="2835" w:type="dxa"/>
            <w:shd w:val="clear" w:color="auto" w:fill="auto"/>
            <w:noWrap/>
            <w:vAlign w:val="center"/>
          </w:tcPr>
          <w:p>
            <w:pPr>
              <w:pStyle w:val="136"/>
            </w:pPr>
            <w:r>
              <w:t>(4)竣工环境保护验收费</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2"/>
            <w:shd w:val="clear" w:color="auto" w:fill="auto"/>
            <w:vAlign w:val="center"/>
          </w:tcPr>
          <w:p>
            <w:pPr>
              <w:pStyle w:val="136"/>
            </w:pPr>
            <w:r>
              <w:t>一至五部分之和</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rPr>
                <w:bCs/>
              </w:rPr>
            </w:pPr>
            <w:r>
              <w:rPr>
                <w:bCs/>
              </w:rPr>
              <w:t>533.33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2"/>
            <w:shd w:val="clear" w:color="auto" w:fill="auto"/>
            <w:vAlign w:val="center"/>
          </w:tcPr>
          <w:p>
            <w:pPr>
              <w:pStyle w:val="136"/>
            </w:pPr>
            <w:r>
              <w:t>基本预备费</w:t>
            </w:r>
          </w:p>
        </w:tc>
        <w:tc>
          <w:tcPr>
            <w:tcW w:w="3523" w:type="dxa"/>
            <w:gridSpan w:val="3"/>
            <w:shd w:val="clear" w:color="auto" w:fill="auto"/>
            <w:vAlign w:val="center"/>
          </w:tcPr>
          <w:p>
            <w:pPr>
              <w:pStyle w:val="136"/>
            </w:pPr>
            <w:r>
              <w:t>一～五部分之和的10%，与主体工程一致</w:t>
            </w:r>
          </w:p>
        </w:tc>
        <w:tc>
          <w:tcPr>
            <w:tcW w:w="0" w:type="auto"/>
            <w:shd w:val="clear" w:color="auto" w:fill="auto"/>
            <w:vAlign w:val="center"/>
          </w:tcPr>
          <w:p>
            <w:pPr>
              <w:pStyle w:val="136"/>
            </w:pPr>
            <w: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2"/>
            <w:shd w:val="clear" w:color="auto" w:fill="auto"/>
            <w:vAlign w:val="center"/>
          </w:tcPr>
          <w:p>
            <w:pPr>
              <w:pStyle w:val="136"/>
            </w:pPr>
            <w:r>
              <w:t>环境保护总投资</w:t>
            </w:r>
          </w:p>
        </w:tc>
        <w:tc>
          <w:tcPr>
            <w:tcW w:w="1262" w:type="dxa"/>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pPr>
          </w:p>
        </w:tc>
        <w:tc>
          <w:tcPr>
            <w:tcW w:w="0" w:type="auto"/>
            <w:shd w:val="clear" w:color="auto" w:fill="auto"/>
            <w:vAlign w:val="center"/>
          </w:tcPr>
          <w:p>
            <w:pPr>
              <w:pStyle w:val="136"/>
              <w:rPr>
                <w:bCs/>
              </w:rPr>
            </w:pPr>
            <w:r>
              <w:rPr>
                <w:bCs/>
              </w:rPr>
              <w:t>586.67</w:t>
            </w:r>
          </w:p>
        </w:tc>
      </w:tr>
    </w:tbl>
    <w:p>
      <w:pPr>
        <w:ind w:firstLine="482"/>
        <w:rPr>
          <w:rFonts w:cs="Times New Roman"/>
          <w:b/>
        </w:rPr>
      </w:pPr>
    </w:p>
    <w:p>
      <w:pPr>
        <w:pStyle w:val="137"/>
        <w:spacing w:before="62"/>
      </w:pPr>
      <w:r>
        <w:t>表8.1-6             工程环境保护分年度投资表               单位：万元</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3767"/>
        <w:gridCol w:w="1048"/>
        <w:gridCol w:w="1115"/>
        <w:gridCol w:w="111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71" w:type="pct"/>
            <w:shd w:val="clear" w:color="auto" w:fill="auto"/>
            <w:vAlign w:val="center"/>
          </w:tcPr>
          <w:p>
            <w:pPr>
              <w:pStyle w:val="136"/>
            </w:pPr>
            <w:r>
              <w:t>序号</w:t>
            </w:r>
          </w:p>
        </w:tc>
        <w:tc>
          <w:tcPr>
            <w:tcW w:w="2092" w:type="pct"/>
            <w:shd w:val="clear" w:color="auto" w:fill="auto"/>
            <w:vAlign w:val="center"/>
          </w:tcPr>
          <w:p>
            <w:pPr>
              <w:pStyle w:val="136"/>
            </w:pPr>
            <w:r>
              <w:t>工程费用或名称</w:t>
            </w:r>
          </w:p>
        </w:tc>
        <w:tc>
          <w:tcPr>
            <w:tcW w:w="582" w:type="pct"/>
            <w:shd w:val="clear" w:color="auto" w:fill="auto"/>
            <w:vAlign w:val="center"/>
          </w:tcPr>
          <w:p>
            <w:pPr>
              <w:pStyle w:val="136"/>
            </w:pPr>
            <w:r>
              <w:t>投资</w:t>
            </w:r>
          </w:p>
        </w:tc>
        <w:tc>
          <w:tcPr>
            <w:tcW w:w="619" w:type="pct"/>
            <w:shd w:val="clear" w:color="auto" w:fill="auto"/>
            <w:vAlign w:val="center"/>
          </w:tcPr>
          <w:p>
            <w:pPr>
              <w:pStyle w:val="136"/>
            </w:pPr>
            <w:r>
              <w:t>第一年</w:t>
            </w:r>
          </w:p>
        </w:tc>
        <w:tc>
          <w:tcPr>
            <w:tcW w:w="619" w:type="pct"/>
            <w:shd w:val="clear" w:color="auto" w:fill="auto"/>
            <w:vAlign w:val="center"/>
          </w:tcPr>
          <w:p>
            <w:pPr>
              <w:pStyle w:val="136"/>
            </w:pPr>
            <w:r>
              <w:t>第二年</w:t>
            </w:r>
          </w:p>
        </w:tc>
        <w:tc>
          <w:tcPr>
            <w:tcW w:w="617" w:type="pct"/>
            <w:shd w:val="clear" w:color="auto" w:fill="auto"/>
            <w:vAlign w:val="center"/>
          </w:tcPr>
          <w:p>
            <w:pPr>
              <w:pStyle w:val="136"/>
            </w:pPr>
            <w:r>
              <w:t>第三年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3" w:type="pct"/>
            <w:gridSpan w:val="2"/>
            <w:shd w:val="clear" w:color="auto" w:fill="auto"/>
            <w:vAlign w:val="center"/>
          </w:tcPr>
          <w:p>
            <w:pPr>
              <w:pStyle w:val="136"/>
            </w:pPr>
            <w:r>
              <w:t>第一部分环境保护措施</w:t>
            </w:r>
          </w:p>
        </w:tc>
        <w:tc>
          <w:tcPr>
            <w:tcW w:w="582" w:type="pct"/>
            <w:shd w:val="clear" w:color="auto" w:fill="auto"/>
            <w:vAlign w:val="center"/>
          </w:tcPr>
          <w:p>
            <w:pPr>
              <w:pStyle w:val="136"/>
            </w:pPr>
            <w:r>
              <w:t>30.00</w:t>
            </w:r>
          </w:p>
        </w:tc>
        <w:tc>
          <w:tcPr>
            <w:tcW w:w="619" w:type="pct"/>
            <w:shd w:val="clear" w:color="auto" w:fill="auto"/>
            <w:vAlign w:val="center"/>
          </w:tcPr>
          <w:p>
            <w:pPr>
              <w:pStyle w:val="136"/>
            </w:pPr>
            <w:r>
              <w:t>0.00</w:t>
            </w:r>
          </w:p>
        </w:tc>
        <w:tc>
          <w:tcPr>
            <w:tcW w:w="619" w:type="pct"/>
            <w:shd w:val="clear" w:color="auto" w:fill="auto"/>
            <w:vAlign w:val="center"/>
          </w:tcPr>
          <w:p>
            <w:pPr>
              <w:pStyle w:val="136"/>
            </w:pPr>
            <w:r>
              <w:t>0.00</w:t>
            </w:r>
          </w:p>
        </w:tc>
        <w:tc>
          <w:tcPr>
            <w:tcW w:w="617" w:type="pct"/>
            <w:shd w:val="clear" w:color="auto" w:fill="auto"/>
            <w:vAlign w:val="center"/>
          </w:tcPr>
          <w:p>
            <w:pPr>
              <w:pStyle w:val="136"/>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1</w:t>
            </w:r>
          </w:p>
        </w:tc>
        <w:tc>
          <w:tcPr>
            <w:tcW w:w="2092" w:type="pct"/>
            <w:shd w:val="clear" w:color="auto" w:fill="auto"/>
            <w:vAlign w:val="center"/>
          </w:tcPr>
          <w:p>
            <w:pPr>
              <w:pStyle w:val="136"/>
            </w:pPr>
            <w:r>
              <w:t>植物保护措施</w:t>
            </w:r>
          </w:p>
        </w:tc>
        <w:tc>
          <w:tcPr>
            <w:tcW w:w="582" w:type="pct"/>
            <w:shd w:val="clear" w:color="auto" w:fill="auto"/>
            <w:vAlign w:val="center"/>
          </w:tcPr>
          <w:p>
            <w:pPr>
              <w:pStyle w:val="136"/>
            </w:pPr>
            <w:r>
              <w:t>30.00</w:t>
            </w:r>
          </w:p>
        </w:tc>
        <w:tc>
          <w:tcPr>
            <w:tcW w:w="619" w:type="pct"/>
            <w:shd w:val="clear" w:color="auto" w:fill="auto"/>
            <w:vAlign w:val="center"/>
          </w:tcPr>
          <w:p>
            <w:pPr>
              <w:pStyle w:val="136"/>
            </w:pPr>
            <w:r>
              <w:t>0.00</w:t>
            </w:r>
          </w:p>
        </w:tc>
        <w:tc>
          <w:tcPr>
            <w:tcW w:w="619" w:type="pct"/>
            <w:shd w:val="clear" w:color="auto" w:fill="auto"/>
            <w:vAlign w:val="center"/>
          </w:tcPr>
          <w:p>
            <w:pPr>
              <w:pStyle w:val="136"/>
            </w:pPr>
            <w:r>
              <w:t>0.00</w:t>
            </w:r>
          </w:p>
        </w:tc>
        <w:tc>
          <w:tcPr>
            <w:tcW w:w="617" w:type="pct"/>
            <w:shd w:val="clear" w:color="auto" w:fill="auto"/>
            <w:vAlign w:val="center"/>
          </w:tcPr>
          <w:p>
            <w:pPr>
              <w:pStyle w:val="136"/>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3" w:type="pct"/>
            <w:gridSpan w:val="2"/>
            <w:shd w:val="clear" w:color="auto" w:fill="auto"/>
            <w:vAlign w:val="center"/>
          </w:tcPr>
          <w:p>
            <w:pPr>
              <w:pStyle w:val="136"/>
            </w:pPr>
            <w:r>
              <w:t>第二部分环境监测措施</w:t>
            </w:r>
          </w:p>
        </w:tc>
        <w:tc>
          <w:tcPr>
            <w:tcW w:w="582" w:type="pct"/>
            <w:shd w:val="clear" w:color="auto" w:fill="auto"/>
            <w:vAlign w:val="center"/>
          </w:tcPr>
          <w:p>
            <w:pPr>
              <w:pStyle w:val="136"/>
            </w:pPr>
            <w:r>
              <w:t>23.50</w:t>
            </w:r>
          </w:p>
        </w:tc>
        <w:tc>
          <w:tcPr>
            <w:tcW w:w="619" w:type="pct"/>
            <w:shd w:val="clear" w:color="auto" w:fill="auto"/>
            <w:vAlign w:val="center"/>
          </w:tcPr>
          <w:p>
            <w:pPr>
              <w:pStyle w:val="136"/>
            </w:pPr>
            <w:r>
              <w:t>8.83</w:t>
            </w:r>
          </w:p>
        </w:tc>
        <w:tc>
          <w:tcPr>
            <w:tcW w:w="619" w:type="pct"/>
            <w:shd w:val="clear" w:color="auto" w:fill="auto"/>
            <w:vAlign w:val="center"/>
          </w:tcPr>
          <w:p>
            <w:pPr>
              <w:pStyle w:val="136"/>
            </w:pPr>
            <w:r>
              <w:t>5.83</w:t>
            </w:r>
          </w:p>
        </w:tc>
        <w:tc>
          <w:tcPr>
            <w:tcW w:w="617" w:type="pct"/>
            <w:shd w:val="clear" w:color="auto" w:fill="auto"/>
            <w:vAlign w:val="center"/>
          </w:tcPr>
          <w:p>
            <w:pPr>
              <w:pStyle w:val="136"/>
            </w:pPr>
            <w: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1</w:t>
            </w:r>
          </w:p>
        </w:tc>
        <w:tc>
          <w:tcPr>
            <w:tcW w:w="2092" w:type="pct"/>
            <w:shd w:val="clear" w:color="auto" w:fill="auto"/>
            <w:vAlign w:val="center"/>
          </w:tcPr>
          <w:p>
            <w:pPr>
              <w:pStyle w:val="136"/>
            </w:pPr>
            <w:r>
              <w:t>水环境监测</w:t>
            </w:r>
          </w:p>
        </w:tc>
        <w:tc>
          <w:tcPr>
            <w:tcW w:w="582" w:type="pct"/>
            <w:shd w:val="clear" w:color="auto" w:fill="auto"/>
            <w:vAlign w:val="center"/>
          </w:tcPr>
          <w:p>
            <w:pPr>
              <w:pStyle w:val="136"/>
            </w:pPr>
            <w:r>
              <w:t>8.70</w:t>
            </w:r>
          </w:p>
        </w:tc>
        <w:tc>
          <w:tcPr>
            <w:tcW w:w="619" w:type="pct"/>
            <w:shd w:val="clear" w:color="auto" w:fill="auto"/>
            <w:vAlign w:val="center"/>
          </w:tcPr>
          <w:p>
            <w:pPr>
              <w:pStyle w:val="136"/>
            </w:pPr>
            <w:r>
              <w:t>2.90</w:t>
            </w:r>
          </w:p>
        </w:tc>
        <w:tc>
          <w:tcPr>
            <w:tcW w:w="619" w:type="pct"/>
            <w:shd w:val="clear" w:color="auto" w:fill="auto"/>
            <w:vAlign w:val="center"/>
          </w:tcPr>
          <w:p>
            <w:pPr>
              <w:pStyle w:val="136"/>
            </w:pPr>
            <w:r>
              <w:t>2.90</w:t>
            </w:r>
          </w:p>
        </w:tc>
        <w:tc>
          <w:tcPr>
            <w:tcW w:w="617" w:type="pct"/>
            <w:shd w:val="clear" w:color="auto" w:fill="auto"/>
            <w:vAlign w:val="center"/>
          </w:tcPr>
          <w:p>
            <w:pPr>
              <w:pStyle w:val="136"/>
            </w:pPr>
            <w: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2</w:t>
            </w:r>
          </w:p>
        </w:tc>
        <w:tc>
          <w:tcPr>
            <w:tcW w:w="2092" w:type="pct"/>
            <w:shd w:val="clear" w:color="auto" w:fill="auto"/>
            <w:vAlign w:val="center"/>
          </w:tcPr>
          <w:p>
            <w:pPr>
              <w:pStyle w:val="136"/>
            </w:pPr>
            <w:r>
              <w:t>施工期环境空气监测</w:t>
            </w:r>
          </w:p>
        </w:tc>
        <w:tc>
          <w:tcPr>
            <w:tcW w:w="582" w:type="pct"/>
            <w:shd w:val="clear" w:color="auto" w:fill="auto"/>
            <w:vAlign w:val="center"/>
          </w:tcPr>
          <w:p>
            <w:pPr>
              <w:pStyle w:val="136"/>
            </w:pPr>
            <w:r>
              <w:t>5.40</w:t>
            </w:r>
          </w:p>
        </w:tc>
        <w:tc>
          <w:tcPr>
            <w:tcW w:w="619" w:type="pct"/>
            <w:shd w:val="clear" w:color="auto" w:fill="auto"/>
            <w:vAlign w:val="center"/>
          </w:tcPr>
          <w:p>
            <w:pPr>
              <w:pStyle w:val="136"/>
            </w:pPr>
            <w:r>
              <w:t>1.80</w:t>
            </w:r>
          </w:p>
        </w:tc>
        <w:tc>
          <w:tcPr>
            <w:tcW w:w="619" w:type="pct"/>
            <w:shd w:val="clear" w:color="auto" w:fill="auto"/>
            <w:vAlign w:val="center"/>
          </w:tcPr>
          <w:p>
            <w:pPr>
              <w:pStyle w:val="136"/>
            </w:pPr>
            <w:r>
              <w:t>1.80</w:t>
            </w:r>
          </w:p>
        </w:tc>
        <w:tc>
          <w:tcPr>
            <w:tcW w:w="617" w:type="pct"/>
            <w:shd w:val="clear" w:color="auto" w:fill="auto"/>
            <w:vAlign w:val="center"/>
          </w:tcPr>
          <w:p>
            <w:pPr>
              <w:pStyle w:val="136"/>
            </w:pPr>
            <w: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3</w:t>
            </w:r>
          </w:p>
        </w:tc>
        <w:tc>
          <w:tcPr>
            <w:tcW w:w="2092" w:type="pct"/>
            <w:shd w:val="clear" w:color="auto" w:fill="auto"/>
            <w:vAlign w:val="center"/>
          </w:tcPr>
          <w:p>
            <w:pPr>
              <w:pStyle w:val="136"/>
            </w:pPr>
            <w:r>
              <w:t>施工期声环境监测</w:t>
            </w:r>
          </w:p>
        </w:tc>
        <w:tc>
          <w:tcPr>
            <w:tcW w:w="582" w:type="pct"/>
            <w:shd w:val="clear" w:color="auto" w:fill="auto"/>
            <w:vAlign w:val="center"/>
          </w:tcPr>
          <w:p>
            <w:pPr>
              <w:pStyle w:val="136"/>
            </w:pPr>
            <w:r>
              <w:t>1.80</w:t>
            </w:r>
          </w:p>
        </w:tc>
        <w:tc>
          <w:tcPr>
            <w:tcW w:w="619" w:type="pct"/>
            <w:shd w:val="clear" w:color="auto" w:fill="auto"/>
            <w:vAlign w:val="center"/>
          </w:tcPr>
          <w:p>
            <w:pPr>
              <w:pStyle w:val="136"/>
            </w:pPr>
            <w:r>
              <w:t>0.60</w:t>
            </w:r>
          </w:p>
        </w:tc>
        <w:tc>
          <w:tcPr>
            <w:tcW w:w="619" w:type="pct"/>
            <w:shd w:val="clear" w:color="auto" w:fill="auto"/>
            <w:vAlign w:val="center"/>
          </w:tcPr>
          <w:p>
            <w:pPr>
              <w:pStyle w:val="136"/>
            </w:pPr>
            <w:r>
              <w:t>0.60</w:t>
            </w:r>
          </w:p>
        </w:tc>
        <w:tc>
          <w:tcPr>
            <w:tcW w:w="617" w:type="pct"/>
            <w:shd w:val="clear" w:color="auto" w:fill="auto"/>
            <w:vAlign w:val="center"/>
          </w:tcPr>
          <w:p>
            <w:pPr>
              <w:pStyle w:val="136"/>
            </w:pPr>
            <w: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4</w:t>
            </w:r>
          </w:p>
        </w:tc>
        <w:tc>
          <w:tcPr>
            <w:tcW w:w="2092" w:type="pct"/>
            <w:shd w:val="clear" w:color="auto" w:fill="auto"/>
            <w:vAlign w:val="center"/>
          </w:tcPr>
          <w:p>
            <w:pPr>
              <w:pStyle w:val="136"/>
            </w:pPr>
            <w:r>
              <w:t>陆生生态监测</w:t>
            </w:r>
          </w:p>
        </w:tc>
        <w:tc>
          <w:tcPr>
            <w:tcW w:w="582" w:type="pct"/>
            <w:shd w:val="clear" w:color="auto" w:fill="auto"/>
            <w:vAlign w:val="center"/>
          </w:tcPr>
          <w:p>
            <w:pPr>
              <w:pStyle w:val="136"/>
            </w:pPr>
            <w:r>
              <w:t>6.00</w:t>
            </w:r>
          </w:p>
        </w:tc>
        <w:tc>
          <w:tcPr>
            <w:tcW w:w="619" w:type="pct"/>
            <w:shd w:val="clear" w:color="auto" w:fill="auto"/>
            <w:vAlign w:val="center"/>
          </w:tcPr>
          <w:p>
            <w:pPr>
              <w:pStyle w:val="136"/>
            </w:pPr>
            <w:r>
              <w:t>3.00</w:t>
            </w:r>
          </w:p>
        </w:tc>
        <w:tc>
          <w:tcPr>
            <w:tcW w:w="619" w:type="pct"/>
            <w:shd w:val="clear" w:color="auto" w:fill="auto"/>
            <w:vAlign w:val="center"/>
          </w:tcPr>
          <w:p>
            <w:pPr>
              <w:pStyle w:val="136"/>
            </w:pPr>
            <w:r>
              <w:t>0.00</w:t>
            </w:r>
          </w:p>
        </w:tc>
        <w:tc>
          <w:tcPr>
            <w:tcW w:w="617" w:type="pct"/>
            <w:shd w:val="clear" w:color="auto" w:fill="auto"/>
            <w:vAlign w:val="center"/>
          </w:tcPr>
          <w:p>
            <w:pPr>
              <w:pStyle w:val="136"/>
            </w:pPr>
            <w: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5</w:t>
            </w:r>
          </w:p>
        </w:tc>
        <w:tc>
          <w:tcPr>
            <w:tcW w:w="2092" w:type="pct"/>
            <w:shd w:val="clear" w:color="auto" w:fill="auto"/>
            <w:vAlign w:val="center"/>
          </w:tcPr>
          <w:p>
            <w:pPr>
              <w:pStyle w:val="136"/>
            </w:pPr>
            <w:r>
              <w:t>土壤环境监测</w:t>
            </w:r>
          </w:p>
        </w:tc>
        <w:tc>
          <w:tcPr>
            <w:tcW w:w="582" w:type="pct"/>
            <w:shd w:val="clear" w:color="auto" w:fill="auto"/>
            <w:vAlign w:val="center"/>
          </w:tcPr>
          <w:p>
            <w:pPr>
              <w:pStyle w:val="136"/>
            </w:pPr>
            <w:r>
              <w:t>1.60</w:t>
            </w:r>
          </w:p>
        </w:tc>
        <w:tc>
          <w:tcPr>
            <w:tcW w:w="619" w:type="pct"/>
            <w:shd w:val="clear" w:color="auto" w:fill="auto"/>
            <w:vAlign w:val="center"/>
          </w:tcPr>
          <w:p>
            <w:pPr>
              <w:pStyle w:val="136"/>
            </w:pPr>
            <w:r>
              <w:t>0.53</w:t>
            </w:r>
          </w:p>
        </w:tc>
        <w:tc>
          <w:tcPr>
            <w:tcW w:w="619" w:type="pct"/>
            <w:shd w:val="clear" w:color="auto" w:fill="auto"/>
            <w:vAlign w:val="center"/>
          </w:tcPr>
          <w:p>
            <w:pPr>
              <w:pStyle w:val="136"/>
            </w:pPr>
            <w:r>
              <w:t>0.53</w:t>
            </w:r>
          </w:p>
        </w:tc>
        <w:tc>
          <w:tcPr>
            <w:tcW w:w="617" w:type="pct"/>
            <w:shd w:val="clear" w:color="auto" w:fill="auto"/>
            <w:vAlign w:val="center"/>
          </w:tcPr>
          <w:p>
            <w:pPr>
              <w:pStyle w:val="136"/>
            </w:pPr>
            <w: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3" w:type="pct"/>
            <w:gridSpan w:val="2"/>
            <w:shd w:val="clear" w:color="auto" w:fill="auto"/>
            <w:vAlign w:val="center"/>
          </w:tcPr>
          <w:p>
            <w:pPr>
              <w:pStyle w:val="136"/>
            </w:pPr>
            <w:r>
              <w:t>第三部分仪器设备及安装</w:t>
            </w:r>
          </w:p>
        </w:tc>
        <w:tc>
          <w:tcPr>
            <w:tcW w:w="582" w:type="pct"/>
            <w:shd w:val="clear" w:color="auto" w:fill="auto"/>
            <w:vAlign w:val="center"/>
          </w:tcPr>
          <w:p>
            <w:pPr>
              <w:pStyle w:val="136"/>
            </w:pPr>
            <w:r>
              <w:t>137.06</w:t>
            </w:r>
          </w:p>
        </w:tc>
        <w:tc>
          <w:tcPr>
            <w:tcW w:w="619" w:type="pct"/>
            <w:shd w:val="clear" w:color="auto" w:fill="auto"/>
            <w:vAlign w:val="center"/>
          </w:tcPr>
          <w:p>
            <w:pPr>
              <w:pStyle w:val="136"/>
            </w:pPr>
            <w:r>
              <w:t>127.06</w:t>
            </w:r>
          </w:p>
        </w:tc>
        <w:tc>
          <w:tcPr>
            <w:tcW w:w="619" w:type="pct"/>
            <w:shd w:val="clear" w:color="auto" w:fill="auto"/>
            <w:vAlign w:val="center"/>
          </w:tcPr>
          <w:p>
            <w:pPr>
              <w:pStyle w:val="136"/>
            </w:pPr>
            <w:r>
              <w:t>0.00</w:t>
            </w:r>
          </w:p>
        </w:tc>
        <w:tc>
          <w:tcPr>
            <w:tcW w:w="617" w:type="pct"/>
            <w:shd w:val="clear" w:color="auto" w:fill="auto"/>
            <w:vAlign w:val="center"/>
          </w:tcPr>
          <w:p>
            <w:pPr>
              <w:pStyle w:val="136"/>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1</w:t>
            </w:r>
          </w:p>
        </w:tc>
        <w:tc>
          <w:tcPr>
            <w:tcW w:w="2092" w:type="pct"/>
            <w:shd w:val="clear" w:color="auto" w:fill="auto"/>
            <w:vAlign w:val="center"/>
          </w:tcPr>
          <w:p>
            <w:pPr>
              <w:pStyle w:val="136"/>
            </w:pPr>
            <w:r>
              <w:t>生态流量监测及水温监测</w:t>
            </w:r>
          </w:p>
        </w:tc>
        <w:tc>
          <w:tcPr>
            <w:tcW w:w="582" w:type="pct"/>
            <w:shd w:val="clear" w:color="auto" w:fill="auto"/>
            <w:vAlign w:val="center"/>
          </w:tcPr>
          <w:p>
            <w:pPr>
              <w:pStyle w:val="136"/>
            </w:pPr>
            <w:r>
              <w:t>10.00</w:t>
            </w:r>
          </w:p>
        </w:tc>
        <w:tc>
          <w:tcPr>
            <w:tcW w:w="619" w:type="pct"/>
            <w:shd w:val="clear" w:color="auto" w:fill="auto"/>
            <w:vAlign w:val="center"/>
          </w:tcPr>
          <w:p>
            <w:pPr>
              <w:pStyle w:val="136"/>
            </w:pPr>
            <w:r>
              <w:t>0.00</w:t>
            </w:r>
          </w:p>
        </w:tc>
        <w:tc>
          <w:tcPr>
            <w:tcW w:w="619" w:type="pct"/>
            <w:shd w:val="clear" w:color="auto" w:fill="auto"/>
            <w:vAlign w:val="center"/>
          </w:tcPr>
          <w:p>
            <w:pPr>
              <w:pStyle w:val="136"/>
            </w:pPr>
            <w:r>
              <w:t>0.00</w:t>
            </w:r>
          </w:p>
        </w:tc>
        <w:tc>
          <w:tcPr>
            <w:tcW w:w="617" w:type="pct"/>
            <w:shd w:val="clear" w:color="auto" w:fill="auto"/>
            <w:vAlign w:val="center"/>
          </w:tcPr>
          <w:p>
            <w:pPr>
              <w:pStyle w:val="136"/>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2</w:t>
            </w:r>
          </w:p>
        </w:tc>
        <w:tc>
          <w:tcPr>
            <w:tcW w:w="2092" w:type="pct"/>
            <w:shd w:val="clear" w:color="auto" w:fill="auto"/>
            <w:vAlign w:val="center"/>
          </w:tcPr>
          <w:p>
            <w:pPr>
              <w:pStyle w:val="136"/>
            </w:pPr>
            <w:r>
              <w:t>废（污）水处理</w:t>
            </w:r>
          </w:p>
        </w:tc>
        <w:tc>
          <w:tcPr>
            <w:tcW w:w="582" w:type="pct"/>
            <w:shd w:val="clear" w:color="auto" w:fill="auto"/>
            <w:vAlign w:val="center"/>
          </w:tcPr>
          <w:p>
            <w:pPr>
              <w:pStyle w:val="136"/>
            </w:pPr>
            <w:r>
              <w:t>79.20</w:t>
            </w:r>
          </w:p>
        </w:tc>
        <w:tc>
          <w:tcPr>
            <w:tcW w:w="619" w:type="pct"/>
            <w:shd w:val="clear" w:color="auto" w:fill="auto"/>
            <w:vAlign w:val="center"/>
          </w:tcPr>
          <w:p>
            <w:pPr>
              <w:pStyle w:val="136"/>
            </w:pPr>
            <w:r>
              <w:t>79.20</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3</w:t>
            </w:r>
          </w:p>
        </w:tc>
        <w:tc>
          <w:tcPr>
            <w:tcW w:w="2092" w:type="pct"/>
            <w:shd w:val="clear" w:color="auto" w:fill="auto"/>
            <w:vAlign w:val="center"/>
          </w:tcPr>
          <w:p>
            <w:pPr>
              <w:pStyle w:val="136"/>
            </w:pPr>
            <w:r>
              <w:t>环境空气</w:t>
            </w:r>
          </w:p>
        </w:tc>
        <w:tc>
          <w:tcPr>
            <w:tcW w:w="582" w:type="pct"/>
            <w:shd w:val="clear" w:color="auto" w:fill="auto"/>
            <w:vAlign w:val="center"/>
          </w:tcPr>
          <w:p>
            <w:pPr>
              <w:pStyle w:val="136"/>
            </w:pPr>
            <w:r>
              <w:t>20.00</w:t>
            </w:r>
          </w:p>
        </w:tc>
        <w:tc>
          <w:tcPr>
            <w:tcW w:w="619" w:type="pct"/>
            <w:shd w:val="clear" w:color="auto" w:fill="auto"/>
            <w:vAlign w:val="center"/>
          </w:tcPr>
          <w:p>
            <w:pPr>
              <w:pStyle w:val="136"/>
            </w:pPr>
            <w:r>
              <w:t>20.00</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4</w:t>
            </w:r>
          </w:p>
        </w:tc>
        <w:tc>
          <w:tcPr>
            <w:tcW w:w="2092" w:type="pct"/>
            <w:shd w:val="clear" w:color="auto" w:fill="auto"/>
            <w:vAlign w:val="center"/>
          </w:tcPr>
          <w:p>
            <w:pPr>
              <w:pStyle w:val="136"/>
            </w:pPr>
            <w:r>
              <w:t>固体废物</w:t>
            </w:r>
          </w:p>
        </w:tc>
        <w:tc>
          <w:tcPr>
            <w:tcW w:w="582" w:type="pct"/>
            <w:shd w:val="clear" w:color="auto" w:fill="auto"/>
            <w:vAlign w:val="center"/>
          </w:tcPr>
          <w:p>
            <w:pPr>
              <w:pStyle w:val="136"/>
            </w:pPr>
            <w:r>
              <w:t>27.86</w:t>
            </w:r>
          </w:p>
        </w:tc>
        <w:tc>
          <w:tcPr>
            <w:tcW w:w="619" w:type="pct"/>
            <w:shd w:val="clear" w:color="auto" w:fill="auto"/>
            <w:vAlign w:val="center"/>
          </w:tcPr>
          <w:p>
            <w:pPr>
              <w:pStyle w:val="136"/>
            </w:pPr>
            <w:r>
              <w:t>27.86</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3" w:type="pct"/>
            <w:gridSpan w:val="2"/>
            <w:shd w:val="clear" w:color="auto" w:fill="auto"/>
            <w:vAlign w:val="center"/>
          </w:tcPr>
          <w:p>
            <w:pPr>
              <w:pStyle w:val="136"/>
            </w:pPr>
            <w:r>
              <w:t>第四部分环境保护临时措施</w:t>
            </w:r>
          </w:p>
        </w:tc>
        <w:tc>
          <w:tcPr>
            <w:tcW w:w="582" w:type="pct"/>
            <w:shd w:val="clear" w:color="auto" w:fill="auto"/>
            <w:vAlign w:val="center"/>
          </w:tcPr>
          <w:p>
            <w:pPr>
              <w:pStyle w:val="136"/>
            </w:pPr>
            <w:r>
              <w:t>142.19</w:t>
            </w:r>
          </w:p>
        </w:tc>
        <w:tc>
          <w:tcPr>
            <w:tcW w:w="619" w:type="pct"/>
            <w:shd w:val="clear" w:color="auto" w:fill="auto"/>
            <w:vAlign w:val="center"/>
          </w:tcPr>
          <w:p>
            <w:pPr>
              <w:pStyle w:val="136"/>
            </w:pPr>
            <w:r>
              <w:t>142.19</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1</w:t>
            </w:r>
          </w:p>
        </w:tc>
        <w:tc>
          <w:tcPr>
            <w:tcW w:w="2092" w:type="pct"/>
            <w:shd w:val="clear" w:color="auto" w:fill="auto"/>
            <w:vAlign w:val="center"/>
          </w:tcPr>
          <w:p>
            <w:pPr>
              <w:pStyle w:val="136"/>
            </w:pPr>
            <w:r>
              <w:t>废（污）水处理</w:t>
            </w:r>
          </w:p>
        </w:tc>
        <w:tc>
          <w:tcPr>
            <w:tcW w:w="582" w:type="pct"/>
            <w:shd w:val="clear" w:color="auto" w:fill="auto"/>
            <w:vAlign w:val="center"/>
          </w:tcPr>
          <w:p>
            <w:pPr>
              <w:pStyle w:val="136"/>
            </w:pPr>
            <w:r>
              <w:t>133.60</w:t>
            </w:r>
          </w:p>
        </w:tc>
        <w:tc>
          <w:tcPr>
            <w:tcW w:w="619" w:type="pct"/>
            <w:shd w:val="clear" w:color="auto" w:fill="auto"/>
            <w:vAlign w:val="center"/>
          </w:tcPr>
          <w:p>
            <w:pPr>
              <w:pStyle w:val="136"/>
            </w:pPr>
            <w:r>
              <w:t>133.60</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2</w:t>
            </w:r>
          </w:p>
        </w:tc>
        <w:tc>
          <w:tcPr>
            <w:tcW w:w="2092" w:type="pct"/>
            <w:shd w:val="clear" w:color="auto" w:fill="auto"/>
            <w:vAlign w:val="center"/>
          </w:tcPr>
          <w:p>
            <w:pPr>
              <w:pStyle w:val="136"/>
            </w:pPr>
            <w:r>
              <w:t>空气环境质量防治</w:t>
            </w:r>
          </w:p>
        </w:tc>
        <w:tc>
          <w:tcPr>
            <w:tcW w:w="582" w:type="pct"/>
            <w:shd w:val="clear" w:color="auto" w:fill="auto"/>
            <w:vAlign w:val="center"/>
          </w:tcPr>
          <w:p>
            <w:pPr>
              <w:pStyle w:val="136"/>
            </w:pPr>
            <w:r>
              <w:t>1.95</w:t>
            </w:r>
          </w:p>
        </w:tc>
        <w:tc>
          <w:tcPr>
            <w:tcW w:w="619" w:type="pct"/>
            <w:shd w:val="clear" w:color="auto" w:fill="auto"/>
            <w:vAlign w:val="center"/>
          </w:tcPr>
          <w:p>
            <w:pPr>
              <w:pStyle w:val="136"/>
            </w:pPr>
            <w:r>
              <w:t>1.95</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3</w:t>
            </w:r>
          </w:p>
        </w:tc>
        <w:tc>
          <w:tcPr>
            <w:tcW w:w="2092" w:type="pct"/>
            <w:shd w:val="clear" w:color="auto" w:fill="auto"/>
            <w:vAlign w:val="center"/>
          </w:tcPr>
          <w:p>
            <w:pPr>
              <w:pStyle w:val="136"/>
            </w:pPr>
            <w:r>
              <w:t>噪声防治</w:t>
            </w:r>
          </w:p>
        </w:tc>
        <w:tc>
          <w:tcPr>
            <w:tcW w:w="582" w:type="pct"/>
            <w:shd w:val="clear" w:color="auto" w:fill="auto"/>
            <w:vAlign w:val="center"/>
          </w:tcPr>
          <w:p>
            <w:pPr>
              <w:pStyle w:val="136"/>
            </w:pPr>
            <w:r>
              <w:t>3.25</w:t>
            </w:r>
          </w:p>
        </w:tc>
        <w:tc>
          <w:tcPr>
            <w:tcW w:w="619" w:type="pct"/>
            <w:shd w:val="clear" w:color="auto" w:fill="auto"/>
            <w:vAlign w:val="center"/>
          </w:tcPr>
          <w:p>
            <w:pPr>
              <w:pStyle w:val="136"/>
            </w:pPr>
            <w:r>
              <w:t>3.25</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4</w:t>
            </w:r>
          </w:p>
        </w:tc>
        <w:tc>
          <w:tcPr>
            <w:tcW w:w="2092" w:type="pct"/>
            <w:shd w:val="clear" w:color="auto" w:fill="auto"/>
            <w:vAlign w:val="center"/>
          </w:tcPr>
          <w:p>
            <w:pPr>
              <w:pStyle w:val="136"/>
            </w:pPr>
            <w:r>
              <w:t>生活垃圾处理及厕所建设</w:t>
            </w:r>
          </w:p>
        </w:tc>
        <w:tc>
          <w:tcPr>
            <w:tcW w:w="582" w:type="pct"/>
            <w:shd w:val="clear" w:color="auto" w:fill="auto"/>
            <w:vAlign w:val="center"/>
          </w:tcPr>
          <w:p>
            <w:pPr>
              <w:pStyle w:val="136"/>
            </w:pPr>
            <w:r>
              <w:t>2.79</w:t>
            </w:r>
          </w:p>
        </w:tc>
        <w:tc>
          <w:tcPr>
            <w:tcW w:w="619" w:type="pct"/>
            <w:shd w:val="clear" w:color="auto" w:fill="auto"/>
            <w:vAlign w:val="center"/>
          </w:tcPr>
          <w:p>
            <w:pPr>
              <w:pStyle w:val="136"/>
            </w:pPr>
            <w:r>
              <w:t>2.79</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5</w:t>
            </w:r>
          </w:p>
        </w:tc>
        <w:tc>
          <w:tcPr>
            <w:tcW w:w="2092" w:type="pct"/>
            <w:shd w:val="clear" w:color="auto" w:fill="auto"/>
            <w:vAlign w:val="center"/>
          </w:tcPr>
          <w:p>
            <w:pPr>
              <w:pStyle w:val="136"/>
            </w:pPr>
            <w:r>
              <w:t>环境保护宣传</w:t>
            </w:r>
          </w:p>
        </w:tc>
        <w:tc>
          <w:tcPr>
            <w:tcW w:w="582" w:type="pct"/>
            <w:shd w:val="clear" w:color="auto" w:fill="auto"/>
            <w:vAlign w:val="center"/>
          </w:tcPr>
          <w:p>
            <w:pPr>
              <w:pStyle w:val="136"/>
            </w:pPr>
            <w:r>
              <w:t>0.60</w:t>
            </w:r>
          </w:p>
        </w:tc>
        <w:tc>
          <w:tcPr>
            <w:tcW w:w="619" w:type="pct"/>
            <w:shd w:val="clear" w:color="auto" w:fill="auto"/>
            <w:vAlign w:val="center"/>
          </w:tcPr>
          <w:p>
            <w:pPr>
              <w:pStyle w:val="136"/>
            </w:pPr>
            <w:r>
              <w:t>0.60</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3" w:type="pct"/>
            <w:gridSpan w:val="2"/>
            <w:shd w:val="clear" w:color="auto" w:fill="auto"/>
            <w:vAlign w:val="center"/>
          </w:tcPr>
          <w:p>
            <w:pPr>
              <w:pStyle w:val="136"/>
            </w:pPr>
            <w:r>
              <w:t>第五部分独立费用</w:t>
            </w:r>
          </w:p>
        </w:tc>
        <w:tc>
          <w:tcPr>
            <w:tcW w:w="582" w:type="pct"/>
            <w:shd w:val="clear" w:color="auto" w:fill="auto"/>
            <w:vAlign w:val="center"/>
          </w:tcPr>
          <w:p>
            <w:pPr>
              <w:pStyle w:val="136"/>
            </w:pPr>
            <w:r>
              <w:t>177.31</w:t>
            </w:r>
          </w:p>
        </w:tc>
        <w:tc>
          <w:tcPr>
            <w:tcW w:w="619" w:type="pct"/>
            <w:shd w:val="clear" w:color="auto" w:fill="auto"/>
            <w:vAlign w:val="center"/>
          </w:tcPr>
          <w:p>
            <w:pPr>
              <w:pStyle w:val="136"/>
            </w:pPr>
            <w:r>
              <w:t>148.30</w:t>
            </w:r>
          </w:p>
        </w:tc>
        <w:tc>
          <w:tcPr>
            <w:tcW w:w="619" w:type="pct"/>
            <w:shd w:val="clear" w:color="auto" w:fill="auto"/>
            <w:vAlign w:val="center"/>
          </w:tcPr>
          <w:p>
            <w:pPr>
              <w:pStyle w:val="136"/>
            </w:pPr>
            <w:r>
              <w:t>14.50</w:t>
            </w:r>
          </w:p>
        </w:tc>
        <w:tc>
          <w:tcPr>
            <w:tcW w:w="617" w:type="pct"/>
            <w:shd w:val="clear" w:color="auto" w:fill="auto"/>
            <w:vAlign w:val="center"/>
          </w:tcPr>
          <w:p>
            <w:pPr>
              <w:pStyle w:val="136"/>
            </w:pPr>
            <w: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1</w:t>
            </w:r>
          </w:p>
        </w:tc>
        <w:tc>
          <w:tcPr>
            <w:tcW w:w="2092" w:type="pct"/>
            <w:shd w:val="clear" w:color="auto" w:fill="auto"/>
            <w:vAlign w:val="center"/>
          </w:tcPr>
          <w:p>
            <w:pPr>
              <w:pStyle w:val="136"/>
            </w:pPr>
            <w:r>
              <w:t>建设管理费</w:t>
            </w:r>
          </w:p>
        </w:tc>
        <w:tc>
          <w:tcPr>
            <w:tcW w:w="582" w:type="pct"/>
            <w:shd w:val="clear" w:color="auto" w:fill="auto"/>
            <w:vAlign w:val="center"/>
          </w:tcPr>
          <w:p>
            <w:pPr>
              <w:pStyle w:val="136"/>
            </w:pPr>
            <w:r>
              <w:t>13.31</w:t>
            </w:r>
          </w:p>
        </w:tc>
        <w:tc>
          <w:tcPr>
            <w:tcW w:w="619" w:type="pct"/>
            <w:shd w:val="clear" w:color="auto" w:fill="auto"/>
            <w:vAlign w:val="center"/>
          </w:tcPr>
          <w:p>
            <w:pPr>
              <w:pStyle w:val="136"/>
            </w:pPr>
            <w:r>
              <w:t>3.50</w:t>
            </w:r>
          </w:p>
        </w:tc>
        <w:tc>
          <w:tcPr>
            <w:tcW w:w="619" w:type="pct"/>
            <w:shd w:val="clear" w:color="auto" w:fill="auto"/>
            <w:vAlign w:val="center"/>
          </w:tcPr>
          <w:p>
            <w:pPr>
              <w:pStyle w:val="136"/>
            </w:pPr>
            <w:r>
              <w:t>4.90</w:t>
            </w:r>
          </w:p>
        </w:tc>
        <w:tc>
          <w:tcPr>
            <w:tcW w:w="617" w:type="pct"/>
            <w:shd w:val="clear" w:color="auto" w:fill="auto"/>
            <w:vAlign w:val="center"/>
          </w:tcPr>
          <w:p>
            <w:pPr>
              <w:pStyle w:val="136"/>
            </w:pPr>
            <w: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2</w:t>
            </w:r>
          </w:p>
        </w:tc>
        <w:tc>
          <w:tcPr>
            <w:tcW w:w="2092" w:type="pct"/>
            <w:shd w:val="clear" w:color="auto" w:fill="auto"/>
            <w:vAlign w:val="center"/>
          </w:tcPr>
          <w:p>
            <w:pPr>
              <w:pStyle w:val="136"/>
            </w:pPr>
            <w:r>
              <w:t>环境监理费</w:t>
            </w:r>
          </w:p>
        </w:tc>
        <w:tc>
          <w:tcPr>
            <w:tcW w:w="582" w:type="pct"/>
            <w:shd w:val="clear" w:color="auto" w:fill="auto"/>
            <w:vAlign w:val="center"/>
          </w:tcPr>
          <w:p>
            <w:pPr>
              <w:pStyle w:val="136"/>
            </w:pPr>
            <w:r>
              <w:t>24.00</w:t>
            </w:r>
          </w:p>
        </w:tc>
        <w:tc>
          <w:tcPr>
            <w:tcW w:w="619" w:type="pct"/>
            <w:shd w:val="clear" w:color="auto" w:fill="auto"/>
            <w:vAlign w:val="center"/>
          </w:tcPr>
          <w:p>
            <w:pPr>
              <w:pStyle w:val="136"/>
            </w:pPr>
            <w:r>
              <w:t>4.80</w:t>
            </w:r>
          </w:p>
        </w:tc>
        <w:tc>
          <w:tcPr>
            <w:tcW w:w="619" w:type="pct"/>
            <w:shd w:val="clear" w:color="auto" w:fill="auto"/>
            <w:vAlign w:val="center"/>
          </w:tcPr>
          <w:p>
            <w:pPr>
              <w:pStyle w:val="136"/>
            </w:pPr>
            <w:r>
              <w:t>9.60</w:t>
            </w:r>
          </w:p>
        </w:tc>
        <w:tc>
          <w:tcPr>
            <w:tcW w:w="617" w:type="pct"/>
            <w:shd w:val="clear" w:color="auto" w:fill="auto"/>
            <w:vAlign w:val="center"/>
          </w:tcPr>
          <w:p>
            <w:pPr>
              <w:pStyle w:val="136"/>
            </w:pPr>
            <w: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1" w:type="pct"/>
            <w:shd w:val="clear" w:color="auto" w:fill="auto"/>
            <w:vAlign w:val="center"/>
          </w:tcPr>
          <w:p>
            <w:pPr>
              <w:pStyle w:val="136"/>
            </w:pPr>
            <w:r>
              <w:t>3</w:t>
            </w:r>
          </w:p>
        </w:tc>
        <w:tc>
          <w:tcPr>
            <w:tcW w:w="2092" w:type="pct"/>
            <w:shd w:val="clear" w:color="auto" w:fill="auto"/>
            <w:vAlign w:val="center"/>
          </w:tcPr>
          <w:p>
            <w:pPr>
              <w:pStyle w:val="136"/>
            </w:pPr>
            <w:r>
              <w:t>环境保护科研勘测设计咨询费</w:t>
            </w:r>
          </w:p>
        </w:tc>
        <w:tc>
          <w:tcPr>
            <w:tcW w:w="582" w:type="pct"/>
            <w:shd w:val="clear" w:color="auto" w:fill="auto"/>
            <w:vAlign w:val="center"/>
          </w:tcPr>
          <w:p>
            <w:pPr>
              <w:pStyle w:val="136"/>
            </w:pPr>
            <w:r>
              <w:t>163.27</w:t>
            </w:r>
          </w:p>
        </w:tc>
        <w:tc>
          <w:tcPr>
            <w:tcW w:w="619" w:type="pct"/>
            <w:shd w:val="clear" w:color="auto" w:fill="auto"/>
            <w:vAlign w:val="center"/>
          </w:tcPr>
          <w:p>
            <w:pPr>
              <w:pStyle w:val="136"/>
            </w:pPr>
            <w:r>
              <w:t>163.27</w:t>
            </w:r>
          </w:p>
        </w:tc>
        <w:tc>
          <w:tcPr>
            <w:tcW w:w="619" w:type="pct"/>
            <w:shd w:val="clear" w:color="auto" w:fill="auto"/>
            <w:vAlign w:val="center"/>
          </w:tcPr>
          <w:p>
            <w:pPr>
              <w:pStyle w:val="136"/>
            </w:pPr>
            <w:r>
              <w:t>0.00</w:t>
            </w:r>
          </w:p>
        </w:tc>
        <w:tc>
          <w:tcPr>
            <w:tcW w:w="617" w:type="pct"/>
            <w:shd w:val="clear" w:color="auto" w:fill="auto"/>
            <w:vAlign w:val="center"/>
          </w:tcPr>
          <w:p>
            <w:pPr>
              <w:pStyle w:val="136"/>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3" w:type="pct"/>
            <w:gridSpan w:val="2"/>
            <w:shd w:val="clear" w:color="auto" w:fill="auto"/>
            <w:vAlign w:val="center"/>
          </w:tcPr>
          <w:p>
            <w:pPr>
              <w:pStyle w:val="136"/>
            </w:pPr>
            <w:r>
              <w:t>一至五部分之和</w:t>
            </w:r>
          </w:p>
        </w:tc>
        <w:tc>
          <w:tcPr>
            <w:tcW w:w="582" w:type="pct"/>
            <w:shd w:val="clear" w:color="auto" w:fill="auto"/>
          </w:tcPr>
          <w:p>
            <w:pPr>
              <w:pStyle w:val="136"/>
            </w:pPr>
            <w:r>
              <w:t>533.33</w:t>
            </w:r>
          </w:p>
        </w:tc>
        <w:tc>
          <w:tcPr>
            <w:tcW w:w="619" w:type="pct"/>
            <w:shd w:val="clear" w:color="auto" w:fill="auto"/>
          </w:tcPr>
          <w:p>
            <w:pPr>
              <w:pStyle w:val="136"/>
            </w:pPr>
            <w:r>
              <w:t>449.66</w:t>
            </w:r>
          </w:p>
        </w:tc>
        <w:tc>
          <w:tcPr>
            <w:tcW w:w="619" w:type="pct"/>
            <w:shd w:val="clear" w:color="auto" w:fill="auto"/>
          </w:tcPr>
          <w:p>
            <w:pPr>
              <w:pStyle w:val="136"/>
            </w:pPr>
            <w:r>
              <w:t>20.34</w:t>
            </w:r>
          </w:p>
        </w:tc>
        <w:tc>
          <w:tcPr>
            <w:tcW w:w="617" w:type="pct"/>
            <w:shd w:val="clear" w:color="auto" w:fill="auto"/>
          </w:tcPr>
          <w:p>
            <w:pPr>
              <w:pStyle w:val="136"/>
            </w:pPr>
            <w:r>
              <w:t>63.34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3" w:type="pct"/>
            <w:gridSpan w:val="2"/>
            <w:shd w:val="clear" w:color="auto" w:fill="auto"/>
            <w:vAlign w:val="center"/>
          </w:tcPr>
          <w:p>
            <w:pPr>
              <w:pStyle w:val="136"/>
            </w:pPr>
            <w:r>
              <w:t>基本预备费</w:t>
            </w:r>
          </w:p>
        </w:tc>
        <w:tc>
          <w:tcPr>
            <w:tcW w:w="582" w:type="pct"/>
            <w:shd w:val="clear" w:color="auto" w:fill="auto"/>
          </w:tcPr>
          <w:p>
            <w:pPr>
              <w:pStyle w:val="136"/>
            </w:pPr>
            <w:r>
              <w:t>53.33</w:t>
            </w:r>
          </w:p>
        </w:tc>
        <w:tc>
          <w:tcPr>
            <w:tcW w:w="619" w:type="pct"/>
            <w:shd w:val="clear" w:color="auto" w:fill="auto"/>
          </w:tcPr>
          <w:p>
            <w:pPr>
              <w:pStyle w:val="136"/>
            </w:pPr>
            <w:r>
              <w:t>10.67</w:t>
            </w:r>
          </w:p>
        </w:tc>
        <w:tc>
          <w:tcPr>
            <w:tcW w:w="619" w:type="pct"/>
            <w:shd w:val="clear" w:color="auto" w:fill="auto"/>
          </w:tcPr>
          <w:p>
            <w:pPr>
              <w:pStyle w:val="136"/>
            </w:pPr>
            <w:r>
              <w:t>21.33</w:t>
            </w:r>
          </w:p>
        </w:tc>
        <w:tc>
          <w:tcPr>
            <w:tcW w:w="617" w:type="pct"/>
            <w:shd w:val="clear" w:color="auto" w:fill="auto"/>
          </w:tcPr>
          <w:p>
            <w:pPr>
              <w:pStyle w:val="136"/>
            </w:pPr>
            <w:r>
              <w:t>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3" w:type="pct"/>
            <w:gridSpan w:val="2"/>
            <w:shd w:val="clear" w:color="auto" w:fill="auto"/>
            <w:vAlign w:val="center"/>
          </w:tcPr>
          <w:p>
            <w:pPr>
              <w:pStyle w:val="136"/>
            </w:pPr>
            <w:r>
              <w:t>环境保护总投资</w:t>
            </w:r>
          </w:p>
        </w:tc>
        <w:tc>
          <w:tcPr>
            <w:tcW w:w="582" w:type="pct"/>
            <w:shd w:val="clear" w:color="auto" w:fill="auto"/>
          </w:tcPr>
          <w:p>
            <w:pPr>
              <w:pStyle w:val="136"/>
            </w:pPr>
            <w:r>
              <w:t>586.67</w:t>
            </w:r>
          </w:p>
        </w:tc>
        <w:tc>
          <w:tcPr>
            <w:tcW w:w="619" w:type="pct"/>
            <w:shd w:val="clear" w:color="auto" w:fill="auto"/>
          </w:tcPr>
          <w:p>
            <w:pPr>
              <w:pStyle w:val="136"/>
            </w:pPr>
            <w:r>
              <w:t>460.32</w:t>
            </w:r>
          </w:p>
        </w:tc>
        <w:tc>
          <w:tcPr>
            <w:tcW w:w="619" w:type="pct"/>
            <w:shd w:val="clear" w:color="auto" w:fill="auto"/>
          </w:tcPr>
          <w:p>
            <w:pPr>
              <w:pStyle w:val="136"/>
            </w:pPr>
            <w:r>
              <w:t>41.67</w:t>
            </w:r>
          </w:p>
        </w:tc>
        <w:tc>
          <w:tcPr>
            <w:tcW w:w="617" w:type="pct"/>
            <w:shd w:val="clear" w:color="auto" w:fill="auto"/>
          </w:tcPr>
          <w:p>
            <w:pPr>
              <w:pStyle w:val="136"/>
            </w:pPr>
            <w:r>
              <w:t>84.67</w:t>
            </w:r>
          </w:p>
        </w:tc>
      </w:tr>
    </w:tbl>
    <w:p>
      <w:pPr>
        <w:ind w:firstLine="482"/>
        <w:rPr>
          <w:rFonts w:cs="Times New Roman"/>
          <w:b/>
        </w:rPr>
      </w:pPr>
    </w:p>
    <w:p>
      <w:pPr>
        <w:pStyle w:val="3"/>
        <w:rPr>
          <w:rFonts w:cs="Times New Roman"/>
        </w:rPr>
      </w:pPr>
      <w:bookmarkStart w:id="147" w:name="_Toc181381639"/>
      <w:r>
        <w:rPr>
          <w:rFonts w:cs="Times New Roman"/>
        </w:rPr>
        <w:t>8.2 环境影响经济损益简要分析</w:t>
      </w:r>
      <w:bookmarkEnd w:id="147"/>
    </w:p>
    <w:p>
      <w:pPr>
        <w:ind w:firstLine="480"/>
        <w:rPr>
          <w:rFonts w:cs="Times New Roman"/>
        </w:rPr>
      </w:pPr>
      <w:r>
        <w:rPr>
          <w:rFonts w:cs="Times New Roman"/>
        </w:rPr>
        <w:t>环境影响经济损益分析的目的是运用环境经济学原理，在考虑工程建设与生态环境、社会环境以及区域社会经济的持续、稳定、协调发展前提下，运用费用—效益分析方法对工程的环境效益和损失进行分析，按效益/费用比值大小，从环保角度评判工程建设的合理性。</w:t>
      </w:r>
    </w:p>
    <w:p>
      <w:pPr>
        <w:pStyle w:val="4"/>
        <w:rPr>
          <w:rFonts w:cs="Times New Roman"/>
        </w:rPr>
      </w:pPr>
      <w:r>
        <w:rPr>
          <w:rFonts w:cs="Times New Roman"/>
        </w:rPr>
        <w:t>8.2.1 效益</w:t>
      </w:r>
    </w:p>
    <w:p>
      <w:pPr>
        <w:ind w:firstLine="480"/>
        <w:rPr>
          <w:rFonts w:cs="Times New Roman"/>
        </w:rPr>
      </w:pPr>
      <w:r>
        <w:rPr>
          <w:rFonts w:cs="Times New Roman"/>
        </w:rPr>
        <w:t>代尔昆代水库环境效益主要体现在农业供水效益、农村人饮供水效益和社会效益三方面。</w:t>
      </w:r>
    </w:p>
    <w:p>
      <w:pPr>
        <w:pStyle w:val="62"/>
        <w:rPr>
          <w:rFonts w:cs="Times New Roman"/>
        </w:rPr>
      </w:pPr>
      <w:r>
        <w:rPr>
          <w:rFonts w:cs="Times New Roman"/>
        </w:rPr>
        <w:t>8.2.1.1 农业供水效益</w:t>
      </w:r>
    </w:p>
    <w:p>
      <w:pPr>
        <w:ind w:firstLine="480"/>
        <w:rPr>
          <w:rFonts w:cs="Times New Roman"/>
        </w:rPr>
      </w:pPr>
      <w:r>
        <w:rPr>
          <w:rFonts w:cs="Times New Roman"/>
        </w:rPr>
        <w:t>代尔昆代水库的兴建，通过水资源调度，为淖毛湖区域人畜饮水和农业灌溉补水，其中农业年供水量141.57万m</w:t>
      </w:r>
      <w:r>
        <w:rPr>
          <w:rFonts w:cs="Times New Roman"/>
          <w:vertAlign w:val="superscript"/>
        </w:rPr>
        <w:t>3</w:t>
      </w:r>
      <w:r>
        <w:rPr>
          <w:rFonts w:cs="Times New Roman"/>
        </w:rPr>
        <w:t>。本工程农业灌溉效益采用分摊系数法进行计算。设计水平年2030年0.47万亩防护林对淖毛湖区域的农业（6.7万亩哈密瓜）的增产起到很多大的作用。综合分摊系数按4%考虑，则农业灌溉防护林效益为2180.56万元。从水资源利用角度分析，代尔昆代水库的建设，为缺水区淖毛湖区提供水资源，缓解水资源紧缺及地下水超采严重问题，促进水资源的可持续利用，保障工程和受益区域的可持续发展，具有较为明显的农业供水效益。</w:t>
      </w:r>
    </w:p>
    <w:p>
      <w:pPr>
        <w:pStyle w:val="62"/>
        <w:rPr>
          <w:rFonts w:cs="Times New Roman"/>
        </w:rPr>
      </w:pPr>
      <w:r>
        <w:rPr>
          <w:rFonts w:cs="Times New Roman"/>
        </w:rPr>
        <w:t>8.2.1.2 农村人饮供水效益</w:t>
      </w:r>
    </w:p>
    <w:p>
      <w:pPr>
        <w:ind w:firstLine="480"/>
        <w:rPr>
          <w:rFonts w:cs="Times New Roman"/>
        </w:rPr>
      </w:pPr>
      <w:r>
        <w:rPr>
          <w:rFonts w:cs="Times New Roman"/>
        </w:rPr>
        <w:t>本工程建成后农村生活供水量为218万m</w:t>
      </w:r>
      <w:r>
        <w:rPr>
          <w:rFonts w:cs="Times New Roman"/>
          <w:vertAlign w:val="superscript"/>
        </w:rPr>
        <w:t>3</w:t>
      </w:r>
      <w:r>
        <w:rPr>
          <w:rFonts w:cs="Times New Roman"/>
        </w:rPr>
        <w:t>，水价采用农村可承受水价2.14元/m</w:t>
      </w:r>
      <w:r>
        <w:rPr>
          <w:rFonts w:cs="Times New Roman"/>
          <w:vertAlign w:val="superscript"/>
        </w:rPr>
        <w:t>3</w:t>
      </w:r>
      <w:r>
        <w:rPr>
          <w:rFonts w:cs="Times New Roman"/>
        </w:rPr>
        <w:t>，本工程的分摊系数按50%考虑，则农村生活供水效益为224.70万元。</w:t>
      </w:r>
    </w:p>
    <w:p>
      <w:pPr>
        <w:pStyle w:val="62"/>
        <w:rPr>
          <w:rFonts w:cs="Times New Roman"/>
        </w:rPr>
      </w:pPr>
      <w:r>
        <w:rPr>
          <w:rFonts w:cs="Times New Roman"/>
        </w:rPr>
        <w:t>8.2.1.3 社会效益</w:t>
      </w:r>
    </w:p>
    <w:p>
      <w:pPr>
        <w:ind w:firstLine="480"/>
        <w:rPr>
          <w:rFonts w:cs="Times New Roman"/>
        </w:rPr>
      </w:pPr>
      <w:r>
        <w:rPr>
          <w:rFonts w:cs="Times New Roman"/>
        </w:rPr>
        <w:t>随着代尔昆代水库的建设，充分利用了代尔昆代地表水资源，95%保证率每年为淖毛湖区域供水359.57万m</w:t>
      </w:r>
      <w:r>
        <w:rPr>
          <w:rFonts w:cs="Times New Roman"/>
          <w:vertAlign w:val="superscript"/>
        </w:rPr>
        <w:t>3</w:t>
      </w:r>
      <w:r>
        <w:rPr>
          <w:rFonts w:cs="Times New Roman"/>
        </w:rPr>
        <w:t>。</w:t>
      </w:r>
      <w:r>
        <w:rPr>
          <w:rFonts w:hint="eastAsia" w:cs="Times New Roman"/>
          <w:lang w:eastAsia="zh-CN"/>
        </w:rPr>
        <w:t>将</w:t>
      </w:r>
      <w:r>
        <w:rPr>
          <w:rFonts w:cs="Times New Roman"/>
        </w:rPr>
        <w:t>拉动地区经济持续快速发展，优化区域经济结构，促进经济协调发展；增加就业、提高当地人民群众整体生活水平，水库建设期间发生大量的人力、物力及资金投入，对区域经济拉动效益显著；建设期间及投入运行后增加地方财政、税收收入。总体而言，代尔昆代水库的建设</w:t>
      </w:r>
      <w:r>
        <w:rPr>
          <w:rFonts w:hint="eastAsia" w:cs="Times New Roman"/>
          <w:lang w:eastAsia="zh-CN"/>
        </w:rPr>
        <w:t>将</w:t>
      </w:r>
      <w:r>
        <w:rPr>
          <w:rFonts w:cs="Times New Roman"/>
        </w:rPr>
        <w:t>促进地方经济、社会、环境的协调发展。</w:t>
      </w:r>
    </w:p>
    <w:p>
      <w:pPr>
        <w:pStyle w:val="4"/>
        <w:rPr>
          <w:rFonts w:cs="Times New Roman"/>
        </w:rPr>
      </w:pPr>
      <w:r>
        <w:rPr>
          <w:rFonts w:cs="Times New Roman"/>
        </w:rPr>
        <w:t>8.2.2 损失</w:t>
      </w:r>
    </w:p>
    <w:p>
      <w:pPr>
        <w:ind w:firstLine="480"/>
        <w:rPr>
          <w:rFonts w:cs="Times New Roman"/>
        </w:rPr>
      </w:pPr>
      <w:r>
        <w:rPr>
          <w:rFonts w:cs="Times New Roman"/>
        </w:rPr>
        <w:t>以减免工程对环境的不利影响或恢复、补偿环境效益所采取的保护和补偿措施费用，作为反映工程环境影响损失大小的尺度。在工程建设所带来的各类损失中，可以货币化体现的主要包括工程征占地带来的移民安置补偿费、工程环保投资。</w:t>
      </w:r>
    </w:p>
    <w:p>
      <w:pPr>
        <w:pStyle w:val="62"/>
        <w:rPr>
          <w:rFonts w:cs="Times New Roman"/>
        </w:rPr>
      </w:pPr>
      <w:r>
        <w:rPr>
          <w:rFonts w:cs="Times New Roman"/>
        </w:rPr>
        <w:t>8.2.2.1 建设征地损失</w:t>
      </w:r>
    </w:p>
    <w:p>
      <w:pPr>
        <w:ind w:firstLine="480"/>
        <w:rPr>
          <w:rFonts w:cs="Times New Roman"/>
        </w:rPr>
      </w:pPr>
      <w:r>
        <w:rPr>
          <w:rFonts w:cs="Times New Roman"/>
        </w:rPr>
        <w:t>工程建设征占地共计46.15hm</w:t>
      </w:r>
      <w:r>
        <w:rPr>
          <w:rFonts w:cs="Times New Roman"/>
          <w:vertAlign w:val="superscript"/>
        </w:rPr>
        <w:t>2</w:t>
      </w:r>
      <w:r>
        <w:rPr>
          <w:rFonts w:cs="Times New Roman"/>
        </w:rPr>
        <w:t>，全为天然草场，无搬迁安置人口，工程占地补偿费共574.15万元。</w:t>
      </w:r>
    </w:p>
    <w:p>
      <w:pPr>
        <w:pStyle w:val="62"/>
        <w:rPr>
          <w:rFonts w:cs="Times New Roman"/>
        </w:rPr>
      </w:pPr>
      <w:r>
        <w:rPr>
          <w:rFonts w:cs="Times New Roman"/>
        </w:rPr>
        <w:t>8.2.2.2 环保措施费用</w:t>
      </w:r>
    </w:p>
    <w:p>
      <w:pPr>
        <w:ind w:firstLine="480"/>
        <w:rPr>
          <w:rFonts w:cs="Times New Roman"/>
        </w:rPr>
      </w:pPr>
      <w:r>
        <w:rPr>
          <w:rFonts w:cs="Times New Roman"/>
        </w:rPr>
        <w:t>工程环保措施主要包括鱼类保护、野生动植物保护、施工期环境保护、环境监测及管理措施等，包括独立费用和基本预备费等在内，工程环保投资为586.67万元。</w:t>
      </w:r>
    </w:p>
    <w:p>
      <w:pPr>
        <w:pStyle w:val="4"/>
        <w:rPr>
          <w:rFonts w:cs="Times New Roman"/>
        </w:rPr>
      </w:pPr>
      <w:r>
        <w:rPr>
          <w:rFonts w:cs="Times New Roman"/>
        </w:rPr>
        <w:t>8.2.3 损益比较分析</w:t>
      </w:r>
    </w:p>
    <w:p>
      <w:pPr>
        <w:pStyle w:val="62"/>
        <w:rPr>
          <w:rFonts w:cs="Times New Roman"/>
        </w:rPr>
      </w:pPr>
      <w:r>
        <w:rPr>
          <w:rFonts w:cs="Times New Roman"/>
        </w:rPr>
        <w:t>8.2.3.1 定性分析</w:t>
      </w:r>
    </w:p>
    <w:p>
      <w:pPr>
        <w:ind w:firstLine="480"/>
        <w:rPr>
          <w:rFonts w:cs="Times New Roman"/>
        </w:rPr>
      </w:pPr>
      <w:r>
        <w:rPr>
          <w:rFonts w:cs="Times New Roman"/>
        </w:rPr>
        <w:t>综合“8.2.1效益”和“8.2.2损失”分析不难看出，除了工程永久征地损失为不可逆环境经济损失，其它环保投资均为一次性或短期的环境经济损失，工程生态、旅游和社会效益明显，工程生态和旅游带来的经济收益</w:t>
      </w:r>
      <w:r>
        <w:rPr>
          <w:rFonts w:hint="eastAsia" w:cs="Times New Roman"/>
          <w:lang w:eastAsia="zh-CN"/>
        </w:rPr>
        <w:t>将</w:t>
      </w:r>
      <w:r>
        <w:rPr>
          <w:rFonts w:cs="Times New Roman"/>
        </w:rPr>
        <w:t>是长期的，对提高当地人民生活水平、促进民族团结、维护政治稳定都具有重要意义。</w:t>
      </w:r>
    </w:p>
    <w:p>
      <w:pPr>
        <w:pStyle w:val="62"/>
        <w:rPr>
          <w:rFonts w:cs="Times New Roman"/>
        </w:rPr>
      </w:pPr>
      <w:r>
        <w:rPr>
          <w:rFonts w:cs="Times New Roman"/>
        </w:rPr>
        <w:t>8.2.3.2 定量计算</w:t>
      </w:r>
    </w:p>
    <w:p>
      <w:pPr>
        <w:ind w:firstLine="480"/>
        <w:rPr>
          <w:rFonts w:cs="Times New Roman"/>
        </w:rPr>
      </w:pPr>
      <w:r>
        <w:rPr>
          <w:rFonts w:cs="Times New Roman"/>
        </w:rPr>
        <w:t>工程带来的效益和损失量化计算见表8.2-1，工程建成后能够带来约2405.26万元的直接和间接经济效益，而工程建设的损失是一次性的。</w:t>
      </w:r>
    </w:p>
    <w:p>
      <w:pPr>
        <w:pStyle w:val="137"/>
        <w:spacing w:before="62"/>
      </w:pPr>
      <w:r>
        <w:t>表8.2-1                 工程建设效益/损失计算表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2073"/>
        <w:gridCol w:w="1509"/>
        <w:gridCol w:w="2748"/>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0" w:type="pct"/>
            <w:gridSpan w:val="3"/>
            <w:vAlign w:val="center"/>
          </w:tcPr>
          <w:p>
            <w:pPr>
              <w:pStyle w:val="136"/>
            </w:pPr>
            <w:r>
              <w:t>效益项</w:t>
            </w:r>
          </w:p>
        </w:tc>
        <w:tc>
          <w:tcPr>
            <w:tcW w:w="2360" w:type="pct"/>
            <w:gridSpan w:val="2"/>
            <w:vAlign w:val="center"/>
          </w:tcPr>
          <w:p>
            <w:pPr>
              <w:pStyle w:val="136"/>
            </w:pPr>
            <w:r>
              <w:t>损失项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1" w:type="pct"/>
            <w:vMerge w:val="restart"/>
            <w:vAlign w:val="center"/>
          </w:tcPr>
          <w:p>
            <w:pPr>
              <w:pStyle w:val="136"/>
            </w:pPr>
            <w:r>
              <w:t>经济效益</w:t>
            </w:r>
          </w:p>
        </w:tc>
        <w:tc>
          <w:tcPr>
            <w:tcW w:w="1151" w:type="pct"/>
            <w:vAlign w:val="center"/>
          </w:tcPr>
          <w:p>
            <w:pPr>
              <w:pStyle w:val="136"/>
            </w:pPr>
            <w:r>
              <w:t>农村供水效益</w:t>
            </w:r>
          </w:p>
        </w:tc>
        <w:tc>
          <w:tcPr>
            <w:tcW w:w="838" w:type="pct"/>
            <w:vAlign w:val="center"/>
          </w:tcPr>
          <w:p>
            <w:pPr>
              <w:pStyle w:val="136"/>
            </w:pPr>
            <w:r>
              <w:t>2180.56万元</w:t>
            </w:r>
          </w:p>
        </w:tc>
        <w:tc>
          <w:tcPr>
            <w:tcW w:w="1526" w:type="pct"/>
            <w:vAlign w:val="center"/>
          </w:tcPr>
          <w:p>
            <w:pPr>
              <w:pStyle w:val="136"/>
            </w:pPr>
            <w:r>
              <w:t>建设征地损失（一次性）</w:t>
            </w:r>
          </w:p>
        </w:tc>
        <w:tc>
          <w:tcPr>
            <w:tcW w:w="834" w:type="pct"/>
            <w:vAlign w:val="center"/>
          </w:tcPr>
          <w:p>
            <w:pPr>
              <w:pStyle w:val="136"/>
            </w:pPr>
            <w:r>
              <w:t>574.15万元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1" w:type="pct"/>
            <w:vMerge w:val="continue"/>
            <w:vAlign w:val="center"/>
          </w:tcPr>
          <w:p>
            <w:pPr>
              <w:pStyle w:val="136"/>
            </w:pPr>
          </w:p>
        </w:tc>
        <w:tc>
          <w:tcPr>
            <w:tcW w:w="1151" w:type="pct"/>
            <w:vAlign w:val="center"/>
          </w:tcPr>
          <w:p>
            <w:pPr>
              <w:pStyle w:val="136"/>
            </w:pPr>
            <w:r>
              <w:t>农村人饮供水效益</w:t>
            </w:r>
          </w:p>
        </w:tc>
        <w:tc>
          <w:tcPr>
            <w:tcW w:w="838" w:type="pct"/>
            <w:vAlign w:val="center"/>
          </w:tcPr>
          <w:p>
            <w:pPr>
              <w:pStyle w:val="136"/>
            </w:pPr>
            <w:r>
              <w:t>224.70万元</w:t>
            </w:r>
          </w:p>
        </w:tc>
        <w:tc>
          <w:tcPr>
            <w:tcW w:w="1526" w:type="pct"/>
            <w:vAlign w:val="center"/>
          </w:tcPr>
          <w:p>
            <w:pPr>
              <w:pStyle w:val="136"/>
            </w:pPr>
            <w:r>
              <w:t>环保措施费用（一次性）</w:t>
            </w:r>
          </w:p>
        </w:tc>
        <w:tc>
          <w:tcPr>
            <w:tcW w:w="834" w:type="pct"/>
            <w:vAlign w:val="center"/>
          </w:tcPr>
          <w:p>
            <w:pPr>
              <w:pStyle w:val="136"/>
            </w:pPr>
            <w:r>
              <w:t>586.67万元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2" w:type="pct"/>
            <w:gridSpan w:val="2"/>
            <w:vAlign w:val="center"/>
          </w:tcPr>
          <w:p>
            <w:pPr>
              <w:pStyle w:val="136"/>
            </w:pPr>
            <w:r>
              <w:t>合计</w:t>
            </w:r>
          </w:p>
        </w:tc>
        <w:tc>
          <w:tcPr>
            <w:tcW w:w="838" w:type="pct"/>
            <w:vAlign w:val="center"/>
          </w:tcPr>
          <w:p>
            <w:pPr>
              <w:pStyle w:val="136"/>
            </w:pPr>
            <w:r>
              <w:t>2405.26万元</w:t>
            </w:r>
          </w:p>
        </w:tc>
        <w:tc>
          <w:tcPr>
            <w:tcW w:w="1526" w:type="pct"/>
            <w:vAlign w:val="center"/>
          </w:tcPr>
          <w:p>
            <w:pPr>
              <w:pStyle w:val="136"/>
            </w:pPr>
            <w:r>
              <w:t>合计</w:t>
            </w:r>
          </w:p>
        </w:tc>
        <w:tc>
          <w:tcPr>
            <w:tcW w:w="834" w:type="pct"/>
            <w:vAlign w:val="center"/>
          </w:tcPr>
          <w:p>
            <w:pPr>
              <w:pStyle w:val="136"/>
            </w:pPr>
            <w:r>
              <w:t>1160.82万元</w:t>
            </w:r>
          </w:p>
        </w:tc>
      </w:tr>
    </w:tbl>
    <w:p>
      <w:pPr>
        <w:ind w:firstLine="480"/>
        <w:rPr>
          <w:rFonts w:cs="Times New Roman"/>
        </w:rPr>
      </w:pPr>
    </w:p>
    <w:p>
      <w:pPr>
        <w:pStyle w:val="4"/>
        <w:rPr>
          <w:rFonts w:cs="Times New Roman"/>
        </w:rPr>
      </w:pPr>
      <w:r>
        <w:rPr>
          <w:rFonts w:cs="Times New Roman"/>
        </w:rPr>
        <w:t>8.2.4 结论</w:t>
      </w:r>
    </w:p>
    <w:p>
      <w:pPr>
        <w:ind w:firstLine="480"/>
        <w:rPr>
          <w:rFonts w:cs="Times New Roman"/>
        </w:rPr>
      </w:pPr>
      <w:r>
        <w:rPr>
          <w:rFonts w:cs="Times New Roman"/>
        </w:rPr>
        <w:t>综合分析，从环境经济损益的角度考虑，本工程建设是可行的。</w:t>
      </w:r>
    </w:p>
    <w:p>
      <w:pPr>
        <w:ind w:firstLine="480"/>
        <w:rPr>
          <w:rFonts w:cs="Times New Roman"/>
        </w:rPr>
      </w:pPr>
      <w:r>
        <w:rPr>
          <w:rFonts w:cs="Times New Roman"/>
        </w:rPr>
        <w:br w:type="page"/>
      </w:r>
    </w:p>
    <w:p>
      <w:pPr>
        <w:pStyle w:val="2"/>
        <w:rPr>
          <w:rFonts w:cs="Times New Roman"/>
        </w:rPr>
      </w:pPr>
      <w:bookmarkStart w:id="148" w:name="_Toc181381640"/>
      <w:r>
        <w:rPr>
          <w:rFonts w:cs="Times New Roman"/>
        </w:rPr>
        <w:t>9. 环境风险分析</w:t>
      </w:r>
      <w:bookmarkEnd w:id="148"/>
    </w:p>
    <w:p>
      <w:pPr>
        <w:ind w:firstLine="480"/>
        <w:rPr>
          <w:rFonts w:cs="Times New Roman"/>
        </w:rPr>
      </w:pPr>
      <w:r>
        <w:rPr>
          <w:rFonts w:cs="Times New Roman"/>
        </w:rPr>
        <w:t>水利工程建设对环境的影响主要为非污染生态影响，其运行期基本无“三废”排放，相应环境风险主要为外来风险。本工程施工与运行主要是增加风险发生的概率或加剧风险危害。</w:t>
      </w:r>
    </w:p>
    <w:p>
      <w:pPr>
        <w:ind w:firstLine="480"/>
        <w:rPr>
          <w:rFonts w:cs="Times New Roman"/>
        </w:rPr>
      </w:pPr>
      <w:r>
        <w:rPr>
          <w:rFonts w:cs="Times New Roman"/>
        </w:rPr>
        <w:t>根据工程及工程区域环境特点，施工期环境风险重点关注炸药与油料的储运风险；施工人员用火不当引发火灾风险；运行期风险主要为水资源配置</w:t>
      </w:r>
      <w:r>
        <w:rPr>
          <w:rFonts w:hint="eastAsia" w:cs="Times New Roman"/>
          <w:lang w:eastAsia="zh-CN"/>
        </w:rPr>
        <w:t>实施方案</w:t>
      </w:r>
      <w:r>
        <w:rPr>
          <w:rFonts w:cs="Times New Roman"/>
        </w:rPr>
        <w:t>不到位的环境风险。</w:t>
      </w:r>
    </w:p>
    <w:p>
      <w:pPr>
        <w:ind w:firstLine="480"/>
        <w:rPr>
          <w:rFonts w:cs="Times New Roman"/>
        </w:rPr>
      </w:pPr>
    </w:p>
    <w:p>
      <w:pPr>
        <w:pStyle w:val="3"/>
        <w:rPr>
          <w:rFonts w:cs="Times New Roman"/>
        </w:rPr>
      </w:pPr>
      <w:bookmarkStart w:id="149" w:name="_Toc181381641"/>
      <w:r>
        <w:rPr>
          <w:rFonts w:cs="Times New Roman"/>
        </w:rPr>
        <w:t>9.1 施工期环境风险分析</w:t>
      </w:r>
      <w:bookmarkEnd w:id="149"/>
    </w:p>
    <w:p>
      <w:pPr>
        <w:pStyle w:val="4"/>
        <w:rPr>
          <w:rFonts w:cs="Times New Roman"/>
        </w:rPr>
      </w:pPr>
      <w:r>
        <w:rPr>
          <w:rFonts w:cs="Times New Roman"/>
        </w:rPr>
        <w:t>9.1.1 炸药和油料储运风险</w:t>
      </w:r>
    </w:p>
    <w:p>
      <w:pPr>
        <w:pStyle w:val="62"/>
        <w:rPr>
          <w:rFonts w:cs="Times New Roman"/>
        </w:rPr>
      </w:pPr>
      <w:r>
        <w:rPr>
          <w:rFonts w:cs="Times New Roman"/>
        </w:rPr>
        <w:t>9.1.1.1 风险识别</w:t>
      </w:r>
    </w:p>
    <w:p>
      <w:pPr>
        <w:ind w:firstLine="480"/>
        <w:rPr>
          <w:rFonts w:cs="Times New Roman"/>
        </w:rPr>
      </w:pPr>
      <w:r>
        <w:rPr>
          <w:rFonts w:cs="Times New Roman"/>
        </w:rPr>
        <w:t>根据主体工程施工组织设计，代尔昆代水库工程施工中需使用油料和炸药，油料用量为705.99万t、炸药53.4万t。根据现场调查，工程施工区周边无居民点等敏感目标分布，符合安全防护距离要求。</w:t>
      </w:r>
    </w:p>
    <w:p>
      <w:pPr>
        <w:ind w:firstLine="480"/>
        <w:rPr>
          <w:rFonts w:cs="Times New Roman"/>
        </w:rPr>
      </w:pPr>
      <w:r>
        <w:rPr>
          <w:rFonts w:cs="Times New Roman"/>
        </w:rPr>
        <w:t>炸药和油料均属于易燃易爆物质，在运输和储运过程中，或由于操作不规范，可能引发爆炸、火灾等事故风险。</w:t>
      </w:r>
    </w:p>
    <w:p>
      <w:pPr>
        <w:pStyle w:val="62"/>
        <w:rPr>
          <w:rFonts w:cs="Times New Roman"/>
        </w:rPr>
      </w:pPr>
      <w:r>
        <w:rPr>
          <w:rFonts w:cs="Times New Roman"/>
        </w:rPr>
        <w:t>9.1.1.2 风险危害分析</w:t>
      </w:r>
    </w:p>
    <w:p>
      <w:pPr>
        <w:ind w:firstLine="480"/>
        <w:rPr>
          <w:rFonts w:cs="Times New Roman"/>
        </w:rPr>
      </w:pPr>
      <w:r>
        <w:rPr>
          <w:rFonts w:cs="Times New Roman"/>
        </w:rPr>
        <w:t>工程油料和炸药均采用公路运输，在车辆运输过程中，有可能遇到或发生交通事故，引发油料泄漏或炸药爆炸，从而对周边环境造成影响。</w:t>
      </w:r>
    </w:p>
    <w:p>
      <w:pPr>
        <w:ind w:firstLine="480"/>
        <w:rPr>
          <w:rFonts w:cs="Times New Roman"/>
        </w:rPr>
      </w:pPr>
      <w:r>
        <w:rPr>
          <w:rFonts w:cs="Times New Roman"/>
        </w:rPr>
        <w:t>根据施工组织设计，本工程对油料和炸药需求量不大，就近购买、运输距离短，且采取专门运输车辆、由专业人员驾驶和押运，</w:t>
      </w:r>
      <w:r>
        <w:rPr>
          <w:rFonts w:hint="eastAsia" w:cs="Times New Roman"/>
          <w:lang w:eastAsia="zh-CN"/>
        </w:rPr>
        <w:t>将</w:t>
      </w:r>
      <w:r>
        <w:rPr>
          <w:rFonts w:cs="Times New Roman"/>
        </w:rPr>
        <w:t>有效控制交通事故发生概率；在运输过程中，油料和炸药的单车运输量按照国家相关规定进行严格控制；炸药和雷管</w:t>
      </w:r>
      <w:r>
        <w:rPr>
          <w:rFonts w:hint="eastAsia" w:cs="Times New Roman"/>
          <w:lang w:eastAsia="zh-CN"/>
        </w:rPr>
        <w:t>将</w:t>
      </w:r>
      <w:r>
        <w:rPr>
          <w:rFonts w:cs="Times New Roman"/>
        </w:rPr>
        <w:t>分开运输，并在储存过程中按相关规范分类、定点储存。</w:t>
      </w:r>
    </w:p>
    <w:p>
      <w:pPr>
        <w:ind w:firstLine="480"/>
        <w:rPr>
          <w:rFonts w:cs="Times New Roman"/>
        </w:rPr>
      </w:pPr>
      <w:r>
        <w:rPr>
          <w:rFonts w:cs="Times New Roman"/>
        </w:rPr>
        <w:t>综上分析，工程油料和炸药储运造成的环境危害性</w:t>
      </w:r>
      <w:r>
        <w:rPr>
          <w:rFonts w:hint="eastAsia" w:cs="Times New Roman"/>
          <w:lang w:eastAsia="zh-CN"/>
        </w:rPr>
        <w:t>将</w:t>
      </w:r>
      <w:r>
        <w:rPr>
          <w:rFonts w:cs="Times New Roman"/>
        </w:rPr>
        <w:t>在可控制范围之内。</w:t>
      </w:r>
    </w:p>
    <w:p>
      <w:pPr>
        <w:pStyle w:val="62"/>
        <w:rPr>
          <w:rFonts w:cs="Times New Roman"/>
        </w:rPr>
      </w:pPr>
      <w:r>
        <w:rPr>
          <w:rFonts w:cs="Times New Roman"/>
        </w:rPr>
        <w:t>9.1.1.3 风险防护和减缓措施</w:t>
      </w:r>
    </w:p>
    <w:p>
      <w:pPr>
        <w:ind w:firstLine="480"/>
        <w:rPr>
          <w:rFonts w:cs="Times New Roman"/>
        </w:rPr>
      </w:pPr>
      <w:r>
        <w:rPr>
          <w:rFonts w:cs="Times New Roman"/>
        </w:rPr>
        <w:t>（1）建立以工程建设安全和环保领导小组为核心的责任制，层层签订责任书，明确各级安全和环保人员应承担的环境风险管理责任。</w:t>
      </w:r>
    </w:p>
    <w:p>
      <w:pPr>
        <w:ind w:firstLine="480"/>
        <w:rPr>
          <w:rFonts w:cs="Times New Roman"/>
        </w:rPr>
      </w:pPr>
      <w:r>
        <w:rPr>
          <w:rFonts w:cs="Times New Roman"/>
        </w:rPr>
        <w:t>（2）安全和环保领导小组应加强各施工队伍的环境风险意识宣传教育，并与运输油料、炸药的承包方签订事故责任合同，确保运输风险减缓措施得到落实；油库和炸药库等易发生环境事故的设施，建立岗位责任制，责任到人，一旦发生事故追究其责任。</w:t>
      </w:r>
    </w:p>
    <w:p>
      <w:pPr>
        <w:ind w:firstLine="480"/>
        <w:rPr>
          <w:rFonts w:cs="Times New Roman"/>
        </w:rPr>
      </w:pPr>
      <w:r>
        <w:rPr>
          <w:rFonts w:cs="Times New Roman"/>
        </w:rPr>
        <w:t>（3）油料和炸药的运输必须事先申请并经公安、环保等有关部门批准、登记，对油罐存放区设置防漏、防溢、防渗设施，并且达到相关标准要求。</w:t>
      </w:r>
    </w:p>
    <w:p>
      <w:pPr>
        <w:ind w:firstLine="480"/>
        <w:rPr>
          <w:rFonts w:cs="Times New Roman"/>
        </w:rPr>
      </w:pPr>
      <w:r>
        <w:rPr>
          <w:rFonts w:cs="Times New Roman"/>
        </w:rPr>
        <w:t>（4）加强运输人员环境污染事故安全知识教育，运输人员应严格遵守易燃、易爆等危险货物运输的有关规定，具体包括《汽车危险货物运输规则》、《汽车危险货物运输、装卸作业规程》。</w:t>
      </w:r>
    </w:p>
    <w:p>
      <w:pPr>
        <w:ind w:firstLine="480"/>
        <w:rPr>
          <w:rFonts w:cs="Times New Roman"/>
        </w:rPr>
      </w:pPr>
      <w:r>
        <w:rPr>
          <w:rFonts w:cs="Times New Roman"/>
        </w:rPr>
        <w:t>（5）油料运输采用密闭性能优越的储油罐；炸药与雷管应分开运输，储存时应按照相关规范分类、定点储存。</w:t>
      </w:r>
    </w:p>
    <w:p>
      <w:pPr>
        <w:ind w:firstLine="480"/>
        <w:rPr>
          <w:rFonts w:cs="Times New Roman"/>
        </w:rPr>
      </w:pPr>
      <w:r>
        <w:rPr>
          <w:rFonts w:cs="Times New Roman"/>
        </w:rPr>
        <w:t>（6）定期检查储存场所的各类电气开关和线路，防止由于设备老化、短路而成为事故隐患。</w:t>
      </w:r>
    </w:p>
    <w:p>
      <w:pPr>
        <w:ind w:firstLine="480"/>
        <w:rPr>
          <w:rFonts w:cs="Times New Roman"/>
        </w:rPr>
      </w:pPr>
      <w:r>
        <w:rPr>
          <w:rFonts w:cs="Times New Roman"/>
        </w:rPr>
        <w:t>（7）配备必需的消防器材，并定期更换，以保证消防器材在任何时候均处于有效状态。</w:t>
      </w:r>
    </w:p>
    <w:p>
      <w:pPr>
        <w:ind w:firstLine="480"/>
        <w:rPr>
          <w:rFonts w:cs="Times New Roman"/>
        </w:rPr>
      </w:pPr>
      <w:r>
        <w:rPr>
          <w:rFonts w:cs="Times New Roman"/>
        </w:rPr>
        <w:t>（8）根据同类工程施工经验，尽可能请当地公安部门配合，做好炸药库看管工作。</w:t>
      </w:r>
    </w:p>
    <w:p>
      <w:pPr>
        <w:pStyle w:val="4"/>
        <w:rPr>
          <w:rFonts w:cs="Times New Roman"/>
        </w:rPr>
      </w:pPr>
      <w:r>
        <w:rPr>
          <w:rFonts w:cs="Times New Roman"/>
        </w:rPr>
        <w:t>9.1.2 火灾风险</w:t>
      </w:r>
    </w:p>
    <w:p>
      <w:pPr>
        <w:pStyle w:val="62"/>
        <w:rPr>
          <w:rFonts w:cs="Times New Roman"/>
        </w:rPr>
      </w:pPr>
      <w:r>
        <w:rPr>
          <w:rFonts w:cs="Times New Roman"/>
        </w:rPr>
        <w:t>9.1.2.1 风险识别</w:t>
      </w:r>
    </w:p>
    <w:p>
      <w:pPr>
        <w:ind w:firstLine="480"/>
        <w:rPr>
          <w:rFonts w:cs="Times New Roman"/>
        </w:rPr>
      </w:pPr>
      <w:r>
        <w:rPr>
          <w:rFonts w:cs="Times New Roman"/>
        </w:rPr>
        <w:t>工程区气候较为干燥，地表植被以荒漠草原和荒漠为主，包括荒漠草原植物沙生针茅、戈壁针茅、细叶鸦葱、木地肤、蓝枝麻黄、新疆绢蒿、粉苞菊等，覆</w:t>
      </w:r>
      <w:r>
        <w:rPr>
          <w:rFonts w:hint="eastAsia" w:cs="Times New Roman"/>
          <w:lang w:eastAsia="zh-CN"/>
        </w:rPr>
        <w:t>植盖度</w:t>
      </w:r>
      <w:r>
        <w:rPr>
          <w:rFonts w:cs="Times New Roman"/>
        </w:rPr>
        <w:t>5～20%；荒漠植被以琵琶柴群系为主，植物物种主要有琵琶柴、假木贼、霸王、粉苞菊等，</w:t>
      </w:r>
      <w:r>
        <w:rPr>
          <w:rFonts w:hint="eastAsia" w:cs="Times New Roman"/>
          <w:lang w:eastAsia="zh-CN"/>
        </w:rPr>
        <w:t>植盖度</w:t>
      </w:r>
      <w:r>
        <w:rPr>
          <w:rFonts w:cs="Times New Roman"/>
        </w:rPr>
        <w:t>5～10%。</w:t>
      </w:r>
    </w:p>
    <w:p>
      <w:pPr>
        <w:ind w:firstLine="480"/>
        <w:rPr>
          <w:rFonts w:cs="Times New Roman"/>
        </w:rPr>
      </w:pPr>
      <w:r>
        <w:rPr>
          <w:rFonts w:cs="Times New Roman"/>
        </w:rPr>
        <w:t>施工期间，施工人员吸烟、炊事用火、机械燃油、日常电器使用，潜存着因用火用电不当、电路老化等因素引发火灾的风险。</w:t>
      </w:r>
    </w:p>
    <w:p>
      <w:pPr>
        <w:pStyle w:val="62"/>
        <w:rPr>
          <w:rFonts w:cs="Times New Roman"/>
        </w:rPr>
      </w:pPr>
      <w:r>
        <w:rPr>
          <w:rFonts w:cs="Times New Roman"/>
        </w:rPr>
        <w:t>9.1.2.2 风险危害分析</w:t>
      </w:r>
    </w:p>
    <w:p>
      <w:pPr>
        <w:ind w:firstLine="480"/>
        <w:rPr>
          <w:rFonts w:cs="Times New Roman"/>
        </w:rPr>
      </w:pPr>
      <w:r>
        <w:rPr>
          <w:rFonts w:cs="Times New Roman"/>
        </w:rPr>
        <w:t>工程区人烟稀少，地表以荒漠植被为主，若施工区失火，首先</w:t>
      </w:r>
      <w:r>
        <w:rPr>
          <w:rFonts w:hint="eastAsia" w:cs="Times New Roman"/>
          <w:lang w:eastAsia="zh-CN"/>
        </w:rPr>
        <w:t>将</w:t>
      </w:r>
      <w:r>
        <w:rPr>
          <w:rFonts w:cs="Times New Roman"/>
        </w:rPr>
        <w:t>对施工人员的生命财产安全构成威胁；此外若发现不及时，大火还</w:t>
      </w:r>
      <w:r>
        <w:rPr>
          <w:rFonts w:hint="eastAsia" w:cs="Times New Roman"/>
          <w:lang w:eastAsia="zh-CN"/>
        </w:rPr>
        <w:t>将</w:t>
      </w:r>
      <w:r>
        <w:rPr>
          <w:rFonts w:cs="Times New Roman"/>
        </w:rPr>
        <w:t>向周边蔓延，引发草场火灾，造成严重的植被损失及生态破坏，特别是工程区地处山区多风，一旦发生草场火灾，灭火难度很大，火势很难控制。</w:t>
      </w:r>
    </w:p>
    <w:p>
      <w:pPr>
        <w:pStyle w:val="62"/>
        <w:rPr>
          <w:rFonts w:cs="Times New Roman"/>
        </w:rPr>
      </w:pPr>
      <w:r>
        <w:rPr>
          <w:rFonts w:cs="Times New Roman"/>
        </w:rPr>
        <w:t>9.1.2.3 风险防护和减缓措施</w:t>
      </w:r>
    </w:p>
    <w:p>
      <w:pPr>
        <w:ind w:firstLine="480"/>
        <w:rPr>
          <w:rFonts w:cs="Times New Roman"/>
        </w:rPr>
      </w:pPr>
      <w:r>
        <w:rPr>
          <w:rFonts w:cs="Times New Roman"/>
        </w:rPr>
        <w:t>（1）加强施工人员防火宣传教育，提高施工现场消防自救能力；</w:t>
      </w:r>
    </w:p>
    <w:p>
      <w:pPr>
        <w:ind w:firstLine="480"/>
        <w:rPr>
          <w:rFonts w:cs="Times New Roman"/>
        </w:rPr>
      </w:pPr>
      <w:r>
        <w:rPr>
          <w:rFonts w:cs="Times New Roman"/>
        </w:rPr>
        <w:t>（2）现场易燃施工材料的存放、保管、使用必须符合防火要求；易燃易爆物品，应专库储存，分类单独存放，保持通风，用火要符合防火规定；电工、焊接作业等动火前，要清除附近易燃物，配备看火人员和灭火用具，保证设备接零接地绝缘良好；木工作业完毕必须及时清理现场，彻底消除火灾隐患。</w:t>
      </w:r>
    </w:p>
    <w:p>
      <w:pPr>
        <w:ind w:firstLine="480"/>
        <w:rPr>
          <w:rFonts w:cs="Times New Roman"/>
        </w:rPr>
      </w:pPr>
      <w:r>
        <w:rPr>
          <w:rFonts w:cs="Times New Roman"/>
        </w:rPr>
        <w:t>（3）划定禁烟区；施工现场和生活区，未经防火负责人批准不得使用电热器具，不得昼夜亮灯；施工现场、宿舍等不得擅自架设电线、电缆和电器设备安装；施工现场伙房必须服从统一规划布置，不得私设炉灶。</w:t>
      </w:r>
    </w:p>
    <w:p>
      <w:pPr>
        <w:ind w:firstLine="480"/>
        <w:rPr>
          <w:rFonts w:cs="Times New Roman"/>
        </w:rPr>
      </w:pPr>
      <w:r>
        <w:rPr>
          <w:rFonts w:cs="Times New Roman"/>
        </w:rPr>
        <w:t>（4）施工现场一切消防设施、装置未经批准不得擅自移动、破坏；施工现场发生火警应立即采用电话报告火警，并迅速报告施工负责人组织义务消防队及现场人员扑救失火。</w:t>
      </w:r>
    </w:p>
    <w:p>
      <w:pPr>
        <w:ind w:firstLine="480"/>
        <w:rPr>
          <w:rFonts w:cs="Times New Roman"/>
        </w:rPr>
      </w:pPr>
    </w:p>
    <w:p>
      <w:pPr>
        <w:pStyle w:val="3"/>
        <w:rPr>
          <w:rFonts w:cs="Times New Roman"/>
        </w:rPr>
      </w:pPr>
      <w:bookmarkStart w:id="150" w:name="_Toc181381642"/>
      <w:r>
        <w:rPr>
          <w:rFonts w:cs="Times New Roman"/>
        </w:rPr>
        <w:t>9.2 运行期环境风险分析</w:t>
      </w:r>
      <w:bookmarkEnd w:id="150"/>
    </w:p>
    <w:p>
      <w:pPr>
        <w:ind w:firstLine="480"/>
        <w:rPr>
          <w:rFonts w:cs="Times New Roman"/>
        </w:rPr>
      </w:pPr>
      <w:r>
        <w:rPr>
          <w:rFonts w:cs="Times New Roman"/>
        </w:rPr>
        <w:t>代尔昆代水库建成运行后的环境风险主要来自于水资源配置</w:t>
      </w:r>
      <w:r>
        <w:rPr>
          <w:rFonts w:hint="eastAsia" w:cs="Times New Roman"/>
          <w:lang w:eastAsia="zh-CN"/>
        </w:rPr>
        <w:t>实施方案</w:t>
      </w:r>
      <w:r>
        <w:rPr>
          <w:rFonts w:cs="Times New Roman"/>
        </w:rPr>
        <w:t>不到位，可能产生代尔昆代郭勒河生态流量满足程度、下马崖泉水补给量的影响风险。</w:t>
      </w:r>
    </w:p>
    <w:p>
      <w:pPr>
        <w:pStyle w:val="4"/>
        <w:rPr>
          <w:rFonts w:cs="Times New Roman"/>
        </w:rPr>
      </w:pPr>
      <w:r>
        <w:rPr>
          <w:rFonts w:cs="Times New Roman"/>
        </w:rPr>
        <w:t>9.2.1 水资源配置</w:t>
      </w:r>
      <w:r>
        <w:rPr>
          <w:rFonts w:hint="eastAsia" w:cs="Times New Roman"/>
          <w:lang w:eastAsia="zh-CN"/>
        </w:rPr>
        <w:t>实施方案</w:t>
      </w:r>
      <w:r>
        <w:rPr>
          <w:rFonts w:cs="Times New Roman"/>
        </w:rPr>
        <w:t>不到位的环境风险</w:t>
      </w:r>
    </w:p>
    <w:p>
      <w:pPr>
        <w:pStyle w:val="62"/>
        <w:rPr>
          <w:rFonts w:cs="Times New Roman"/>
        </w:rPr>
      </w:pPr>
      <w:r>
        <w:rPr>
          <w:rFonts w:cs="Times New Roman"/>
        </w:rPr>
        <w:t>9.2.2.1 风险识别</w:t>
      </w:r>
    </w:p>
    <w:p>
      <w:pPr>
        <w:ind w:firstLine="480"/>
        <w:rPr>
          <w:rFonts w:cs="Times New Roman"/>
        </w:rPr>
      </w:pPr>
      <w:r>
        <w:rPr>
          <w:rFonts w:cs="Times New Roman"/>
        </w:rPr>
        <w:t>代尔昆代水库工程建设任务是与伊吾县伊吾河已建峡沟水库联调，在灌溉季节（5～9月）用水高峰期向淖毛湖区域人、畜饮水及公益林灌溉补水，调节淖毛湖区域灌溉季节的用水矛盾，保障人、畜饮水安全。</w:t>
      </w:r>
    </w:p>
    <w:p>
      <w:pPr>
        <w:ind w:firstLine="480"/>
        <w:rPr>
          <w:rFonts w:cs="Times New Roman"/>
        </w:rPr>
      </w:pPr>
      <w:r>
        <w:rPr>
          <w:rFonts w:cs="Times New Roman"/>
        </w:rPr>
        <w:t>代尔昆代水库供水对象包括伊吾县淖毛湖镇的10万居民及3万流动人口及6.3万头牲畜的人畜饮水，淖毛湖镇0.47万亩公益林的灌溉用水，设计水平年2030年，代尔昆代水库95%保证率供水量合计359.57万m3，其中生活供水量218万m3、灌溉供水量141.57万m3。</w:t>
      </w:r>
    </w:p>
    <w:p>
      <w:pPr>
        <w:ind w:firstLine="480"/>
        <w:rPr>
          <w:rFonts w:cs="Times New Roman"/>
        </w:rPr>
      </w:pPr>
      <w:r>
        <w:rPr>
          <w:rFonts w:cs="Times New Roman"/>
        </w:rPr>
        <w:t>现状年淖毛湖地区社会经济供水来源包括伊吾河峡沟水库和区域地下水；设计水平年</w:t>
      </w:r>
      <w:r>
        <w:rPr>
          <w:rFonts w:hint="eastAsia" w:cs="Times New Roman"/>
          <w:lang w:eastAsia="zh-CN"/>
        </w:rPr>
        <w:t>将</w:t>
      </w:r>
      <w:r>
        <w:rPr>
          <w:rFonts w:cs="Times New Roman"/>
        </w:rPr>
        <w:t>新增代尔昆代水库供水量。</w:t>
      </w:r>
    </w:p>
    <w:p>
      <w:pPr>
        <w:ind w:firstLine="480"/>
        <w:rPr>
          <w:rFonts w:cs="Times New Roman"/>
        </w:rPr>
      </w:pPr>
      <w:r>
        <w:rPr>
          <w:rFonts w:cs="Times New Roman"/>
        </w:rPr>
        <w:t>设计水平年淖毛湖地区如果无法落实最严格水资源管理制度，无法完全落实可研阶段水资源配置方案，</w:t>
      </w:r>
      <w:r>
        <w:rPr>
          <w:rFonts w:hint="eastAsia" w:cs="Times New Roman"/>
          <w:lang w:eastAsia="zh-CN"/>
        </w:rPr>
        <w:t>将</w:t>
      </w:r>
      <w:r>
        <w:rPr>
          <w:rFonts w:cs="Times New Roman"/>
        </w:rPr>
        <w:t>导致地区经济社会用水量无需扩张，一方面导致伊吾河生态水量无法保证，对伊吾河自生生态环境产生影响，同时，地下水环境超采的趋势无法得到缓解；另外，对于代尔昆代郭勒河来说，可能增大对代尔昆代水库供水量，进而影响代尔昆代郭勒河生态流量满足程度以及加剧对下马崖地下水补给量的影响。</w:t>
      </w:r>
    </w:p>
    <w:p>
      <w:pPr>
        <w:pStyle w:val="62"/>
        <w:rPr>
          <w:rFonts w:cs="Times New Roman"/>
        </w:rPr>
      </w:pPr>
      <w:r>
        <w:rPr>
          <w:rFonts w:cs="Times New Roman"/>
        </w:rPr>
        <w:t>9.2.2.2 风险危害分析</w:t>
      </w:r>
    </w:p>
    <w:p>
      <w:pPr>
        <w:ind w:firstLine="480"/>
        <w:rPr>
          <w:rFonts w:cs="Times New Roman"/>
        </w:rPr>
      </w:pPr>
      <w:r>
        <w:rPr>
          <w:rFonts w:cs="Times New Roman"/>
        </w:rPr>
        <w:t>目前，代尔昆代郭勒流域综合规划环评提出的代尔昆代水库下泄生态流量的保证率仅为85%，且仅7、8两月能满足多年平均流量的30%；可研阶段生态流量各月下泄过程均仅为年均流量的10%；同时，代尔昆代水库供水后，下泄水量的减少，会减少下马崖地下水补给量。</w:t>
      </w:r>
    </w:p>
    <w:p>
      <w:pPr>
        <w:ind w:firstLine="480"/>
        <w:rPr>
          <w:rFonts w:cs="Times New Roman"/>
        </w:rPr>
      </w:pPr>
      <w:r>
        <w:rPr>
          <w:rFonts w:cs="Times New Roman"/>
        </w:rPr>
        <w:t>若设计水平年，淖毛湖地区及代尔昆代郭勒河水资源配置</w:t>
      </w:r>
      <w:r>
        <w:rPr>
          <w:rFonts w:hint="eastAsia" w:cs="Times New Roman"/>
          <w:lang w:eastAsia="zh-CN"/>
        </w:rPr>
        <w:t>实施方案</w:t>
      </w:r>
      <w:r>
        <w:rPr>
          <w:rFonts w:cs="Times New Roman"/>
        </w:rPr>
        <w:t>不到位，</w:t>
      </w:r>
      <w:r>
        <w:rPr>
          <w:rFonts w:hint="eastAsia" w:cs="Times New Roman"/>
          <w:lang w:eastAsia="zh-CN"/>
        </w:rPr>
        <w:t>将</w:t>
      </w:r>
      <w:r>
        <w:rPr>
          <w:rFonts w:cs="Times New Roman"/>
        </w:rPr>
        <w:t>导致伊吾河自生生态环境产生影响，同时，地下水环境超采的趋势无法得到缓解；另外，对于代尔昆代郭勒河来说，可能增大对代尔昆代水库供水量。</w:t>
      </w:r>
    </w:p>
    <w:p>
      <w:pPr>
        <w:pStyle w:val="62"/>
        <w:rPr>
          <w:rFonts w:cs="Times New Roman"/>
        </w:rPr>
      </w:pPr>
      <w:r>
        <w:rPr>
          <w:rFonts w:cs="Times New Roman"/>
        </w:rPr>
        <w:t>9.2.2.3 风险防范措施</w:t>
      </w:r>
    </w:p>
    <w:p>
      <w:pPr>
        <w:ind w:firstLine="480"/>
        <w:rPr>
          <w:rFonts w:cs="Times New Roman"/>
        </w:rPr>
      </w:pPr>
      <w:r>
        <w:rPr>
          <w:rFonts w:cs="Times New Roman"/>
        </w:rPr>
        <w:t>（1）主体设计应进一步合理规划淖毛湖地区水资源配置，实施最严格的水资源管理制度，严格控制流域社会经济用水总量，提高水资源利用效率，由此降低流域水资源开发利用率，增加河道内下泄水量，降低地下水开采量，改善伊吾河流域生态环境。</w:t>
      </w:r>
    </w:p>
    <w:p>
      <w:pPr>
        <w:ind w:firstLine="480"/>
        <w:rPr>
          <w:rFonts w:cs="Times New Roman"/>
        </w:rPr>
      </w:pPr>
      <w:r>
        <w:rPr>
          <w:rFonts w:cs="Times New Roman"/>
        </w:rPr>
        <w:t>（2）严格落实流域规划环评要求，项目实施过程中，通过提高淖毛湖区域各业用水效率，加强中水回用，以降低地区用水总量，从而适当减少代尔昆代水库向淖毛湖区域供水，确保代尔昆代水库生态流量下泄过程及总量符合流域规划环评要求。</w:t>
      </w:r>
    </w:p>
    <w:p>
      <w:pPr>
        <w:ind w:firstLine="480"/>
        <w:rPr>
          <w:rFonts w:cs="Times New Roman"/>
        </w:rPr>
      </w:pPr>
      <w:r>
        <w:rPr>
          <w:rFonts w:cs="Times New Roman"/>
        </w:rPr>
        <w:t>（3）全面推进河长制管理，加强流域综合管理，健全长效机制。建立健全水文、水环境、生态流量、水陆生生态等监测体系，根据跟踪监测情况，落实和完善生态环境保护对策措施。</w:t>
      </w:r>
    </w:p>
    <w:p>
      <w:pPr>
        <w:ind w:firstLine="480"/>
        <w:rPr>
          <w:rFonts w:cs="Times New Roman"/>
        </w:rPr>
      </w:pPr>
      <w:r>
        <w:rPr>
          <w:rFonts w:cs="Times New Roman"/>
        </w:rPr>
        <w:t>（4）应加强工程下马崖泉水区地下水位及泉水出露量长期观测，并开展长期的跟踪监测评价，视跟踪监测评价结果，实施采取补救措施，如出现大面积地下水位持续下降或泉水出露量减少，应调查分析原因，根据原因采取相关措施，以维持一定地下水位和泉水出露量。</w:t>
      </w:r>
    </w:p>
    <w:p>
      <w:pPr>
        <w:ind w:firstLine="480"/>
        <w:rPr>
          <w:rFonts w:cs="Times New Roman"/>
        </w:rPr>
      </w:pPr>
      <w:r>
        <w:rPr>
          <w:rFonts w:cs="Times New Roman"/>
        </w:rPr>
        <w:t>（5）考虑到洪水对下马崖地下水补给具有重要意义，建议代尔昆代水库运行过程中，确保代尔昆代郭勒河下泄洪量不减少。</w:t>
      </w:r>
    </w:p>
    <w:p>
      <w:pPr>
        <w:ind w:firstLine="480"/>
        <w:rPr>
          <w:rFonts w:cs="Times New Roman"/>
        </w:rPr>
      </w:pPr>
      <w:r>
        <w:rPr>
          <w:rFonts w:cs="Times New Roman"/>
        </w:rPr>
        <w:t>（6）尽量避免开发哈尔里克山沿线各类支沟、河流水资源，已存在水资源开发的河流，严格落实最严格水资源管理制度，提高供水对象用水效率，降低水资源开发利用；未开发的河流及支沟，严格禁止开发水资源，确有开发需要，应在充分论证对下马崖地下水补给量影响的前提下，合理确定开发规模。</w:t>
      </w:r>
    </w:p>
    <w:p>
      <w:pPr>
        <w:widowControl/>
        <w:spacing w:line="240" w:lineRule="auto"/>
        <w:ind w:firstLine="0" w:firstLineChars="0"/>
        <w:jc w:val="left"/>
        <w:rPr>
          <w:rFonts w:cs="Times New Roman"/>
        </w:rPr>
      </w:pPr>
      <w:r>
        <w:rPr>
          <w:rFonts w:cs="Times New Roman"/>
        </w:rPr>
        <w:br w:type="page"/>
      </w:r>
    </w:p>
    <w:p>
      <w:pPr>
        <w:pStyle w:val="2"/>
        <w:rPr>
          <w:rFonts w:ascii="黑体" w:hAnsi="黑体"/>
        </w:rPr>
      </w:pPr>
      <w:bookmarkStart w:id="151" w:name="_Toc180751397"/>
      <w:bookmarkStart w:id="152" w:name="_Toc181381643"/>
      <w:r>
        <w:rPr>
          <w:rFonts w:hint="eastAsia" w:ascii="黑体" w:hAnsi="黑体"/>
        </w:rPr>
        <w:t>10. 环境影响评价结论</w:t>
      </w:r>
      <w:bookmarkEnd w:id="151"/>
    </w:p>
    <w:p>
      <w:pPr>
        <w:pStyle w:val="3"/>
        <w:jc w:val="both"/>
        <w:rPr>
          <w:rFonts w:ascii="黑体" w:hAnsi="黑体"/>
          <w:sz w:val="32"/>
        </w:rPr>
      </w:pPr>
      <w:bookmarkStart w:id="153" w:name="_Toc180751398"/>
      <w:r>
        <w:rPr>
          <w:rFonts w:hint="eastAsia" w:ascii="黑体" w:hAnsi="黑体"/>
          <w:sz w:val="32"/>
        </w:rPr>
        <w:t>10.1 流域简况及工程简况</w:t>
      </w:r>
      <w:bookmarkEnd w:id="153"/>
    </w:p>
    <w:p>
      <w:pPr>
        <w:pStyle w:val="4"/>
        <w:rPr>
          <w:rFonts w:ascii="黑体" w:hAnsi="黑体"/>
        </w:rPr>
      </w:pPr>
      <w:r>
        <w:rPr>
          <w:rFonts w:hint="eastAsia" w:ascii="黑体" w:hAnsi="黑体"/>
        </w:rPr>
        <w:t>10.1.1 流域简况</w:t>
      </w:r>
    </w:p>
    <w:p>
      <w:pPr>
        <w:ind w:firstLine="480"/>
      </w:pPr>
      <w:r>
        <w:rPr>
          <w:rFonts w:hint="eastAsia"/>
        </w:rPr>
        <w:t>代尔昆代郭勒河为一内陆河，发源于东天山末端喀尔里克山北坡，由阿腊萨拉和亚喀萨拉两支流汇合形成。地理坐标为东经94°42′～94°49′，北纬42°59′～43°07′河流整体流向自西南向东北，出山后流经广袤的下马崖戈壁，后经下马崖乡后折向北流，最终消失在茫茫戈壁滩。流域面积1412k㎡，河长总计142km，流域平均海拔高程为2728m，多年平均年径流量834万m³，多年平均年径流量0.26m³/s。</w:t>
      </w:r>
    </w:p>
    <w:p>
      <w:pPr>
        <w:ind w:firstLine="480"/>
      </w:pPr>
      <w:r>
        <w:rPr>
          <w:rFonts w:hint="eastAsia"/>
        </w:rPr>
        <w:t>根据河流沿线地貌特征等，代尔昆代郭勒河可分为上中下游三段。</w:t>
      </w:r>
    </w:p>
    <w:p>
      <w:pPr>
        <w:ind w:firstLine="480"/>
      </w:pPr>
      <w:r>
        <w:rPr>
          <w:rFonts w:hint="eastAsia"/>
        </w:rPr>
        <w:t>上游段：由出山口至以上河段，河长约18km，流域面积约86.9k㎡；代尔昆代水库即位于该河段，水库坝址距下游出山口断面约6km，坝址断面年均径流量834万m</w:t>
      </w:r>
      <w:r>
        <w:rPr>
          <w:vertAlign w:val="superscript"/>
        </w:rPr>
        <w:t>3</w:t>
      </w:r>
      <w:r>
        <w:rPr>
          <w:rFonts w:hint="eastAsia"/>
        </w:rPr>
        <w:t>、年均流量0.26m³/s，拟建代尔昆代水库处于该段河段。</w:t>
      </w:r>
    </w:p>
    <w:p>
      <w:pPr>
        <w:ind w:firstLine="480"/>
      </w:pPr>
      <w:r>
        <w:rPr>
          <w:rFonts w:hint="eastAsia"/>
        </w:rPr>
        <w:t>中游段：出山口至下游下马崖乡附近铁道线路之间，河长约47km，期间无支流汇入，处于径流损失区，河道常年无地表径流，河水以地下潜流形式向下游排泄，部分地下潜流以泉的形式在下马崖乡与周边区域山沟潜流相汇后出露并用于下马崖乡农业灌溉。</w:t>
      </w:r>
    </w:p>
    <w:p>
      <w:pPr>
        <w:ind w:firstLine="480"/>
      </w:pPr>
      <w:r>
        <w:rPr>
          <w:rFonts w:hint="eastAsia"/>
        </w:rPr>
        <w:t>下游段：下马崖乡附近铁道线路至以下代尔昆代郭勒河河道，河长约77km，该河段亦无支流汇入，同处于径流损失区，河道常年无地表径流，河水以地下潜流形式向下游排泄。</w:t>
      </w:r>
    </w:p>
    <w:p>
      <w:pPr>
        <w:ind w:firstLine="480"/>
      </w:pPr>
      <w:r>
        <w:rPr>
          <w:rFonts w:hint="eastAsia"/>
        </w:rPr>
        <w:t>代尔昆代郭勒河水主要由季节性融雪水、夏季降雨补给，同时少部分基岩裂隙水补给。由于补给源不稳定且补给量小，加之河床覆盖层以第四系卵砾石为主，下渗严重，山区河段（上游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山区河段水量小，河道水流归槽现象严重，水面宽基本在1m左右，水深不超过10cm；平原区河段（中下游河段）几乎无地表明流，仅汛期，当代尔昆代郭勒河发生洪水时，由于河流的坡降大，区域产生的融雪洪水或暴雨洪水往往洪量少流速大，地表明流可流出山口断面，但很快会消散于下马崖戈壁。</w:t>
      </w:r>
    </w:p>
    <w:p>
      <w:pPr>
        <w:ind w:firstLine="480"/>
      </w:pPr>
      <w:r>
        <w:rPr>
          <w:rFonts w:hint="eastAsia"/>
        </w:rPr>
        <w:t>目前代尔昆代郭勒流域无控制性枢纽工程，现状地表水未被开发利用，仍处于天然状态，存在开发潜力，而伊吾县淖毛湖区域水资源十分贫乏，且水资源时空分布不均衡，经济发展受限。因此，可对代尔昆代代流域进行开发利用，以缓解其水资源供需矛盾，为保障淖毛湖地区社会经济可持续发展。</w:t>
      </w:r>
    </w:p>
    <w:p>
      <w:pPr>
        <w:pStyle w:val="4"/>
        <w:rPr>
          <w:rFonts w:ascii="黑体" w:hAnsi="黑体"/>
        </w:rPr>
      </w:pPr>
      <w:r>
        <w:rPr>
          <w:rFonts w:hint="eastAsia" w:ascii="黑体" w:hAnsi="黑体"/>
        </w:rPr>
        <w:t>10.1.2</w:t>
      </w:r>
      <w:r>
        <w:rPr>
          <w:rFonts w:ascii="黑体" w:hAnsi="黑体"/>
        </w:rPr>
        <w:t xml:space="preserve"> </w:t>
      </w:r>
      <w:r>
        <w:rPr>
          <w:rFonts w:hint="eastAsia" w:ascii="黑体" w:hAnsi="黑体"/>
        </w:rPr>
        <w:t>工程简况</w:t>
      </w:r>
    </w:p>
    <w:p>
      <w:pPr>
        <w:ind w:firstLine="480"/>
        <w:rPr>
          <w:rFonts w:asciiTheme="minorEastAsia" w:hAnsiTheme="minorEastAsia" w:eastAsiaTheme="minorEastAsia"/>
        </w:rPr>
      </w:pPr>
      <w:r>
        <w:rPr>
          <w:rFonts w:hint="eastAsia" w:asciiTheme="minorEastAsia" w:hAnsiTheme="minorEastAsia" w:eastAsiaTheme="minorEastAsia"/>
        </w:rPr>
        <w:t>（1）地理位置</w:t>
      </w:r>
    </w:p>
    <w:p>
      <w:pPr>
        <w:ind w:firstLine="480"/>
        <w:rPr>
          <w:rFonts w:asciiTheme="minorEastAsia" w:hAnsiTheme="minorEastAsia" w:eastAsiaTheme="minorEastAsia"/>
        </w:rPr>
      </w:pPr>
      <w:r>
        <w:rPr>
          <w:rFonts w:hint="eastAsia" w:asciiTheme="minorEastAsia" w:hAnsiTheme="minorEastAsia" w:eastAsiaTheme="minorEastAsia"/>
        </w:rPr>
        <w:t>代尔昆代水库位于哈密市伊吾县吐葫芦乡境内，距哈密市207km，距伊吾县城约25km。水库坝址位于代尔昆代郭勒沟出山口以上约6.5km处，地理坐标为东经94°47′24″，北纬43°07′40″。</w:t>
      </w:r>
    </w:p>
    <w:p>
      <w:pPr>
        <w:ind w:firstLine="480"/>
        <w:rPr>
          <w:rFonts w:asciiTheme="minorEastAsia" w:hAnsiTheme="minorEastAsia" w:eastAsiaTheme="minorEastAsia"/>
        </w:rPr>
      </w:pPr>
      <w:r>
        <w:rPr>
          <w:rFonts w:hint="eastAsia" w:asciiTheme="minorEastAsia" w:hAnsiTheme="minorEastAsia" w:eastAsiaTheme="minorEastAsia"/>
        </w:rPr>
        <w:t>（2）开发任务</w:t>
      </w:r>
    </w:p>
    <w:p>
      <w:pPr>
        <w:ind w:firstLine="480"/>
        <w:rPr>
          <w:rFonts w:asciiTheme="minorEastAsia" w:hAnsiTheme="minorEastAsia" w:eastAsiaTheme="minorEastAsia"/>
        </w:rPr>
      </w:pPr>
      <w:r>
        <w:rPr>
          <w:rFonts w:hint="eastAsia" w:asciiTheme="minorEastAsia" w:hAnsiTheme="minorEastAsia" w:eastAsiaTheme="minorEastAsia"/>
        </w:rPr>
        <w:t>代尔昆代水库工程任务为灌溉、人畜饮水。</w:t>
      </w:r>
    </w:p>
    <w:p>
      <w:pPr>
        <w:ind w:firstLine="480"/>
        <w:rPr>
          <w:rFonts w:asciiTheme="minorEastAsia" w:hAnsiTheme="minorEastAsia" w:eastAsiaTheme="minorEastAsia"/>
        </w:rPr>
      </w:pPr>
      <w:r>
        <w:rPr>
          <w:rFonts w:hint="eastAsia" w:asciiTheme="minorEastAsia" w:hAnsiTheme="minorEastAsia" w:eastAsiaTheme="minorEastAsia"/>
        </w:rPr>
        <w:t>（3）主要建筑物</w:t>
      </w:r>
    </w:p>
    <w:p>
      <w:pPr>
        <w:ind w:firstLine="480"/>
        <w:rPr>
          <w:rFonts w:asciiTheme="minorEastAsia" w:hAnsiTheme="minorEastAsia" w:eastAsiaTheme="minorEastAsia"/>
        </w:rPr>
      </w:pPr>
      <w:r>
        <w:rPr>
          <w:rFonts w:hint="eastAsia" w:asciiTheme="minorEastAsia" w:hAnsiTheme="minorEastAsia" w:eastAsiaTheme="minorEastAsia"/>
        </w:rPr>
        <w:t>代尔昆代水库位于代尔昆代郭勒流域上游河段，主要由挡水建筑物、泄水建筑物和导流放水建筑物等建筑物组成。碾压混凝土重力坝最大坝高63.</w:t>
      </w:r>
      <w:r>
        <w:rPr>
          <w:rFonts w:asciiTheme="minorEastAsia" w:hAnsiTheme="minorEastAsia" w:eastAsiaTheme="minorEastAsia"/>
        </w:rPr>
        <w:t>93</w:t>
      </w:r>
      <w:r>
        <w:rPr>
          <w:rFonts w:hint="eastAsia" w:asciiTheme="minorEastAsia" w:hAnsiTheme="minorEastAsia" w:eastAsiaTheme="minorEastAsia"/>
        </w:rPr>
        <w:t>m，坝顶长度</w:t>
      </w:r>
      <w:r>
        <w:rPr>
          <w:rFonts w:asciiTheme="minorEastAsia" w:hAnsiTheme="minorEastAsia" w:eastAsiaTheme="minorEastAsia"/>
        </w:rPr>
        <w:t>6</w:t>
      </w:r>
      <w:r>
        <w:rPr>
          <w:rFonts w:hint="eastAsia" w:asciiTheme="minorEastAsia" w:hAnsiTheme="minorEastAsia" w:eastAsiaTheme="minorEastAsia"/>
        </w:rPr>
        <w:t>m。水库正常蓄水位1981.85m，死水位1960.0m，调节库容226.97m³，为不完全年调节水库。放水建筑物主要为导流放水隧洞，根据地形条件，导流放水隧洞布置于左坝肩。</w:t>
      </w:r>
    </w:p>
    <w:p>
      <w:pPr>
        <w:ind w:firstLine="480"/>
        <w:rPr>
          <w:rFonts w:asciiTheme="minorEastAsia" w:hAnsiTheme="minorEastAsia" w:eastAsiaTheme="minorEastAsia"/>
        </w:rPr>
      </w:pPr>
      <w:r>
        <w:rPr>
          <w:rFonts w:hint="eastAsia" w:asciiTheme="minorEastAsia" w:hAnsiTheme="minorEastAsia" w:eastAsiaTheme="minorEastAsia"/>
        </w:rPr>
        <w:t>（4）工程施工</w:t>
      </w:r>
    </w:p>
    <w:p>
      <w:pPr>
        <w:ind w:firstLine="480"/>
        <w:rPr>
          <w:rFonts w:asciiTheme="minorEastAsia" w:hAnsiTheme="minorEastAsia" w:eastAsiaTheme="minorEastAsia"/>
        </w:rPr>
      </w:pPr>
      <w:r>
        <w:rPr>
          <w:rFonts w:hint="eastAsia" w:asciiTheme="minorEastAsia" w:hAnsiTheme="minorEastAsia" w:eastAsiaTheme="minorEastAsia"/>
        </w:rPr>
        <w:t>工程土石方开挖总量约为30.57万m³，坝体填筑量（实方）约6.94万m³，重力坝碾压砼骨料利用量（自然方）为7.9万m³，借方量（自然方）约1.24万m³。弃渣量（松方）约26.96万m³。</w:t>
      </w:r>
    </w:p>
    <w:p>
      <w:pPr>
        <w:ind w:firstLine="480"/>
        <w:rPr>
          <w:rFonts w:asciiTheme="minorEastAsia" w:hAnsiTheme="minorEastAsia" w:eastAsiaTheme="minorEastAsia"/>
        </w:rPr>
      </w:pPr>
      <w:r>
        <w:rPr>
          <w:rFonts w:hint="eastAsia" w:asciiTheme="minorEastAsia" w:hAnsiTheme="minorEastAsia" w:eastAsiaTheme="minorEastAsia"/>
        </w:rPr>
        <w:t>工程共设置了3个砂砾石料场、1个永久弃渣场、1个临时弃渣场、3处利用料临时堆放场。</w:t>
      </w:r>
    </w:p>
    <w:p>
      <w:pPr>
        <w:ind w:firstLine="480"/>
        <w:rPr>
          <w:rFonts w:asciiTheme="minorEastAsia" w:hAnsiTheme="minorEastAsia" w:eastAsiaTheme="minorEastAsia"/>
        </w:rPr>
      </w:pPr>
      <w:r>
        <w:rPr>
          <w:rFonts w:hint="eastAsia" w:asciiTheme="minorEastAsia" w:hAnsiTheme="minorEastAsia" w:eastAsiaTheme="minorEastAsia"/>
        </w:rPr>
        <w:t>工程总工期三年（17个月），施工高峰人数310人。</w:t>
      </w:r>
    </w:p>
    <w:p>
      <w:pPr>
        <w:ind w:firstLine="480"/>
        <w:rPr>
          <w:rFonts w:asciiTheme="minorEastAsia" w:hAnsiTheme="minorEastAsia" w:eastAsiaTheme="minorEastAsia"/>
        </w:rPr>
      </w:pPr>
      <w:r>
        <w:rPr>
          <w:rFonts w:hint="eastAsia" w:asciiTheme="minorEastAsia" w:hAnsiTheme="minorEastAsia" w:eastAsiaTheme="minorEastAsia"/>
        </w:rPr>
        <w:t>（5）工程征占地及移民安置</w:t>
      </w:r>
    </w:p>
    <w:p>
      <w:pPr>
        <w:ind w:firstLine="480"/>
        <w:rPr>
          <w:rFonts w:asciiTheme="minorEastAsia" w:hAnsiTheme="minorEastAsia" w:eastAsiaTheme="minorEastAsia"/>
        </w:rPr>
      </w:pPr>
      <w:r>
        <w:rPr>
          <w:rFonts w:hint="eastAsia" w:asciiTheme="minorEastAsia" w:hAnsiTheme="minorEastAsia" w:eastAsiaTheme="minorEastAsia"/>
        </w:rPr>
        <w:t>工程占地总面积46.13hm</w:t>
      </w:r>
      <w:r>
        <w:rPr>
          <w:rFonts w:asciiTheme="minorEastAsia" w:hAnsiTheme="minorEastAsia" w:eastAsiaTheme="minorEastAsia"/>
          <w:vertAlign w:val="superscript"/>
        </w:rPr>
        <w:t>2</w:t>
      </w:r>
      <w:r>
        <w:rPr>
          <w:rFonts w:hint="eastAsia" w:asciiTheme="minorEastAsia" w:hAnsiTheme="minorEastAsia" w:eastAsiaTheme="minorEastAsia"/>
        </w:rPr>
        <w:t>，永久占地共计30.58h㎡，包括工程水库淹没面积19.36h㎡及其他建筑管理区11.23hm</w:t>
      </w:r>
      <w:r>
        <w:rPr>
          <w:rFonts w:asciiTheme="minorEastAsia" w:hAnsiTheme="minorEastAsia" w:eastAsiaTheme="minorEastAsia"/>
          <w:vertAlign w:val="superscript"/>
        </w:rPr>
        <w:t>2</w:t>
      </w:r>
      <w:r>
        <w:rPr>
          <w:rFonts w:hint="eastAsia" w:asciiTheme="minorEastAsia" w:hAnsiTheme="minorEastAsia" w:eastAsiaTheme="minorEastAsia"/>
        </w:rPr>
        <w:t>；临时占地总面积15.55hm</w:t>
      </w:r>
      <w:r>
        <w:rPr>
          <w:rFonts w:asciiTheme="minorEastAsia" w:hAnsiTheme="minorEastAsia" w:eastAsiaTheme="minorEastAsia"/>
          <w:vertAlign w:val="superscript"/>
        </w:rPr>
        <w:t>2</w:t>
      </w:r>
      <w:r>
        <w:rPr>
          <w:rFonts w:hint="eastAsia" w:asciiTheme="minorEastAsia" w:hAnsiTheme="minorEastAsia" w:eastAsiaTheme="minorEastAsia"/>
        </w:rPr>
        <w:t>，占地类型全为荒漠草地。</w:t>
      </w:r>
    </w:p>
    <w:p>
      <w:pPr>
        <w:ind w:firstLine="480"/>
        <w:rPr>
          <w:rFonts w:asciiTheme="minorEastAsia" w:hAnsiTheme="minorEastAsia" w:eastAsiaTheme="minorEastAsia"/>
        </w:rPr>
      </w:pPr>
      <w:r>
        <w:rPr>
          <w:rFonts w:hint="eastAsia" w:asciiTheme="minorEastAsia" w:hAnsiTheme="minorEastAsia" w:eastAsiaTheme="minorEastAsia"/>
        </w:rPr>
        <w:t>至规划水平年，工程未涉及移民安置人员，水库淹没及大坝开挖影响两处古代围墓（年代不详）及1处房屋及附属建筑物废弃羊圈300m</w:t>
      </w:r>
      <w:r>
        <w:rPr>
          <w:rFonts w:asciiTheme="minorEastAsia" w:hAnsiTheme="minorEastAsia" w:eastAsiaTheme="minorEastAsia"/>
          <w:vertAlign w:val="superscript"/>
        </w:rPr>
        <w:t>2</w:t>
      </w:r>
      <w:r>
        <w:rPr>
          <w:rFonts w:hint="eastAsia" w:asciiTheme="minorEastAsia" w:hAnsiTheme="minorEastAsia" w:eastAsiaTheme="minorEastAsia"/>
        </w:rPr>
        <w:t>，采用一次性经济赔偿，其中古代围墓一处赔偿15万元，合计30万元，废弃羊圈赔偿15万元。</w:t>
      </w:r>
    </w:p>
    <w:p>
      <w:pPr>
        <w:ind w:firstLine="480"/>
        <w:rPr>
          <w:rFonts w:asciiTheme="minorEastAsia" w:hAnsiTheme="minorEastAsia" w:eastAsiaTheme="minorEastAsia"/>
        </w:rPr>
      </w:pPr>
      <w:r>
        <w:rPr>
          <w:rFonts w:hint="eastAsia" w:asciiTheme="minorEastAsia" w:hAnsiTheme="minorEastAsia" w:eastAsiaTheme="minorEastAsia"/>
        </w:rPr>
        <w:t>（6）工程投资</w:t>
      </w:r>
    </w:p>
    <w:p>
      <w:pPr>
        <w:ind w:firstLine="480"/>
        <w:rPr>
          <w:rFonts w:asciiTheme="minorEastAsia" w:hAnsiTheme="minorEastAsia" w:eastAsiaTheme="minorEastAsia"/>
        </w:rPr>
      </w:pPr>
      <w:r>
        <w:rPr>
          <w:rFonts w:hint="eastAsia" w:asciiTheme="minorEastAsia" w:hAnsiTheme="minorEastAsia" w:eastAsiaTheme="minorEastAsia"/>
        </w:rPr>
        <w:t>代尔昆代水库工程总投资21634.09万元，其中环境保护投资为217.16万元，水土保持投资376.46万元，合计593.62万元，占工程总投资的2.90%。</w:t>
      </w:r>
    </w:p>
    <w:p>
      <w:pPr>
        <w:ind w:firstLine="480"/>
        <w:rPr>
          <w:rFonts w:asciiTheme="minorEastAsia" w:hAnsiTheme="minorEastAsia" w:eastAsiaTheme="minorEastAsia"/>
        </w:rPr>
      </w:pPr>
    </w:p>
    <w:p>
      <w:pPr>
        <w:pStyle w:val="3"/>
        <w:jc w:val="both"/>
        <w:rPr>
          <w:rFonts w:ascii="黑体" w:hAnsi="黑体"/>
          <w:sz w:val="32"/>
        </w:rPr>
      </w:pPr>
      <w:bookmarkStart w:id="154" w:name="_Toc180751399"/>
      <w:r>
        <w:rPr>
          <w:rFonts w:hint="eastAsia" w:ascii="黑体" w:hAnsi="黑体"/>
          <w:sz w:val="32"/>
        </w:rPr>
        <w:t>10.2</w:t>
      </w:r>
      <w:r>
        <w:rPr>
          <w:rFonts w:ascii="黑体" w:hAnsi="黑体"/>
          <w:sz w:val="32"/>
        </w:rPr>
        <w:t xml:space="preserve"> </w:t>
      </w:r>
      <w:r>
        <w:rPr>
          <w:rFonts w:hint="eastAsia" w:ascii="黑体" w:hAnsi="黑体"/>
          <w:sz w:val="32"/>
        </w:rPr>
        <w:t>环境现状评价结论</w:t>
      </w:r>
      <w:bookmarkEnd w:id="154"/>
    </w:p>
    <w:p>
      <w:pPr>
        <w:pStyle w:val="4"/>
        <w:rPr>
          <w:rFonts w:ascii="黑体" w:hAnsi="黑体"/>
        </w:rPr>
      </w:pPr>
      <w:r>
        <w:rPr>
          <w:rFonts w:hint="eastAsia" w:ascii="黑体" w:hAnsi="黑体"/>
        </w:rPr>
        <w:t>10.2.1</w:t>
      </w:r>
      <w:r>
        <w:rPr>
          <w:rFonts w:ascii="黑体" w:hAnsi="黑体"/>
        </w:rPr>
        <w:t xml:space="preserve"> </w:t>
      </w:r>
      <w:r>
        <w:rPr>
          <w:rFonts w:hint="eastAsia" w:ascii="黑体" w:hAnsi="黑体"/>
        </w:rPr>
        <w:t>水资源与地表水环境</w:t>
      </w:r>
    </w:p>
    <w:p>
      <w:pPr>
        <w:ind w:firstLine="480"/>
      </w:pPr>
      <w:r>
        <w:rPr>
          <w:rFonts w:hint="eastAsia"/>
        </w:rPr>
        <w:t>代尔昆代郭勒河为温带大陆性内陆河流，径流补给以季节性冰川、冰雪融水补给为主，降雨补给为辅。代尔昆代水库位于代尔昆代郭勒流域上游中低山河段，水库坝址断面多年平均径流量为834万m³，多年平均流量为0.26m³/s。</w:t>
      </w:r>
    </w:p>
    <w:p>
      <w:pPr>
        <w:ind w:firstLine="480"/>
      </w:pPr>
      <w:r>
        <w:rPr>
          <w:rFonts w:hint="eastAsia"/>
        </w:rPr>
        <w:t>《中国新疆水环境功能区划》、《新疆维吾尔自治区“三线一单”生态环境分区管控方案》（新政发〔2021〕18号）均未对代尔昆代郭勒河进行水环境功能区划。依据《地表水环境质量标准》（GB3838-2002）中的水域功能和标准分类，从供水对象对水质目标要求出发，工程涉及河段水体水质控制目标为II类。且工程涉及河段无工业企业和城镇生活污水入河排污口分布，无直接退水入河。流域污染源主要为少量牧业面源污染，经降水冲刷或地下潜流方式汇入代尔昆代郭勒河。</w:t>
      </w:r>
    </w:p>
    <w:p>
      <w:pPr>
        <w:ind w:firstLine="480"/>
      </w:pPr>
      <w:r>
        <w:rPr>
          <w:rFonts w:hint="eastAsia"/>
        </w:rPr>
        <w:t>根据核工业二一六大队检测研究院于2024年9月开展的工程坝址断面水质监测结果及《伊吾县代尔昆代郭勒流域综合规划环境影响报告书》（</w:t>
      </w:r>
      <w:r>
        <w:rPr>
          <w:rFonts w:hint="eastAsia"/>
          <w:lang w:eastAsia="zh-CN"/>
        </w:rPr>
        <w:t>以下称为规划</w:t>
      </w:r>
      <w:r>
        <w:rPr>
          <w:rFonts w:hint="eastAsia"/>
        </w:rPr>
        <w:t>报告）水质监测结果来看，评价河段水质良好，满足II类水质目标要求。</w:t>
      </w:r>
    </w:p>
    <w:p>
      <w:pPr>
        <w:pStyle w:val="4"/>
        <w:rPr>
          <w:rFonts w:ascii="黑体" w:hAnsi="黑体"/>
        </w:rPr>
      </w:pPr>
      <w:r>
        <w:rPr>
          <w:rFonts w:hint="eastAsia" w:ascii="黑体" w:hAnsi="黑体"/>
        </w:rPr>
        <w:t>10.2.2</w:t>
      </w:r>
      <w:r>
        <w:rPr>
          <w:rFonts w:ascii="黑体" w:hAnsi="黑体"/>
        </w:rPr>
        <w:t xml:space="preserve"> </w:t>
      </w:r>
      <w:r>
        <w:rPr>
          <w:rFonts w:hint="eastAsia" w:ascii="黑体" w:hAnsi="黑体"/>
        </w:rPr>
        <w:t>地下水环境</w:t>
      </w:r>
    </w:p>
    <w:p>
      <w:pPr>
        <w:ind w:firstLine="480"/>
      </w:pPr>
      <w:r>
        <w:rPr>
          <w:rFonts w:hint="eastAsia"/>
        </w:rPr>
        <w:t>代尔昆代水库坝区地下水主要为第四系松散堆积物孔隙潜水和基岩孔隙裂隙潜水。其中，孔隙潜水赋存于谷底透水性好的冲积砂卵砾石层和岸边崩坡积块碎石中，接受河水补给，水量相对丰富；基岩裂隙潜水赋存运移于基岩裂隙中，主要接受冰雪融水和大气降水及上游地表水补给，排泄于河谷及沟谷中。由于工程区干旱少雨，固地下水水量不丰，埋藏较深，库坝区地下水埋深在2.00～8.00m左右，其动态变化主要受河水及降雨控制。</w:t>
      </w:r>
    </w:p>
    <w:p>
      <w:pPr>
        <w:ind w:firstLine="472"/>
        <w:rPr>
          <w:rFonts w:cs="Times New Roman" w:asciiTheme="minorEastAsia" w:hAnsiTheme="minorEastAsia" w:eastAsiaTheme="minorEastAsia"/>
          <w:szCs w:val="24"/>
        </w:rPr>
      </w:pPr>
      <w:r>
        <w:rPr>
          <w:rFonts w:hint="eastAsia" w:cs="宋体" w:asciiTheme="minorEastAsia" w:hAnsiTheme="minorEastAsia" w:eastAsiaTheme="minorEastAsia"/>
          <w:spacing w:val="-2"/>
          <w:szCs w:val="24"/>
        </w:rPr>
        <w:t>哈尔里克山区为下马崖泉水的补给区，主要补给来源为山区的大气降水和冰雪消融水，而平原区地下水的补给来源主要是河水入渗和河床潜流。洪积平原与山区接触部位为断层或不完整接触，山区基岩裂隙水对第四系或第三系含水层有侧向补给。洪积平原中上部地下水径流以水平运动为主，下部以水平和垂直运</w:t>
      </w:r>
      <w:r>
        <w:rPr>
          <w:rFonts w:cs="宋体" w:asciiTheme="minorEastAsia" w:hAnsiTheme="minorEastAsia" w:eastAsiaTheme="minorEastAsia"/>
          <w:spacing w:val="-44"/>
          <w:szCs w:val="24"/>
        </w:rPr>
        <w:t xml:space="preserve"> </w:t>
      </w:r>
      <w:r>
        <w:rPr>
          <w:rFonts w:hint="eastAsia" w:cs="宋体" w:asciiTheme="minorEastAsia" w:hAnsiTheme="minorEastAsia" w:eastAsiaTheme="minorEastAsia"/>
          <w:spacing w:val="-3"/>
          <w:szCs w:val="24"/>
        </w:rPr>
        <w:t>动为主，地下水径流方向大致由盆地周边向盆地中心汇聚。地下水排泄方式为潜水蒸发、地下水开采及</w:t>
      </w:r>
      <w:r>
        <w:rPr>
          <w:rFonts w:hint="eastAsia" w:cs="宋体" w:asciiTheme="minorEastAsia" w:hAnsiTheme="minorEastAsia" w:eastAsiaTheme="minorEastAsia"/>
          <w:szCs w:val="24"/>
        </w:rPr>
        <w:t>泉水溢出为主的排泄方式，分别占总排泄量的</w:t>
      </w:r>
      <w:r>
        <w:rPr>
          <w:rFonts w:cs="宋体" w:asciiTheme="minorEastAsia" w:hAnsiTheme="minorEastAsia" w:eastAsiaTheme="minorEastAsia"/>
          <w:spacing w:val="-56"/>
          <w:szCs w:val="24"/>
        </w:rPr>
        <w:t xml:space="preserve"> </w:t>
      </w:r>
      <w:r>
        <w:rPr>
          <w:rFonts w:asciiTheme="minorEastAsia" w:hAnsiTheme="minorEastAsia" w:eastAsiaTheme="minorEastAsia"/>
          <w:szCs w:val="24"/>
        </w:rPr>
        <w:t>63.1%</w:t>
      </w:r>
      <w:r>
        <w:rPr>
          <w:rFonts w:hint="eastAsia" w:cs="宋体" w:asciiTheme="minorEastAsia" w:hAnsiTheme="minorEastAsia" w:eastAsiaTheme="minorEastAsia"/>
          <w:szCs w:val="24"/>
        </w:rPr>
        <w:t>、</w:t>
      </w:r>
      <w:r>
        <w:rPr>
          <w:rFonts w:asciiTheme="minorEastAsia" w:hAnsiTheme="minorEastAsia" w:eastAsiaTheme="minorEastAsia"/>
          <w:szCs w:val="24"/>
        </w:rPr>
        <w:t>15.5%</w:t>
      </w:r>
      <w:r>
        <w:rPr>
          <w:rFonts w:hint="eastAsia" w:cs="宋体" w:asciiTheme="minorEastAsia" w:hAnsiTheme="minorEastAsia" w:eastAsiaTheme="minorEastAsia"/>
          <w:szCs w:val="24"/>
        </w:rPr>
        <w:t>和</w:t>
      </w:r>
      <w:r>
        <w:rPr>
          <w:rFonts w:cs="宋体" w:asciiTheme="minorEastAsia" w:hAnsiTheme="minorEastAsia" w:eastAsiaTheme="minorEastAsia"/>
          <w:spacing w:val="-57"/>
          <w:szCs w:val="24"/>
        </w:rPr>
        <w:t xml:space="preserve"> </w:t>
      </w:r>
      <w:r>
        <w:rPr>
          <w:rFonts w:asciiTheme="minorEastAsia" w:hAnsiTheme="minorEastAsia" w:eastAsiaTheme="minorEastAsia"/>
          <w:szCs w:val="24"/>
        </w:rPr>
        <w:t>19.8%</w:t>
      </w:r>
      <w:r>
        <w:rPr>
          <w:rFonts w:hint="eastAsia" w:cs="宋体" w:asciiTheme="minorEastAsia" w:hAnsiTheme="minorEastAsia" w:eastAsiaTheme="minorEastAsia"/>
          <w:szCs w:val="24"/>
        </w:rPr>
        <w:t>，以潜水蒸发为主。</w:t>
      </w:r>
    </w:p>
    <w:p>
      <w:pPr>
        <w:pStyle w:val="4"/>
        <w:rPr>
          <w:rFonts w:ascii="黑体" w:hAnsi="黑体"/>
        </w:rPr>
      </w:pPr>
      <w:r>
        <w:rPr>
          <w:rFonts w:hint="eastAsia" w:ascii="黑体" w:hAnsi="黑体"/>
        </w:rPr>
        <w:t>10.2.3</w:t>
      </w:r>
      <w:r>
        <w:rPr>
          <w:rFonts w:ascii="黑体" w:hAnsi="黑体"/>
        </w:rPr>
        <w:t xml:space="preserve"> </w:t>
      </w:r>
      <w:r>
        <w:rPr>
          <w:rFonts w:hint="eastAsia" w:ascii="黑体" w:hAnsi="黑体"/>
        </w:rPr>
        <w:t>陆生生态</w:t>
      </w:r>
    </w:p>
    <w:p>
      <w:pPr>
        <w:ind w:firstLine="480"/>
        <w:rPr>
          <w:rFonts w:cs="Times New Roman"/>
        </w:rPr>
      </w:pPr>
      <w:r>
        <w:rPr>
          <w:rFonts w:cs="Times New Roman"/>
        </w:rPr>
        <w:t>工程评价区位于代尔昆代郭勒流域上游山区，现状人为活动干扰小，评价区以自然植被为主。根据野外调查和历史资料，评价区共</w:t>
      </w:r>
      <w:r>
        <w:rPr>
          <w:rFonts w:hint="eastAsia" w:cs="Times New Roman"/>
        </w:rPr>
        <w:t>维管束植物共有35科105属153种，其中蕨类植物有1科1属2种，裸子植物有1科1属2种，被子植物33科103属149种，以菊科、藜科、禾本科等少数几个科种类较多</w:t>
      </w:r>
      <w:r>
        <w:rPr>
          <w:rFonts w:cs="Times New Roman"/>
        </w:rPr>
        <w:t>，</w:t>
      </w:r>
      <w:r>
        <w:rPr>
          <w:rFonts w:hint="eastAsia" w:cs="Times New Roman"/>
          <w:lang w:eastAsia="zh-CN"/>
        </w:rPr>
        <w:t>植被盖度</w:t>
      </w:r>
      <w:r>
        <w:rPr>
          <w:rFonts w:cs="Times New Roman"/>
        </w:rPr>
        <w:t>5～30%。工程占地未见珍稀保护植物。</w:t>
      </w:r>
    </w:p>
    <w:p>
      <w:pPr>
        <w:ind w:firstLine="480"/>
        <w:rPr>
          <w:rFonts w:cs="Times New Roman"/>
        </w:rPr>
      </w:pPr>
      <w:r>
        <w:rPr>
          <w:rFonts w:cs="Times New Roman"/>
        </w:rPr>
        <w:t>工程调查区分布有</w:t>
      </w:r>
      <w:r>
        <w:rPr>
          <w:rFonts w:hint="eastAsia" w:cs="Times New Roman"/>
        </w:rPr>
        <w:t>陆栖脊椎动物16目31科74种，包括两栖类1目1科1种，爬行类1目3科5种，哺乳纲6目8科11种，鸟类10目25科57种</w:t>
      </w:r>
      <w:r>
        <w:rPr>
          <w:rFonts w:cs="Times New Roman"/>
        </w:rPr>
        <w:t>。工程占地区地表植被低矮稀疏，</w:t>
      </w:r>
      <w:r>
        <w:rPr>
          <w:rFonts w:hint="eastAsia" w:cs="Times New Roman"/>
        </w:rPr>
        <w:t>两栖类和爬行类种类和数量都很贫乏，工程未见无国家和自治区级重点保护两栖类、爬行类动物分布；工程区地处低山区，植被条件较差，无高大乔木生长，自然条件较差，鸟类数量不多，其中鸢、苍鹰、白尾鹞、燕隼、灰背隼、红隼属于国家</w:t>
      </w:r>
      <w:r>
        <w:rPr>
          <w:rFonts w:hint="eastAsia" w:cs="Times New Roman"/>
          <w:lang w:eastAsia="zh-CN"/>
        </w:rPr>
        <w:t>二级保护</w:t>
      </w:r>
      <w:r>
        <w:rPr>
          <w:rFonts w:hint="eastAsia" w:cs="Times New Roman"/>
        </w:rPr>
        <w:t>动物，工程评价区域未见到保护鸟类营巢，偶有觅食个体出现；同时，工程区地处中、高山无人区，植被条件差，生境恶劣，评价区域内未见保护动物的重要觅食、栖息。</w:t>
      </w:r>
    </w:p>
    <w:p>
      <w:pPr>
        <w:ind w:firstLine="480"/>
        <w:rPr>
          <w:rFonts w:cs="Times New Roman"/>
          <w:color w:val="FF0000"/>
        </w:rPr>
      </w:pPr>
      <w:r>
        <w:rPr>
          <w:rFonts w:cs="Times New Roman"/>
        </w:rPr>
        <w:t>工程评价区土地利用类型均为荒漠草地，基本保持天然状态，人为活动干扰小。评价区植被组成以植被覆</w:t>
      </w:r>
      <w:r>
        <w:rPr>
          <w:rFonts w:hint="eastAsia" w:cs="Times New Roman"/>
          <w:lang w:eastAsia="zh-CN"/>
        </w:rPr>
        <w:t>植盖度</w:t>
      </w:r>
      <w:r>
        <w:rPr>
          <w:rFonts w:cs="Times New Roman"/>
        </w:rPr>
        <w:t>一般的荒漠草原为主。评价区自然体系背景净生产力为0.81g/</w:t>
      </w:r>
      <w:r>
        <w:rPr>
          <w:rFonts w:hint="eastAsia" w:cs="Times New Roman"/>
        </w:rPr>
        <w:t>m</w:t>
      </w:r>
      <w:r>
        <w:rPr>
          <w:rFonts w:cs="Times New Roman"/>
          <w:vertAlign w:val="superscript"/>
        </w:rPr>
        <w:t>2</w:t>
      </w:r>
      <w:r>
        <w:rPr>
          <w:rFonts w:cs="Times New Roman"/>
        </w:rPr>
        <w:t>·a，属于</w:t>
      </w:r>
      <w:r>
        <w:rPr>
          <w:rFonts w:hint="eastAsia" w:cs="Times New Roman"/>
        </w:rPr>
        <w:t>最低</w:t>
      </w:r>
      <w:r>
        <w:rPr>
          <w:rFonts w:cs="Times New Roman"/>
        </w:rPr>
        <w:t>生产力生态系统。</w:t>
      </w:r>
    </w:p>
    <w:p>
      <w:pPr>
        <w:ind w:firstLine="480"/>
        <w:rPr>
          <w:rFonts w:cs="Times New Roman"/>
        </w:rPr>
      </w:pPr>
      <w:r>
        <w:rPr>
          <w:rFonts w:cs="Times New Roman"/>
        </w:rPr>
        <w:t>本工程不涉及流域分布的新疆哈密东天山生态功能自然保护区、新疆哈密喀尔里克山自治区级自然保护区，流域内不存在鱼类等重要珍稀水生动物。</w:t>
      </w:r>
    </w:p>
    <w:p>
      <w:pPr>
        <w:pStyle w:val="4"/>
        <w:rPr>
          <w:rFonts w:cs="Times New Roman"/>
        </w:rPr>
      </w:pPr>
      <w:r>
        <w:rPr>
          <w:rFonts w:cs="Times New Roman"/>
        </w:rPr>
        <w:t>10.2.4土壤环境</w:t>
      </w:r>
    </w:p>
    <w:p>
      <w:pPr>
        <w:ind w:firstLine="480"/>
        <w:rPr>
          <w:rFonts w:cs="Times New Roman"/>
        </w:rPr>
      </w:pPr>
      <w:r>
        <w:rPr>
          <w:rFonts w:cs="Times New Roman"/>
        </w:rPr>
        <w:t>工程布置区土壤以淡棕钙土、粗骨土为主。根据3个监测点土壤监测结果，工程建设区土壤环境良好，坝址区土壤中各项检测指标含量均低于《土壤环境质量建设用地土壤污染风险管控标准（试行）》（GB360002018）中第二类用地筛选值，库区及非工程占地区土壤样点监测指标低于《土壤环境质量农用地土壤污染风险管控标准》（GB15618-2018）第二类用地标准中的风险筛选值。各监测点土壤含盐量均小于2g/kg，未盐化；土壤监测样点pH值多在5.5～8.5之间，无酸化或碱化问题，仅坝址样点pH值略大于8.5，为轻度碱化，均无酸化现象。</w:t>
      </w:r>
    </w:p>
    <w:p>
      <w:pPr>
        <w:pStyle w:val="4"/>
        <w:rPr>
          <w:rFonts w:ascii="黑体" w:hAnsi="黑体"/>
        </w:rPr>
      </w:pPr>
      <w:r>
        <w:rPr>
          <w:rFonts w:hint="eastAsia" w:ascii="黑体" w:hAnsi="黑体"/>
        </w:rPr>
        <w:t>10.2.5</w:t>
      </w:r>
      <w:r>
        <w:rPr>
          <w:rFonts w:ascii="黑体" w:hAnsi="黑体"/>
        </w:rPr>
        <w:t xml:space="preserve"> </w:t>
      </w:r>
      <w:r>
        <w:rPr>
          <w:rFonts w:hint="eastAsia" w:ascii="黑体" w:hAnsi="黑体"/>
        </w:rPr>
        <w:t>水生生态</w:t>
      </w:r>
    </w:p>
    <w:p>
      <w:pPr>
        <w:ind w:firstLine="480"/>
        <w:rPr>
          <w:rFonts w:asciiTheme="minorEastAsia" w:hAnsiTheme="minorEastAsia" w:eastAsiaTheme="minorEastAsia"/>
        </w:rPr>
      </w:pPr>
      <w:r>
        <w:rPr>
          <w:rFonts w:hint="eastAsia" w:asciiTheme="minorEastAsia" w:hAnsiTheme="minorEastAsia" w:eastAsiaTheme="minorEastAsia"/>
        </w:rPr>
        <w:t>根据现场调查，评价河段浮游植物2门35种（属），以硅藻门为主；浮游动物9种，以原生动物和轮虫为主；底栖动物2种，主要为节肢动物；水生维管束植物生存条件极差，调查中未见水生维管束植物。</w:t>
      </w:r>
    </w:p>
    <w:p>
      <w:pPr>
        <w:ind w:firstLine="480"/>
        <w:rPr>
          <w:rFonts w:asciiTheme="minorEastAsia" w:hAnsiTheme="minorEastAsia" w:eastAsiaTheme="minorEastAsia"/>
        </w:rPr>
      </w:pPr>
      <w:r>
        <w:rPr>
          <w:rFonts w:hint="eastAsia" w:asciiTheme="minorEastAsia" w:hAnsiTheme="minorEastAsia" w:eastAsiaTheme="minorEastAsia"/>
        </w:rPr>
        <w:t>调查期间代尔昆代水库坝址断面河床干涸，坝址断面上游约2～3km方有径流，且水量极小，河面宽度仅1m左右，水深不超过10cm，。据调查，冬季河道水量会进一步降低且完全封冻，整体来说，代尔昆代河现有水生生境不太适宜鱼类生存，经判断代尔昆代郭勒河无鱼类分布。</w:t>
      </w:r>
    </w:p>
    <w:p>
      <w:pPr>
        <w:pStyle w:val="4"/>
        <w:rPr>
          <w:rFonts w:ascii="黑体" w:hAnsi="黑体"/>
        </w:rPr>
      </w:pPr>
      <w:r>
        <w:rPr>
          <w:rFonts w:hint="eastAsia" w:ascii="黑体" w:hAnsi="黑体"/>
        </w:rPr>
        <w:t>10.2.6</w:t>
      </w:r>
      <w:r>
        <w:rPr>
          <w:rFonts w:ascii="黑体" w:hAnsi="黑体"/>
        </w:rPr>
        <w:t xml:space="preserve"> </w:t>
      </w:r>
      <w:r>
        <w:rPr>
          <w:rFonts w:hint="eastAsia" w:ascii="黑体" w:hAnsi="黑体"/>
        </w:rPr>
        <w:t>环境空气</w:t>
      </w:r>
    </w:p>
    <w:p>
      <w:pPr>
        <w:ind w:firstLine="480"/>
        <w:rPr>
          <w:rFonts w:asciiTheme="minorEastAsia" w:hAnsiTheme="minorEastAsia" w:eastAsiaTheme="minorEastAsia"/>
        </w:rPr>
      </w:pPr>
      <w:r>
        <w:rPr>
          <w:rFonts w:hint="eastAsia" w:asciiTheme="minorEastAsia" w:hAnsiTheme="minorEastAsia" w:eastAsiaTheme="minorEastAsia"/>
        </w:rPr>
        <w:t>代尔昆代水库工程区位于代尔昆代郭勒上游河段，人口稀少，无大型工矿企业分布，根据2024年核工业二一六大队检测研究院监测成果，区域SO</w:t>
      </w:r>
      <w:r>
        <w:rPr>
          <w:rFonts w:hint="eastAsia" w:asciiTheme="minorEastAsia" w:hAnsiTheme="minorEastAsia" w:eastAsiaTheme="minorEastAsia"/>
          <w:vertAlign w:val="subscript"/>
        </w:rPr>
        <w:t>2</w:t>
      </w:r>
      <w:r>
        <w:rPr>
          <w:rFonts w:hint="eastAsia" w:asciiTheme="minorEastAsia" w:hAnsiTheme="minorEastAsia" w:eastAsiaTheme="minorEastAsia"/>
        </w:rPr>
        <w:t>、NO</w:t>
      </w:r>
      <w:r>
        <w:rPr>
          <w:rFonts w:hint="eastAsia" w:asciiTheme="minorEastAsia" w:hAnsiTheme="minorEastAsia" w:eastAsiaTheme="minorEastAsia"/>
          <w:vertAlign w:val="subscript"/>
        </w:rPr>
        <w:t>2</w:t>
      </w:r>
      <w:r>
        <w:rPr>
          <w:rFonts w:hint="eastAsia" w:asciiTheme="minorEastAsia" w:hAnsiTheme="minorEastAsia" w:eastAsiaTheme="minorEastAsia"/>
        </w:rPr>
        <w:t>日平均和年平均浓度均可满足《环境空气质量标准》（GB3095-2012）的二级标准要求。</w:t>
      </w:r>
    </w:p>
    <w:p>
      <w:pPr>
        <w:pStyle w:val="4"/>
        <w:rPr>
          <w:rFonts w:ascii="黑体" w:hAnsi="黑体"/>
        </w:rPr>
      </w:pPr>
      <w:r>
        <w:rPr>
          <w:rFonts w:hint="eastAsia" w:ascii="黑体" w:hAnsi="黑体"/>
        </w:rPr>
        <w:t>10.2.7</w:t>
      </w:r>
      <w:r>
        <w:rPr>
          <w:rFonts w:ascii="黑体" w:hAnsi="黑体"/>
        </w:rPr>
        <w:t xml:space="preserve"> </w:t>
      </w:r>
      <w:r>
        <w:rPr>
          <w:rFonts w:hint="eastAsia" w:ascii="黑体" w:hAnsi="黑体"/>
        </w:rPr>
        <w:t>声环境</w:t>
      </w:r>
    </w:p>
    <w:p>
      <w:pPr>
        <w:ind w:firstLine="480"/>
        <w:rPr>
          <w:rFonts w:asciiTheme="minorEastAsia" w:hAnsiTheme="minorEastAsia" w:eastAsiaTheme="minorEastAsia"/>
        </w:rPr>
      </w:pPr>
      <w:r>
        <w:rPr>
          <w:rFonts w:hint="eastAsia" w:asciiTheme="minorEastAsia" w:hAnsiTheme="minorEastAsia" w:eastAsiaTheme="minorEastAsia"/>
        </w:rPr>
        <w:t>工程区人口稀少，根据核工业二一六大队检测研究院2024年9月监测成果，工程区声环境质量良好，满足《声环境质量标准》（GB3096-2008）1类标准要求。</w:t>
      </w:r>
    </w:p>
    <w:p>
      <w:pPr>
        <w:pStyle w:val="4"/>
        <w:rPr>
          <w:rFonts w:ascii="黑体" w:hAnsi="黑体"/>
        </w:rPr>
      </w:pPr>
      <w:r>
        <w:rPr>
          <w:rFonts w:hint="eastAsia" w:ascii="黑体" w:hAnsi="黑体"/>
        </w:rPr>
        <w:t>10.2.8</w:t>
      </w:r>
      <w:r>
        <w:rPr>
          <w:rFonts w:ascii="黑体" w:hAnsi="黑体"/>
        </w:rPr>
        <w:t xml:space="preserve"> </w:t>
      </w:r>
      <w:r>
        <w:rPr>
          <w:rFonts w:hint="eastAsia" w:ascii="黑体" w:hAnsi="黑体"/>
        </w:rPr>
        <w:t>社会环境</w:t>
      </w:r>
    </w:p>
    <w:p>
      <w:pPr>
        <w:ind w:firstLine="480"/>
        <w:rPr>
          <w:rFonts w:asciiTheme="minorEastAsia" w:hAnsiTheme="minorEastAsia" w:eastAsiaTheme="minorEastAsia"/>
        </w:rPr>
      </w:pPr>
      <w:r>
        <w:rPr>
          <w:rFonts w:hint="eastAsia" w:asciiTheme="minorEastAsia" w:hAnsiTheme="minorEastAsia" w:eastAsiaTheme="minorEastAsia"/>
        </w:rPr>
        <w:t>代尔昆代水库行政区划属哈密市伊吾县，该县是一个以维吾尔族为主体的多民族聚居县，以农牧业生产为主，社会经济发展相对落后。现状代尔昆代郭勒流域现状无地表水资源利用，也无水利水电工程建设，无灌溉及防洪任务，河水多在出山口前渗漏为地下水，最后出没于下游约47km处下马崖乡群泉带。下马崖乡建有一以灌溉为主兼有防洪的下马崖乡平原水库，主要利用截蓄泉水进行4270亩的农业灌溉及防洪保护，该水库总库容246.05万m³，死水位105.39m，死库容24.85万m³，正常蓄水位111.59m，对应库容219.26万m³，水库设计洪水位112.20m（20年一遇），对应库容234.88万m³，校核洪水位为112.48m（100年一遇），对应库容246.05万m³。</w:t>
      </w:r>
    </w:p>
    <w:p>
      <w:pPr>
        <w:ind w:firstLine="480"/>
        <w:rPr>
          <w:rFonts w:asciiTheme="minorEastAsia" w:hAnsiTheme="minorEastAsia" w:eastAsiaTheme="minorEastAsia"/>
        </w:rPr>
      </w:pPr>
      <w:r>
        <w:rPr>
          <w:rFonts w:hint="eastAsia" w:asciiTheme="minorEastAsia" w:hAnsiTheme="minorEastAsia" w:eastAsiaTheme="minorEastAsia"/>
        </w:rPr>
        <w:t>代尔昆代水库未涉及生产安置，水库淹没区涉及2座围墓古墓及坝址处存1处废弃羊圈。对涉及的古墓及房屋附属建筑物采取一次性货币补偿方式进行安置，古墓及附属建筑物相关批复与协议现阶段均已完成。</w:t>
      </w:r>
    </w:p>
    <w:p>
      <w:pPr>
        <w:pStyle w:val="4"/>
        <w:rPr>
          <w:rFonts w:ascii="黑体" w:hAnsi="黑体"/>
        </w:rPr>
      </w:pPr>
      <w:r>
        <w:rPr>
          <w:rFonts w:hint="eastAsia" w:ascii="黑体" w:hAnsi="黑体"/>
        </w:rPr>
        <w:t>10.2.9 主要环境问题</w:t>
      </w:r>
    </w:p>
    <w:p>
      <w:pPr>
        <w:ind w:firstLine="480"/>
        <w:rPr>
          <w:rFonts w:asciiTheme="minorEastAsia" w:hAnsiTheme="minorEastAsia" w:eastAsiaTheme="minorEastAsia"/>
        </w:rPr>
      </w:pPr>
      <w:r>
        <w:rPr>
          <w:rFonts w:hint="eastAsia" w:asciiTheme="minorEastAsia" w:hAnsiTheme="minorEastAsia" w:eastAsiaTheme="minorEastAsia"/>
        </w:rPr>
        <w:t>代尔昆代水库工程所在的上中游河段，未进行水资源开发利用，为季节性河流，流域无长流水。有水河段存在少量浮游植物和浮游动物，无鱼类生存，群落结构简单，水生态系统调节能力较弱。区域降雨稀少，气候干旱，受大气候环境影响，工程影响区天然植被分布稀疏，种群结构简单，植被覆</w:t>
      </w:r>
      <w:r>
        <w:rPr>
          <w:rFonts w:hint="eastAsia" w:asciiTheme="minorEastAsia" w:hAnsiTheme="minorEastAsia" w:eastAsiaTheme="minorEastAsia"/>
          <w:lang w:eastAsia="zh-CN"/>
        </w:rPr>
        <w:t>植盖度</w:t>
      </w:r>
      <w:r>
        <w:rPr>
          <w:rFonts w:hint="eastAsia" w:asciiTheme="minorEastAsia" w:hAnsiTheme="minorEastAsia" w:eastAsiaTheme="minorEastAsia"/>
        </w:rPr>
        <w:t>较低，生态系统调节能力较弱。</w:t>
      </w:r>
    </w:p>
    <w:p>
      <w:pPr>
        <w:ind w:firstLine="480"/>
        <w:rPr>
          <w:rFonts w:asciiTheme="minorEastAsia" w:hAnsiTheme="minorEastAsia" w:eastAsiaTheme="minorEastAsia"/>
        </w:rPr>
      </w:pPr>
    </w:p>
    <w:p>
      <w:pPr>
        <w:pStyle w:val="3"/>
        <w:jc w:val="both"/>
        <w:rPr>
          <w:rFonts w:ascii="黑体" w:hAnsi="黑体"/>
          <w:sz w:val="32"/>
        </w:rPr>
      </w:pPr>
      <w:bookmarkStart w:id="155" w:name="_Toc180751400"/>
      <w:r>
        <w:rPr>
          <w:rFonts w:hint="eastAsia" w:ascii="黑体" w:hAnsi="黑体"/>
          <w:sz w:val="32"/>
        </w:rPr>
        <w:t>10.3 工程环境影响预测评价结论</w:t>
      </w:r>
      <w:bookmarkEnd w:id="155"/>
    </w:p>
    <w:p>
      <w:pPr>
        <w:pStyle w:val="4"/>
        <w:rPr>
          <w:rFonts w:ascii="黑体" w:hAnsi="黑体"/>
        </w:rPr>
      </w:pPr>
      <w:r>
        <w:rPr>
          <w:rFonts w:hint="eastAsia" w:ascii="黑体" w:hAnsi="黑体"/>
        </w:rPr>
        <w:t>10.3.1 区域水资源配置</w:t>
      </w:r>
    </w:p>
    <w:p>
      <w:pPr>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）代尔昆代水库对淖毛湖地区水资源配置的影响</w:t>
      </w:r>
    </w:p>
    <w:p>
      <w:pPr>
        <w:ind w:firstLine="480"/>
        <w:rPr>
          <w:rFonts w:asciiTheme="minorEastAsia" w:hAnsiTheme="minorEastAsia" w:eastAsiaTheme="minorEastAsia"/>
        </w:rPr>
      </w:pPr>
      <w:r>
        <w:rPr>
          <w:rFonts w:hint="eastAsia" w:asciiTheme="minorEastAsia" w:hAnsiTheme="minorEastAsia" w:eastAsiaTheme="minorEastAsia"/>
        </w:rPr>
        <w:t>设计水平年</w:t>
      </w:r>
      <w:r>
        <w:rPr>
          <w:rFonts w:asciiTheme="minorEastAsia" w:hAnsiTheme="minorEastAsia" w:eastAsiaTheme="minorEastAsia"/>
        </w:rPr>
        <w:t>2030</w:t>
      </w:r>
      <w:r>
        <w:rPr>
          <w:rFonts w:hint="eastAsia" w:asciiTheme="minorEastAsia" w:hAnsiTheme="minorEastAsia" w:eastAsiaTheme="minorEastAsia"/>
        </w:rPr>
        <w:t>年，代尔昆代水库建成后，可与峡沟水库联调，由代尔昆代水库向淖毛湖区域补水，主要解决人、畜饮水问题（</w:t>
      </w:r>
      <w:r>
        <w:rPr>
          <w:rFonts w:asciiTheme="minorEastAsia" w:hAnsiTheme="minorEastAsia" w:eastAsiaTheme="minorEastAsia"/>
        </w:rPr>
        <w:t>5</w:t>
      </w:r>
      <w:r>
        <w:rPr>
          <w:rFonts w:hint="eastAsia" w:asciiTheme="minorEastAsia" w:hAnsiTheme="minorEastAsia" w:eastAsiaTheme="minorEastAsia"/>
        </w:rPr>
        <w:t>～</w:t>
      </w:r>
      <w:r>
        <w:rPr>
          <w:rFonts w:asciiTheme="minorEastAsia" w:hAnsiTheme="minorEastAsia" w:eastAsiaTheme="minorEastAsia"/>
        </w:rPr>
        <w:t>9</w:t>
      </w:r>
      <w:r>
        <w:rPr>
          <w:rFonts w:hint="eastAsia" w:asciiTheme="minorEastAsia" w:hAnsiTheme="minorEastAsia" w:eastAsiaTheme="minorEastAsia"/>
        </w:rPr>
        <w:t>月淖毛湖区域人畜饮水由代尔昆代水库供给）；代尔昆代水库向淖毛湖区域补充供水总量</w:t>
      </w:r>
      <w:r>
        <w:rPr>
          <w:rFonts w:asciiTheme="minorEastAsia" w:hAnsiTheme="minorEastAsia" w:eastAsiaTheme="minorEastAsia"/>
        </w:rPr>
        <w:t>359.57</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，其中生活供水</w:t>
      </w:r>
      <w:r>
        <w:rPr>
          <w:rFonts w:asciiTheme="minorEastAsia" w:hAnsiTheme="minorEastAsia" w:eastAsiaTheme="minorEastAsia"/>
        </w:rPr>
        <w:t>218</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w:t>
      </w:r>
      <w:r>
        <w:rPr>
          <w:rFonts w:asciiTheme="minorEastAsia" w:hAnsiTheme="minorEastAsia" w:eastAsiaTheme="minorEastAsia"/>
        </w:rPr>
        <w:t>5</w:t>
      </w:r>
      <w:r>
        <w:rPr>
          <w:rFonts w:hint="eastAsia" w:asciiTheme="minorEastAsia" w:hAnsiTheme="minorEastAsia" w:eastAsiaTheme="minorEastAsia"/>
        </w:rPr>
        <w:t>～</w:t>
      </w:r>
      <w:r>
        <w:rPr>
          <w:rFonts w:asciiTheme="minorEastAsia" w:hAnsiTheme="minorEastAsia" w:eastAsiaTheme="minorEastAsia"/>
        </w:rPr>
        <w:t>9</w:t>
      </w:r>
      <w:r>
        <w:rPr>
          <w:rFonts w:hint="eastAsia" w:asciiTheme="minorEastAsia" w:hAnsiTheme="minorEastAsia" w:eastAsiaTheme="minorEastAsia"/>
        </w:rPr>
        <w:t>月供水、其他月份由峡沟水库供给），</w:t>
      </w:r>
      <w:r>
        <w:rPr>
          <w:rFonts w:asciiTheme="minorEastAsia" w:hAnsiTheme="minorEastAsia" w:eastAsiaTheme="minorEastAsia"/>
        </w:rPr>
        <w:t>0.47</w:t>
      </w:r>
      <w:r>
        <w:rPr>
          <w:rFonts w:hint="eastAsia" w:asciiTheme="minorEastAsia" w:hAnsiTheme="minorEastAsia" w:eastAsiaTheme="minorEastAsia"/>
        </w:rPr>
        <w:t>万亩公益林灌溉供水</w:t>
      </w:r>
      <w:r>
        <w:rPr>
          <w:rFonts w:asciiTheme="minorEastAsia" w:hAnsiTheme="minorEastAsia" w:eastAsiaTheme="minorEastAsia"/>
        </w:rPr>
        <w:t>141.57</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w:t>
      </w:r>
    </w:p>
    <w:p>
      <w:pPr>
        <w:ind w:firstLine="480"/>
        <w:rPr>
          <w:rFonts w:asciiTheme="minorEastAsia" w:hAnsiTheme="minorEastAsia" w:eastAsiaTheme="minorEastAsia"/>
        </w:rPr>
      </w:pPr>
      <w:r>
        <w:rPr>
          <w:rFonts w:hint="eastAsia" w:asciiTheme="minorEastAsia" w:hAnsiTheme="minorEastAsia" w:eastAsiaTheme="minorEastAsia"/>
        </w:rPr>
        <w:t>经平衡计算后，代尔昆代水库与峡沟水库联调后，</w:t>
      </w:r>
      <w:r>
        <w:rPr>
          <w:rFonts w:asciiTheme="minorEastAsia" w:hAnsiTheme="minorEastAsia" w:eastAsiaTheme="minorEastAsia"/>
        </w:rPr>
        <w:t>85%</w:t>
      </w:r>
      <w:r>
        <w:rPr>
          <w:rFonts w:hint="eastAsia" w:asciiTheme="minorEastAsia" w:hAnsiTheme="minorEastAsia" w:eastAsiaTheme="minorEastAsia"/>
        </w:rPr>
        <w:t>保证率下，淖毛湖区域不缺水，满足各业用水需求。</w:t>
      </w:r>
      <w:r>
        <w:rPr>
          <w:rFonts w:asciiTheme="minorEastAsia" w:hAnsiTheme="minorEastAsia" w:eastAsiaTheme="minorEastAsia"/>
        </w:rPr>
        <w:t>95%</w:t>
      </w:r>
      <w:r>
        <w:rPr>
          <w:rFonts w:hint="eastAsia" w:asciiTheme="minorEastAsia" w:hAnsiTheme="minorEastAsia" w:eastAsiaTheme="minorEastAsia"/>
        </w:rPr>
        <w:t>保证率下，受峡沟水库调节能力限制，灌溉季节仍缺水</w:t>
      </w:r>
      <w:r>
        <w:rPr>
          <w:rFonts w:asciiTheme="minorEastAsia" w:hAnsiTheme="minorEastAsia" w:eastAsiaTheme="minorEastAsia"/>
        </w:rPr>
        <w:t>89.73</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，较设计水平年代尔昆代水库建成前缺水量减少3</w:t>
      </w:r>
      <w:r>
        <w:rPr>
          <w:rFonts w:asciiTheme="minorEastAsia" w:hAnsiTheme="minorEastAsia" w:eastAsiaTheme="minorEastAsia"/>
        </w:rPr>
        <w:t>34.49</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；余水</w:t>
      </w:r>
      <w:r>
        <w:rPr>
          <w:rFonts w:asciiTheme="minorEastAsia" w:hAnsiTheme="minorEastAsia" w:eastAsiaTheme="minorEastAsia"/>
        </w:rPr>
        <w:t>1042.58</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w:t>
      </w:r>
    </w:p>
    <w:p>
      <w:pPr>
        <w:ind w:firstLine="480"/>
        <w:rPr>
          <w:rFonts w:asciiTheme="minorEastAsia" w:hAnsiTheme="minorEastAsia" w:eastAsiaTheme="minorEastAsia"/>
        </w:rPr>
      </w:pPr>
      <w:r>
        <w:rPr>
          <w:rFonts w:hint="eastAsia" w:asciiTheme="minorEastAsia" w:hAnsiTheme="minorEastAsia" w:eastAsiaTheme="minorEastAsia"/>
        </w:rPr>
        <w:t>（2）代尔昆代郭勒河水资源利用变化</w:t>
      </w:r>
    </w:p>
    <w:p>
      <w:pPr>
        <w:ind w:firstLine="480"/>
        <w:rPr>
          <w:rFonts w:asciiTheme="minorEastAsia" w:hAnsiTheme="minorEastAsia" w:eastAsiaTheme="minorEastAsia"/>
        </w:rPr>
      </w:pPr>
      <w:r>
        <w:rPr>
          <w:rFonts w:hint="eastAsia" w:asciiTheme="minorEastAsia" w:hAnsiTheme="minorEastAsia" w:eastAsiaTheme="minorEastAsia"/>
        </w:rPr>
        <w:t>现状2</w:t>
      </w:r>
      <w:r>
        <w:rPr>
          <w:rFonts w:asciiTheme="minorEastAsia" w:hAnsiTheme="minorEastAsia" w:eastAsiaTheme="minorEastAsia"/>
        </w:rPr>
        <w:t>020</w:t>
      </w:r>
      <w:r>
        <w:rPr>
          <w:rFonts w:hint="eastAsia" w:asciiTheme="minorEastAsia" w:hAnsiTheme="minorEastAsia" w:eastAsiaTheme="minorEastAsia"/>
        </w:rPr>
        <w:t>代尔昆代郭勒河无地表水资源利用，设计水平年代尔昆代郭勒河自身仍无地表水资源利用需求，仅通过建设代尔昆代水库，向淖毛湖地区补水总量</w:t>
      </w:r>
      <w:r>
        <w:rPr>
          <w:rFonts w:asciiTheme="minorEastAsia" w:hAnsiTheme="minorEastAsia" w:eastAsiaTheme="minorEastAsia"/>
        </w:rPr>
        <w:t>359.57</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，其中生活供水</w:t>
      </w:r>
      <w:r>
        <w:rPr>
          <w:rFonts w:asciiTheme="minorEastAsia" w:hAnsiTheme="minorEastAsia" w:eastAsiaTheme="minorEastAsia"/>
        </w:rPr>
        <w:t>218</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w:t>
      </w:r>
      <w:r>
        <w:rPr>
          <w:rFonts w:asciiTheme="minorEastAsia" w:hAnsiTheme="minorEastAsia" w:eastAsiaTheme="minorEastAsia"/>
        </w:rPr>
        <w:t>5</w:t>
      </w:r>
      <w:r>
        <w:rPr>
          <w:rFonts w:hint="eastAsia" w:asciiTheme="minorEastAsia" w:hAnsiTheme="minorEastAsia" w:eastAsiaTheme="minorEastAsia"/>
        </w:rPr>
        <w:t>～</w:t>
      </w:r>
      <w:r>
        <w:rPr>
          <w:rFonts w:asciiTheme="minorEastAsia" w:hAnsiTheme="minorEastAsia" w:eastAsiaTheme="minorEastAsia"/>
        </w:rPr>
        <w:t>9</w:t>
      </w:r>
      <w:r>
        <w:rPr>
          <w:rFonts w:hint="eastAsia" w:asciiTheme="minorEastAsia" w:hAnsiTheme="minorEastAsia" w:eastAsiaTheme="minorEastAsia"/>
        </w:rPr>
        <w:t>月供水、其他月份由峡沟水库供给），</w:t>
      </w:r>
      <w:r>
        <w:rPr>
          <w:rFonts w:asciiTheme="minorEastAsia" w:hAnsiTheme="minorEastAsia" w:eastAsiaTheme="minorEastAsia"/>
        </w:rPr>
        <w:t>0.47</w:t>
      </w:r>
      <w:r>
        <w:rPr>
          <w:rFonts w:hint="eastAsia" w:asciiTheme="minorEastAsia" w:hAnsiTheme="minorEastAsia" w:eastAsiaTheme="minorEastAsia"/>
        </w:rPr>
        <w:t>万亩公益林灌溉供水</w:t>
      </w:r>
      <w:r>
        <w:rPr>
          <w:rFonts w:asciiTheme="minorEastAsia" w:hAnsiTheme="minorEastAsia" w:eastAsiaTheme="minorEastAsia"/>
        </w:rPr>
        <w:t>141.57</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w:t>
      </w:r>
    </w:p>
    <w:p>
      <w:pPr>
        <w:ind w:firstLine="480"/>
        <w:rPr>
          <w:rFonts w:asciiTheme="minorEastAsia" w:hAnsiTheme="minorEastAsia" w:eastAsiaTheme="minorEastAsia"/>
        </w:rPr>
      </w:pPr>
      <w:r>
        <w:rPr>
          <w:rFonts w:hint="eastAsia" w:asciiTheme="minorEastAsia" w:hAnsiTheme="minorEastAsia" w:eastAsiaTheme="minorEastAsia"/>
        </w:rPr>
        <w:t>代尔昆代水库建成后，代尔昆代郭勒河水资源利用上升，河道下泄水量有所减少。</w:t>
      </w:r>
    </w:p>
    <w:p>
      <w:pPr>
        <w:ind w:firstLine="480"/>
        <w:rPr>
          <w:rFonts w:asciiTheme="minorEastAsia" w:hAnsiTheme="minorEastAsia" w:eastAsiaTheme="minorEastAsia"/>
        </w:rPr>
      </w:pPr>
      <w:r>
        <w:rPr>
          <w:rFonts w:hint="eastAsia" w:asciiTheme="minorEastAsia" w:hAnsiTheme="minorEastAsia" w:eastAsiaTheme="minorEastAsia"/>
        </w:rPr>
        <w:t>设计水平年代尔昆代水库建成后，代尔昆代郭勒河水资源利用</w:t>
      </w:r>
      <w:r>
        <w:rPr>
          <w:rFonts w:hint="eastAsia" w:asciiTheme="minorEastAsia" w:hAnsiTheme="minorEastAsia" w:eastAsiaTheme="minorEastAsia"/>
          <w:lang w:eastAsia="zh-CN"/>
        </w:rPr>
        <w:t>将</w:t>
      </w:r>
      <w:r>
        <w:rPr>
          <w:rFonts w:hint="eastAsia" w:asciiTheme="minorEastAsia" w:hAnsiTheme="minorEastAsia" w:eastAsiaTheme="minorEastAsia"/>
        </w:rPr>
        <w:t>达4</w:t>
      </w:r>
      <w:r>
        <w:rPr>
          <w:rFonts w:asciiTheme="minorEastAsia" w:hAnsiTheme="minorEastAsia" w:eastAsiaTheme="minorEastAsia"/>
        </w:rPr>
        <w:t>3%</w:t>
      </w:r>
      <w:r>
        <w:rPr>
          <w:rFonts w:hint="eastAsia" w:asciiTheme="minorEastAsia" w:hAnsiTheme="minorEastAsia" w:eastAsiaTheme="minorEastAsia"/>
        </w:rPr>
        <w:t>（多年平均地表水资源量8</w:t>
      </w:r>
      <w:r>
        <w:rPr>
          <w:rFonts w:asciiTheme="minorEastAsia" w:hAnsiTheme="minorEastAsia" w:eastAsiaTheme="minorEastAsia"/>
        </w:rPr>
        <w:t>34</w:t>
      </w:r>
      <w:r>
        <w:rPr>
          <w:rFonts w:hint="eastAsia" w:asciiTheme="minorEastAsia" w:hAnsiTheme="minorEastAsia" w:eastAsiaTheme="minorEastAsia"/>
        </w:rPr>
        <w:t>万m</w:t>
      </w:r>
      <w:r>
        <w:rPr>
          <w:rFonts w:asciiTheme="minorEastAsia" w:hAnsiTheme="minorEastAsia" w:eastAsiaTheme="minorEastAsia"/>
          <w:vertAlign w:val="superscript"/>
        </w:rPr>
        <w:t>3</w:t>
      </w:r>
      <w:r>
        <w:rPr>
          <w:rFonts w:hint="eastAsia" w:asciiTheme="minorEastAsia" w:hAnsiTheme="minorEastAsia" w:eastAsiaTheme="minorEastAsia"/>
        </w:rPr>
        <w:t>）。</w:t>
      </w:r>
    </w:p>
    <w:p>
      <w:pPr>
        <w:pStyle w:val="4"/>
        <w:rPr>
          <w:rFonts w:ascii="黑体" w:hAnsi="黑体"/>
        </w:rPr>
      </w:pPr>
      <w:r>
        <w:rPr>
          <w:rFonts w:hint="eastAsia" w:ascii="黑体" w:hAnsi="黑体"/>
        </w:rPr>
        <w:t>10.3.2 对水文情势的影响</w:t>
      </w:r>
    </w:p>
    <w:p>
      <w:pPr>
        <w:ind w:firstLine="480"/>
        <w:rPr>
          <w:rFonts w:asciiTheme="minorEastAsia" w:hAnsiTheme="minorEastAsia" w:eastAsiaTheme="minorEastAsia"/>
        </w:rPr>
      </w:pPr>
      <w:r>
        <w:rPr>
          <w:rFonts w:hint="eastAsia" w:asciiTheme="minorEastAsia" w:hAnsiTheme="minorEastAsia" w:eastAsiaTheme="minorEastAsia"/>
        </w:rPr>
        <w:t>（1）初期蓄水对水文情势的影响</w:t>
      </w:r>
    </w:p>
    <w:p>
      <w:pPr>
        <w:ind w:firstLine="480"/>
        <w:rPr>
          <w:rFonts w:asciiTheme="minorEastAsia" w:hAnsiTheme="minorEastAsia" w:eastAsiaTheme="minorEastAsia"/>
        </w:rPr>
      </w:pPr>
      <w:r>
        <w:rPr>
          <w:rFonts w:hint="eastAsia" w:asciiTheme="minorEastAsia" w:hAnsiTheme="minorEastAsia" w:eastAsiaTheme="minorEastAsia"/>
        </w:rPr>
        <w:t>根据工程施工进度安排，代尔昆代水库拟于施工期第三年9月初开始下闸蓄水，起蓄水位为1947.00m，按设计频率95%来水调节计算，历时24天后可蓄至死水位1960.0m，历时242天蓄水至正常蓄水位1981.24m。</w:t>
      </w:r>
    </w:p>
    <w:p>
      <w:pPr>
        <w:ind w:firstLine="480"/>
        <w:rPr>
          <w:rFonts w:asciiTheme="minorEastAsia" w:hAnsiTheme="minorEastAsia" w:eastAsiaTheme="minorEastAsia"/>
        </w:rPr>
      </w:pPr>
      <w:r>
        <w:rPr>
          <w:rFonts w:hint="eastAsia" w:asciiTheme="minorEastAsia" w:hAnsiTheme="minorEastAsia" w:eastAsiaTheme="minorEastAsia"/>
        </w:rPr>
        <w:t>初期蓄水期间，代尔昆代水库在满足调水需水及坝址断面生态流量的前提下进行蓄水，并通过放水导流洞进行下泄生态基流，水库蓄水使得出库流量较天然来流量减少，其中坝址断面流量较天然来流减少了0.0553～0.1751m³/s，坝址断面水量减幅较为明显，均超过了80%；95%来水频率下，由于未泄放生态流量，坝址断面流量减幅100%。</w:t>
      </w:r>
    </w:p>
    <w:p>
      <w:pPr>
        <w:ind w:firstLine="480"/>
      </w:pPr>
      <w:r>
        <w:rPr>
          <w:rFonts w:hint="eastAsia"/>
        </w:rPr>
        <w:t>本工程可行性研究报告，根据《新疆重要江河湖泊生态水量保障方案》及《新疆内陆河湖基本生态水量（流量）确定技术指南（试行）》，确定代尔昆代郭勒河流域基本生态水量保证率取85%，具体取值为坝址断面多年平均来水条件下各月月均天然流量的10%；代尔昆代水库坝址断面多年平均径流量为834.4万m</w:t>
      </w:r>
      <w:r>
        <w:rPr>
          <w:rFonts w:hint="eastAsia"/>
          <w:vertAlign w:val="superscript"/>
        </w:rPr>
        <w:t>3</w:t>
      </w:r>
      <w:r>
        <w:rPr>
          <w:rFonts w:hint="eastAsia"/>
        </w:rPr>
        <w:t>，则生态水量为</w:t>
      </w:r>
      <w:r>
        <w:t>83.44</w:t>
      </w:r>
      <w:r>
        <w:rPr>
          <w:rFonts w:hint="eastAsia"/>
        </w:rPr>
        <w:t>万m</w:t>
      </w:r>
      <w:r>
        <w:rPr>
          <w:rFonts w:hint="eastAsia"/>
          <w:vertAlign w:val="superscript"/>
        </w:rPr>
        <w:t>3</w:t>
      </w:r>
      <w:r>
        <w:rPr>
          <w:rFonts w:hint="eastAsia"/>
        </w:rPr>
        <w:t>。据此生态流量，主体设计以上述生态流量拟定了水库初期蓄水计划。</w:t>
      </w:r>
    </w:p>
    <w:p>
      <w:pPr>
        <w:ind w:firstLine="480"/>
      </w:pPr>
      <w:r>
        <w:rPr>
          <w:rFonts w:hint="eastAsia"/>
        </w:rPr>
        <w:t>代尔昆代郭勒河流域规划环评阶段对生态流量进行细化提出，代尔昆代水库坝址断面生态流量保证率为p=85%，具体要求为：代尔昆代水库坝址断面（1～5月、10～12月）下泄生态流量不低于多年平均流量的10%；6月、9月下泄生态流量不低于多年平均流量的19%；汛期7月、8月下泄生态流量不低于多年平均流量的30%。后期在淖毛湖区域工业用水有替代水源或通过提高工业用水重复利用率、灌溉节水效率后，适当减少代尔昆代水库向淖毛湖区域供水，使代尔昆代郭勒流域6月、9月下泄生态水量达到多年平均天然流量的30%。规划环评审查意见提出水库工程坝址断面下泄生态流量：丰水期不小于多年平均天然径流量的30%、枯水期不小于多年平均天然径流量的10%。</w:t>
      </w:r>
    </w:p>
    <w:p>
      <w:pPr>
        <w:ind w:firstLine="480"/>
      </w:pPr>
      <w:r>
        <w:rPr>
          <w:rFonts w:hint="eastAsia"/>
        </w:rPr>
        <w:t>对此，本次评价提出，</w:t>
      </w:r>
      <w:r>
        <w:rPr>
          <w:rFonts w:hint="eastAsia"/>
          <w:lang w:eastAsia="zh-CN"/>
        </w:rPr>
        <w:t>主体设计</w:t>
      </w:r>
      <w:r>
        <w:rPr>
          <w:rFonts w:hint="eastAsia"/>
        </w:rPr>
        <w:t>应优化水库初期蓄水计划，满足流域规划环评批复的生态流量下泄要求。</w:t>
      </w:r>
    </w:p>
    <w:p>
      <w:pPr>
        <w:ind w:firstLine="480"/>
        <w:rPr>
          <w:rFonts w:asciiTheme="minorEastAsia" w:hAnsiTheme="minorEastAsia" w:eastAsiaTheme="minorEastAsia"/>
        </w:rPr>
      </w:pPr>
      <w:r>
        <w:rPr>
          <w:rFonts w:hint="eastAsia" w:asciiTheme="minorEastAsia" w:hAnsiTheme="minorEastAsia" w:eastAsiaTheme="minorEastAsia"/>
        </w:rPr>
        <w:t>（2）运行期对库区水文情势的影响</w:t>
      </w:r>
    </w:p>
    <w:p>
      <w:pPr>
        <w:ind w:firstLine="480"/>
        <w:rPr>
          <w:rFonts w:asciiTheme="minorEastAsia" w:hAnsiTheme="minorEastAsia" w:eastAsiaTheme="minorEastAsia"/>
        </w:rPr>
      </w:pPr>
      <w:r>
        <w:rPr>
          <w:rFonts w:hint="eastAsia" w:asciiTheme="minorEastAsia" w:hAnsiTheme="minorEastAsia" w:eastAsiaTheme="minorEastAsia"/>
        </w:rPr>
        <w:t>代尔昆代水库建成运行后，水库蓄水</w:t>
      </w:r>
      <w:r>
        <w:rPr>
          <w:rFonts w:hint="eastAsia" w:asciiTheme="minorEastAsia" w:hAnsiTheme="minorEastAsia" w:eastAsiaTheme="minorEastAsia"/>
          <w:lang w:eastAsia="zh-CN"/>
        </w:rPr>
        <w:t>将</w:t>
      </w:r>
      <w:r>
        <w:rPr>
          <w:rFonts w:hint="eastAsia" w:asciiTheme="minorEastAsia" w:hAnsiTheme="minorEastAsia" w:eastAsiaTheme="minorEastAsia"/>
        </w:rPr>
        <w:t>使库区河段的水位、水面积、水深及流速等发生变化。</w:t>
      </w:r>
    </w:p>
    <w:p>
      <w:pPr>
        <w:ind w:firstLine="480"/>
        <w:rPr>
          <w:rFonts w:asciiTheme="minorEastAsia" w:hAnsiTheme="minorEastAsia" w:eastAsiaTheme="minorEastAsia"/>
        </w:rPr>
      </w:pPr>
      <w:r>
        <w:rPr>
          <w:rFonts w:hint="eastAsia" w:asciiTheme="minorEastAsia" w:hAnsiTheme="minorEastAsia" w:eastAsiaTheme="minorEastAsia"/>
        </w:rPr>
        <w:t>水库建成后，当正常蓄水位1981.85m时，坝前</w:t>
      </w:r>
      <w:r>
        <w:rPr>
          <w:rFonts w:hint="eastAsia" w:asciiTheme="minorEastAsia" w:hAnsiTheme="minorEastAsia" w:eastAsiaTheme="minorEastAsia"/>
          <w:lang w:eastAsia="zh-CN"/>
        </w:rPr>
        <w:t>水位最高约</w:t>
      </w:r>
      <w:r>
        <w:rPr>
          <w:rFonts w:hint="eastAsia" w:asciiTheme="minorEastAsia" w:hAnsiTheme="minorEastAsia" w:eastAsiaTheme="minorEastAsia"/>
        </w:rPr>
        <w:t>31.85m，回水长1.46km，因水库位于代尔昆代郭勒河中上游峡谷段，库区淹没面积很小，水面面积较建库前扩大了18.37hm</w:t>
      </w:r>
      <w:r>
        <w:rPr>
          <w:rFonts w:asciiTheme="minorEastAsia" w:hAnsiTheme="minorEastAsia" w:eastAsiaTheme="minorEastAsia"/>
          <w:vertAlign w:val="superscript"/>
        </w:rPr>
        <w:t>2</w:t>
      </w:r>
      <w:r>
        <w:rPr>
          <w:rFonts w:hint="eastAsia" w:asciiTheme="minorEastAsia" w:hAnsiTheme="minorEastAsia" w:eastAsiaTheme="minorEastAsia"/>
        </w:rPr>
        <w:t>，库区河段水体流速则会有所减缓，坝前流速基本为最小。</w:t>
      </w:r>
    </w:p>
    <w:p>
      <w:pPr>
        <w:ind w:firstLine="480"/>
        <w:rPr>
          <w:rFonts w:asciiTheme="minorEastAsia" w:hAnsiTheme="minorEastAsia" w:eastAsiaTheme="minorEastAsia"/>
        </w:rPr>
      </w:pPr>
      <w:r>
        <w:rPr>
          <w:rFonts w:hint="eastAsia" w:asciiTheme="minorEastAsia" w:hAnsiTheme="minorEastAsia" w:eastAsiaTheme="minorEastAsia"/>
        </w:rPr>
        <w:t>（3）对坝下河段水文情势的影响</w:t>
      </w:r>
    </w:p>
    <w:p>
      <w:pPr>
        <w:ind w:firstLine="480"/>
        <w:rPr>
          <w:rFonts w:asciiTheme="minorEastAsia" w:hAnsiTheme="minorEastAsia" w:eastAsiaTheme="minorEastAsia"/>
        </w:rPr>
      </w:pPr>
      <w:r>
        <w:rPr>
          <w:rFonts w:hint="eastAsia" w:asciiTheme="minorEastAsia" w:hAnsiTheme="minorEastAsia" w:eastAsiaTheme="minorEastAsia"/>
        </w:rPr>
        <w:t>代尔昆代水库坝址位于代尔昆代郭勒河出山口以上约6.5km处，坝址断面年均径流量834万m³、年均流量0.26m</w:t>
      </w:r>
      <w:r>
        <w:rPr>
          <w:rFonts w:asciiTheme="minorEastAsia" w:hAnsiTheme="minorEastAsia" w:eastAsiaTheme="minorEastAsia"/>
          <w:vertAlign w:val="superscript"/>
        </w:rPr>
        <w:t>3</w:t>
      </w:r>
      <w:r>
        <w:rPr>
          <w:rFonts w:hint="eastAsia" w:asciiTheme="minorEastAsia" w:hAnsiTheme="minorEastAsia" w:eastAsiaTheme="minorEastAsia"/>
        </w:rPr>
        <w:t>/s；河流水量小且不稳定，加之河床下渗严重，山区河段地表明流逐渐下潜、流程并不稳定，通常情况下，地表明流无法到达出山口断面，年内仅7、8两月地表明流流程较长，可接近出山口断面，其余月份地表明流流程向上游逐步缩短，冬季11月至次年4月上旬，受制于冰冻影响，河流完全封冻，无地表明流。</w:t>
      </w:r>
    </w:p>
    <w:p>
      <w:pPr>
        <w:ind w:firstLine="480"/>
        <w:rPr>
          <w:rFonts w:asciiTheme="minorEastAsia" w:hAnsiTheme="minorEastAsia" w:eastAsiaTheme="minorEastAsia"/>
        </w:rPr>
      </w:pPr>
      <w:r>
        <w:rPr>
          <w:rFonts w:hint="eastAsia" w:asciiTheme="minorEastAsia" w:hAnsiTheme="minorEastAsia" w:eastAsiaTheme="minorEastAsia"/>
        </w:rPr>
        <w:t>综合上述分析，结合现场调查，代尔昆代水库坝址断面存在地表明流主要集中在6、7、8月，其他月份坝址断面基本均无地表明流，仅在发生融雪或暴雨天气时，可能形成短期地表明流。</w:t>
      </w:r>
    </w:p>
    <w:p>
      <w:pPr>
        <w:ind w:firstLine="480"/>
        <w:rPr>
          <w:rFonts w:asciiTheme="minorEastAsia" w:hAnsiTheme="minorEastAsia" w:eastAsiaTheme="minorEastAsia"/>
        </w:rPr>
      </w:pPr>
      <w:r>
        <w:rPr>
          <w:rFonts w:hint="eastAsia" w:asciiTheme="minorEastAsia" w:hAnsiTheme="minorEastAsia" w:eastAsiaTheme="minorEastAsia"/>
        </w:rPr>
        <w:t>P=50%来水频率下，代尔昆代水库坝址断面水文情势受水库上游天然来水、供水及水库调蓄影响，设计水平年，因水库蒸发渗漏损失，断面年水量较现状年减少24.88万m³；年内4～10月，水库供水，断面流量较现状年减少0.02～0.3m³/s；11月～次年3月，水库蓄水，断面流量较现状年减少0.06～0.17m³/s；断面流量最大减幅出现在7月。</w:t>
      </w:r>
    </w:p>
    <w:p>
      <w:pPr>
        <w:ind w:firstLine="480"/>
        <w:rPr>
          <w:rFonts w:asciiTheme="minorEastAsia" w:hAnsiTheme="minorEastAsia" w:eastAsiaTheme="minorEastAsia"/>
        </w:rPr>
      </w:pPr>
      <w:r>
        <w:rPr>
          <w:rFonts w:hint="eastAsia" w:asciiTheme="minorEastAsia" w:hAnsiTheme="minorEastAsia" w:eastAsiaTheme="minorEastAsia"/>
        </w:rPr>
        <w:t>P=85%来水频率下，代尔昆代水库坝址断面水文情势受水库上游天然来水、供水及水库调蓄影响，设计水平年，因水库蒸发渗漏损失，断面年水量较现状年减少26.7万m³；年内4～10月，水库供水，断面流量较现状年减少0.07～0.17m³/s；11月～次年3月，水库蓄水，断面流量较现状年减少0.11～0.13m³/s；断面流量最大减幅出现在3月。</w:t>
      </w:r>
    </w:p>
    <w:p>
      <w:pPr>
        <w:ind w:firstLine="480"/>
        <w:rPr>
          <w:rFonts w:asciiTheme="minorEastAsia" w:hAnsiTheme="minorEastAsia" w:eastAsiaTheme="minorEastAsia"/>
        </w:rPr>
      </w:pPr>
      <w:r>
        <w:rPr>
          <w:rFonts w:hint="eastAsia" w:asciiTheme="minorEastAsia" w:hAnsiTheme="minorEastAsia" w:eastAsiaTheme="minorEastAsia"/>
        </w:rPr>
        <w:t>P=95%来水频率下，代尔昆代水库坝址断面水文情势受水库上游天然来水、供水及水库调蓄影响，设计水平年，因水库蒸发渗漏损失，断面年水量较现状年减少27.79万m³；年内4～10月，水库供水，断面流量较现状年减少0.07～0.18m³/s；11月～次年3月，水库蓄水，断面流量较现状年减少0.11～0.13m³/s；由于该频率未预留生态流量，各月流量减幅均较大。</w:t>
      </w:r>
    </w:p>
    <w:p>
      <w:pPr>
        <w:ind w:firstLine="480"/>
      </w:pPr>
      <w:r>
        <w:rPr>
          <w:rFonts w:hint="eastAsia"/>
        </w:rPr>
        <w:t>（</w:t>
      </w:r>
      <w:r>
        <w:t>4</w:t>
      </w:r>
      <w:r>
        <w:rPr>
          <w:rFonts w:hint="eastAsia"/>
        </w:rPr>
        <w:t>）生态流量优化调整建议</w:t>
      </w:r>
    </w:p>
    <w:p>
      <w:pPr>
        <w:ind w:firstLine="480"/>
      </w:pPr>
      <w:r>
        <w:rPr>
          <w:rFonts w:hint="eastAsia"/>
        </w:rPr>
        <w:t>根据可研阶段主体设计，可研阶段代尔昆代水库坝址断面生态流量保证率为p=85%，坝址断面各月下泄生态流量按照多年平均流量的1</w:t>
      </w:r>
      <w:r>
        <w:t>0%</w:t>
      </w:r>
      <w:r>
        <w:rPr>
          <w:rFonts w:hint="eastAsia"/>
        </w:rPr>
        <w:t>控制，年下泄水量8</w:t>
      </w:r>
      <w:r>
        <w:t>3.44</w:t>
      </w:r>
      <w:r>
        <w:rPr>
          <w:rFonts w:hint="eastAsia"/>
        </w:rPr>
        <w:t>万m</w:t>
      </w:r>
      <w:r>
        <w:rPr>
          <w:vertAlign w:val="superscript"/>
        </w:rPr>
        <w:t>3</w:t>
      </w:r>
      <w:r>
        <w:rPr>
          <w:rFonts w:hint="eastAsia"/>
        </w:rPr>
        <w:t>。</w:t>
      </w:r>
    </w:p>
    <w:p>
      <w:pPr>
        <w:ind w:firstLine="480"/>
      </w:pPr>
      <w:r>
        <w:rPr>
          <w:rFonts w:hint="eastAsia"/>
        </w:rPr>
        <w:t>经对比分析，可研阶段代尔昆代水库坝址断面生态流量下泄要求不符合流域规划环评。</w:t>
      </w:r>
    </w:p>
    <w:p>
      <w:pPr>
        <w:ind w:firstLine="480"/>
      </w:pPr>
      <w:r>
        <w:rPr>
          <w:rFonts w:hint="eastAsia"/>
        </w:rPr>
        <w:t>本次评价提出，下阶段优化代尔昆代水库规模论证及调度运行，重点确保生态流量年下泄总量符合流域规划环评阶段生态流量下泄总量1</w:t>
      </w:r>
      <w:r>
        <w:t>24.13</w:t>
      </w:r>
      <w:r>
        <w:rPr>
          <w:rFonts w:hint="eastAsia"/>
        </w:rPr>
        <w:t>万m</w:t>
      </w:r>
      <w:r>
        <w:rPr>
          <w:vertAlign w:val="superscript"/>
        </w:rPr>
        <w:t>3</w:t>
      </w:r>
      <w:r>
        <w:rPr>
          <w:rFonts w:hint="eastAsia"/>
        </w:rPr>
        <w:t>的要求，其次水库坝址断面各月生态流量下泄尽可能符合流域规划环评提出的生态流量泄放过程。</w:t>
      </w:r>
    </w:p>
    <w:p>
      <w:pPr>
        <w:ind w:firstLine="480"/>
      </w:pPr>
      <w:r>
        <w:rPr>
          <w:rFonts w:hint="eastAsia"/>
        </w:rPr>
        <w:t>严格落实流域规划环评要求，项目实施过程中，通过提高淖毛湖区域各业用水效率，加强中水回用，以降低地区用水总量，从而适当减少代尔昆代水库向淖毛湖区域供水，确保代尔昆代水库生态流量下泄过程及总量符合流域规划环评要求。</w:t>
      </w:r>
    </w:p>
    <w:p>
      <w:pPr>
        <w:ind w:firstLine="480"/>
      </w:pPr>
      <w:r>
        <w:rPr>
          <w:rFonts w:hint="eastAsia"/>
        </w:rPr>
        <w:t>可研阶段，主体设计拟通过放水管泄放生态流量及供水，放水管布设在导流隧洞底部，其管道末端阀井内布置了</w:t>
      </w:r>
      <w:r>
        <w:t>生态放水管（DN200</w:t>
      </w:r>
      <w:r>
        <w:rPr>
          <w:rFonts w:hint="eastAsia"/>
        </w:rPr>
        <w:t>mm、</w:t>
      </w:r>
      <w:r>
        <w:t>设计流量0.068m</w:t>
      </w:r>
      <w:r>
        <w:rPr>
          <w:vertAlign w:val="superscript"/>
        </w:rPr>
        <w:t>3</w:t>
      </w:r>
      <w:r>
        <w:t>/s）</w:t>
      </w:r>
      <w:r>
        <w:rPr>
          <w:rFonts w:hint="eastAsia"/>
        </w:rPr>
        <w:t>，经复核生态放水管设计流量偏小无法泄放3</w:t>
      </w:r>
      <w:r>
        <w:t>0</w:t>
      </w:r>
      <w:r>
        <w:rPr>
          <w:rFonts w:hint="eastAsia"/>
        </w:rPr>
        <w:t>%生态流量。本次工程环评提出，适当扩大生态放水管设计规模，使其能下泄3</w:t>
      </w:r>
      <w:r>
        <w:t>0</w:t>
      </w:r>
      <w:r>
        <w:rPr>
          <w:rFonts w:hint="eastAsia"/>
        </w:rPr>
        <w:t>%生态流量。</w:t>
      </w:r>
    </w:p>
    <w:p>
      <w:pPr>
        <w:pStyle w:val="4"/>
        <w:rPr>
          <w:rFonts w:ascii="黑体" w:hAnsi="黑体"/>
        </w:rPr>
      </w:pPr>
      <w:r>
        <w:rPr>
          <w:rFonts w:hint="eastAsia" w:ascii="黑体" w:hAnsi="黑体"/>
        </w:rPr>
        <w:t>10.3.</w:t>
      </w:r>
      <w:r>
        <w:rPr>
          <w:rFonts w:ascii="黑体" w:hAnsi="黑体"/>
        </w:rPr>
        <w:t xml:space="preserve">3 </w:t>
      </w:r>
      <w:r>
        <w:rPr>
          <w:rFonts w:hint="eastAsia" w:ascii="黑体" w:hAnsi="黑体"/>
        </w:rPr>
        <w:t>对地表水环境的影响</w:t>
      </w:r>
    </w:p>
    <w:p>
      <w:pPr>
        <w:ind w:firstLine="480"/>
      </w:pPr>
      <w:r>
        <w:rPr>
          <w:rFonts w:hint="eastAsia"/>
        </w:rPr>
        <w:t>工程建成运行后，代尔昆代水库不会出现</w:t>
      </w:r>
      <w:r>
        <w:rPr>
          <w:rFonts w:hint="eastAsia"/>
          <w:lang w:eastAsia="zh-CN"/>
        </w:rPr>
        <w:t>富营氧化</w:t>
      </w:r>
      <w:r>
        <w:rPr>
          <w:rFonts w:hint="eastAsia"/>
        </w:rPr>
        <w:t>，下泄水水质不会恶化；经现场调查及访问当地相关部门，代尔昆代水库上游无入河点污染源分布，仅分布少量牧业面源污染，根据现状水质监测结果显示，该河段总体水质良好，各项水质指标均满足《地表水环境质量标准》（GB3838-2002）II类标准。水库蓄水后，淹没面积约19.36hm</w:t>
      </w:r>
      <w:r>
        <w:rPr>
          <w:vertAlign w:val="superscript"/>
        </w:rPr>
        <w:t>2</w:t>
      </w:r>
      <w:r>
        <w:rPr>
          <w:rFonts w:hint="eastAsia"/>
        </w:rPr>
        <w:t>，</w:t>
      </w:r>
      <w:r>
        <w:rPr>
          <w:rFonts w:hint="eastAsia"/>
          <w:lang w:eastAsia="zh-CN"/>
        </w:rPr>
        <w:t>将</w:t>
      </w:r>
      <w:r>
        <w:rPr>
          <w:rFonts w:hint="eastAsia"/>
        </w:rPr>
        <w:t>淹没一些实物指标，在库盘铺土工膜前，</w:t>
      </w:r>
      <w:r>
        <w:rPr>
          <w:rFonts w:hint="eastAsia"/>
          <w:lang w:eastAsia="zh-CN"/>
        </w:rPr>
        <w:t>将</w:t>
      </w:r>
      <w:r>
        <w:rPr>
          <w:rFonts w:hint="eastAsia"/>
        </w:rPr>
        <w:t>进行清库工作，故不存在植被在库水中大量腐烂而导致水质劣变的可能；同时，水库水流流速减缓，有利于洪水期主要污染物（如SS）的物理沉淀，或者以氧化等化学过程转化为其他形式而脱离水体，改善洪水期相应的水质指标；此外，上游来水水质较好，该水库为完全年调节水库，冬季11月~3月蓄水，4月~11月供水，且冬季水温低，微生物基本停止生长。因此，代尔昆代水库不会出现</w:t>
      </w:r>
      <w:r>
        <w:rPr>
          <w:rFonts w:hint="eastAsia"/>
          <w:lang w:eastAsia="zh-CN"/>
        </w:rPr>
        <w:t>富营氧化</w:t>
      </w:r>
      <w:r>
        <w:rPr>
          <w:rFonts w:hint="eastAsia"/>
        </w:rPr>
        <w:t>现象，下泄水水质不会恶化，对地表水水质基本无不利影响。</w:t>
      </w:r>
    </w:p>
    <w:p>
      <w:pPr>
        <w:pStyle w:val="4"/>
        <w:rPr>
          <w:rFonts w:ascii="黑体" w:hAnsi="黑体"/>
        </w:rPr>
      </w:pPr>
      <w:r>
        <w:rPr>
          <w:rFonts w:hint="eastAsia" w:ascii="黑体" w:hAnsi="黑体"/>
        </w:rPr>
        <w:t>10.3.</w:t>
      </w:r>
      <w:r>
        <w:rPr>
          <w:rFonts w:ascii="黑体" w:hAnsi="黑体"/>
        </w:rPr>
        <w:t xml:space="preserve">4 </w:t>
      </w:r>
      <w:r>
        <w:rPr>
          <w:rFonts w:hint="eastAsia" w:ascii="黑体" w:hAnsi="黑体"/>
        </w:rPr>
        <w:t>对地下水环境的影响</w:t>
      </w:r>
    </w:p>
    <w:p>
      <w:pPr>
        <w:ind w:firstLine="480"/>
        <w:rPr>
          <w:rFonts w:asciiTheme="minorEastAsia" w:hAnsiTheme="minorEastAsia" w:eastAsiaTheme="minorEastAsia"/>
        </w:rPr>
      </w:pPr>
      <w:r>
        <w:rPr>
          <w:rFonts w:hint="eastAsia" w:asciiTheme="minorEastAsia" w:hAnsiTheme="minorEastAsia" w:eastAsiaTheme="minorEastAsia"/>
        </w:rPr>
        <w:t>工程位于代尔昆代郭勒河中游峡谷区，两岸山顶高程2728～3801m，水库蓄水</w:t>
      </w:r>
      <w:r>
        <w:rPr>
          <w:rFonts w:hint="eastAsia" w:asciiTheme="minorEastAsia" w:hAnsiTheme="minorEastAsia" w:eastAsiaTheme="minorEastAsia"/>
          <w:lang w:eastAsia="zh-CN"/>
        </w:rPr>
        <w:t>将</w:t>
      </w:r>
      <w:r>
        <w:rPr>
          <w:rFonts w:hint="eastAsia" w:asciiTheme="minorEastAsia" w:hAnsiTheme="minorEastAsia" w:eastAsiaTheme="minorEastAsia"/>
        </w:rPr>
        <w:t>对水库周边地下水位产生影响；流域水资源配置变化、灌区节水改造的实施，可能对灌区地下水补给条件产生影响。</w:t>
      </w:r>
    </w:p>
    <w:p>
      <w:pPr>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）对枢纽地下水的影响</w:t>
      </w:r>
    </w:p>
    <w:p>
      <w:pPr>
        <w:ind w:firstLine="480"/>
        <w:rPr>
          <w:rFonts w:asciiTheme="minorEastAsia" w:hAnsiTheme="minorEastAsia" w:eastAsiaTheme="minorEastAsia"/>
        </w:rPr>
      </w:pPr>
      <w:r>
        <w:rPr>
          <w:rFonts w:hint="eastAsia" w:asciiTheme="minorEastAsia" w:hAnsiTheme="minorEastAsia" w:eastAsiaTheme="minorEastAsia"/>
        </w:rPr>
        <w:t>枢纽区河谷呈“U”型，两岸山体较雄厚，岩体较完整。地下水类型主要有两类，孔隙水和基岩裂隙水。坝址区地下水埋深均高于河水位，为基岩裂隙水补给河水；工程区气候干燥，基岩裂隙—孔隙水贫乏，无统一水面，且具有季节性变化的特点。</w:t>
      </w:r>
    </w:p>
    <w:p>
      <w:pPr>
        <w:ind w:firstLine="480"/>
        <w:rPr>
          <w:rFonts w:asciiTheme="minorEastAsia" w:hAnsiTheme="minorEastAsia" w:eastAsiaTheme="minorEastAsia"/>
        </w:rPr>
      </w:pPr>
      <w:r>
        <w:rPr>
          <w:rFonts w:hint="eastAsia" w:asciiTheme="minorEastAsia" w:hAnsiTheme="minorEastAsia" w:eastAsiaTheme="minorEastAsia"/>
        </w:rPr>
        <w:t>工程坝址区河床区地下水为孔隙水，施工中通过基坑排水处理；两岸区地下水为基岩裂隙水，水量贫乏，施工中不会有大量渗水。大坝建成后</w:t>
      </w:r>
      <w:r>
        <w:rPr>
          <w:rFonts w:hint="eastAsia" w:asciiTheme="minorEastAsia" w:hAnsiTheme="minorEastAsia" w:eastAsiaTheme="minorEastAsia"/>
          <w:lang w:eastAsia="zh-CN"/>
        </w:rPr>
        <w:t>将</w:t>
      </w:r>
      <w:r>
        <w:rPr>
          <w:rFonts w:hint="eastAsia" w:asciiTheme="minorEastAsia" w:hAnsiTheme="minorEastAsia" w:eastAsiaTheme="minorEastAsia"/>
        </w:rPr>
        <w:t>改变局部地下水流场，不会改变地下水补给源、排泄方式及径流总体方向。</w:t>
      </w:r>
    </w:p>
    <w:p>
      <w:pPr>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）洞室修建对地下水的影响</w:t>
      </w:r>
      <w:r>
        <w:rPr>
          <w:rFonts w:hint="eastAsia" w:asciiTheme="minorEastAsia" w:hAnsiTheme="minorEastAsia" w:eastAsiaTheme="minorEastAsia"/>
        </w:rPr>
        <w:tab/>
      </w:r>
    </w:p>
    <w:p>
      <w:pPr>
        <w:ind w:firstLine="480"/>
        <w:rPr>
          <w:rFonts w:asciiTheme="minorEastAsia" w:hAnsiTheme="minorEastAsia" w:eastAsiaTheme="minorEastAsia"/>
        </w:rPr>
      </w:pPr>
      <w:r>
        <w:rPr>
          <w:rFonts w:hint="eastAsia" w:asciiTheme="minorEastAsia" w:hAnsiTheme="minorEastAsia" w:eastAsiaTheme="minorEastAsia"/>
        </w:rPr>
        <w:t>导流（放水）隧洞布置在坝址左岸山体内，洞围岩性为深灰色凝灰砂岩，受区域构造影响，基岩裂隙发育，较为破碎，镶嵌碎裂状～次块状结构。地下水类型主要为基岩裂隙水，赋存于基岩裂隙及断层带内且基岩裂隙水贫乏，无统一地下水位，洞室开挖不会发生大规模地下涌水，若工程施工期间出现大规模涌水时应首先采取堵截措施。运行期各洞室喷锚支护并采用混凝土衬砌后，透水性减小，不会对沿线地下水位产生明显影响，洞室运行也不会受沿线地下水渗漏影响。</w:t>
      </w:r>
    </w:p>
    <w:p>
      <w:pPr>
        <w:ind w:firstLine="480"/>
        <w:rPr>
          <w:rFonts w:asciiTheme="minorEastAsia" w:hAnsiTheme="minorEastAsia" w:eastAsiaTheme="minorEastAsia"/>
        </w:rPr>
      </w:pPr>
      <w:r>
        <w:rPr>
          <w:rFonts w:hint="eastAsia" w:asciiTheme="minorEastAsia" w:hAnsiTheme="minorEastAsia" w:eastAsiaTheme="minorEastAsia"/>
          <w:highlight w:val="green"/>
        </w:rPr>
        <w:t>（</w:t>
      </w:r>
      <w:r>
        <w:rPr>
          <w:rFonts w:asciiTheme="minorEastAsia" w:hAnsiTheme="minorEastAsia" w:eastAsiaTheme="minorEastAsia"/>
          <w:highlight w:val="green"/>
        </w:rPr>
        <w:t>3</w:t>
      </w:r>
      <w:r>
        <w:rPr>
          <w:rFonts w:hint="eastAsia" w:asciiTheme="minorEastAsia" w:hAnsiTheme="minorEastAsia" w:eastAsiaTheme="minorEastAsia"/>
          <w:highlight w:val="green"/>
        </w:rPr>
        <w:t>）对下游下马崖平原区的地下水影响</w:t>
      </w:r>
    </w:p>
    <w:p>
      <w:pPr>
        <w:ind w:firstLine="480"/>
        <w:rPr>
          <w:rFonts w:asciiTheme="minorEastAsia" w:hAnsiTheme="minorEastAsia" w:eastAsiaTheme="minorEastAsia"/>
          <w:highlight w:val="green"/>
        </w:rPr>
      </w:pPr>
      <w:r>
        <w:rPr>
          <w:rFonts w:hint="eastAsia" w:asciiTheme="minorEastAsia" w:hAnsiTheme="minorEastAsia" w:eastAsiaTheme="minorEastAsia"/>
          <w:highlight w:val="green"/>
        </w:rPr>
        <w:t>代尔昆代水库工程建设任务为拦蓄</w:t>
      </w:r>
      <w:r>
        <w:rPr>
          <w:rFonts w:asciiTheme="minorEastAsia" w:hAnsiTheme="minorEastAsia" w:eastAsiaTheme="minorEastAsia"/>
          <w:highlight w:val="green"/>
        </w:rPr>
        <w:t>代尔昆代郭勒</w:t>
      </w:r>
      <w:r>
        <w:rPr>
          <w:rFonts w:hint="eastAsia" w:asciiTheme="minorEastAsia" w:hAnsiTheme="minorEastAsia" w:eastAsiaTheme="minorEastAsia"/>
          <w:highlight w:val="green"/>
        </w:rPr>
        <w:t>流域地表水补充淖毛湖镇用水缺口。工程建设运行对下马崖平原区降水入渗补给量、渠系渗漏补给量、田间入渗补给量、水库渗漏补给量、下马崖东部国界侧向补给量、山前基岩裂隙水侧向补给量和山前泉水入渗补给量没有影响；工程实施后，多年平均情况下，</w:t>
      </w:r>
      <w:r>
        <w:rPr>
          <w:rFonts w:asciiTheme="minorEastAsia" w:hAnsiTheme="minorEastAsia" w:eastAsiaTheme="minorEastAsia"/>
          <w:highlight w:val="green"/>
        </w:rPr>
        <w:t>代尔昆代郭勒</w:t>
      </w:r>
      <w:r>
        <w:rPr>
          <w:rFonts w:hint="eastAsia" w:asciiTheme="minorEastAsia" w:hAnsiTheme="minorEastAsia" w:eastAsiaTheme="minorEastAsia"/>
          <w:highlight w:val="green"/>
        </w:rPr>
        <w:t>河下泄河道水量</w:t>
      </w:r>
      <w:r>
        <w:rPr>
          <w:rFonts w:hint="eastAsia" w:asciiTheme="minorEastAsia" w:hAnsiTheme="minorEastAsia" w:eastAsiaTheme="minorEastAsia"/>
          <w:highlight w:val="green"/>
          <w:lang w:eastAsia="zh-CN"/>
        </w:rPr>
        <w:t>将</w:t>
      </w:r>
      <w:r>
        <w:rPr>
          <w:rFonts w:hint="eastAsia" w:asciiTheme="minorEastAsia" w:hAnsiTheme="minorEastAsia" w:eastAsiaTheme="minorEastAsia"/>
          <w:highlight w:val="green"/>
        </w:rPr>
        <w:t>减少4</w:t>
      </w:r>
      <w:r>
        <w:rPr>
          <w:rFonts w:asciiTheme="minorEastAsia" w:hAnsiTheme="minorEastAsia" w:eastAsiaTheme="minorEastAsia"/>
          <w:highlight w:val="green"/>
        </w:rPr>
        <w:t>3%</w:t>
      </w:r>
      <w:r>
        <w:rPr>
          <w:rFonts w:hint="eastAsia" w:asciiTheme="minorEastAsia" w:hAnsiTheme="minorEastAsia" w:eastAsiaTheme="minorEastAsia"/>
          <w:highlight w:val="green"/>
        </w:rPr>
        <w:t>，则哈尔里克山山区及山前暴雨洪流入渗对下马崖区地下水补给量</w:t>
      </w:r>
      <w:r>
        <w:rPr>
          <w:rFonts w:hint="eastAsia" w:asciiTheme="minorEastAsia" w:hAnsiTheme="minorEastAsia" w:eastAsiaTheme="minorEastAsia"/>
          <w:highlight w:val="green"/>
          <w:lang w:eastAsia="zh-CN"/>
        </w:rPr>
        <w:t>将</w:t>
      </w:r>
      <w:r>
        <w:rPr>
          <w:rFonts w:hint="eastAsia" w:asciiTheme="minorEastAsia" w:hAnsiTheme="minorEastAsia" w:eastAsiaTheme="minorEastAsia"/>
          <w:highlight w:val="green"/>
        </w:rPr>
        <w:t>随之有所减少，进而会对下马崖区地下水位、泉水溢出量、坎儿井溢出量等产生一定不利影响。</w:t>
      </w:r>
    </w:p>
    <w:p>
      <w:pPr>
        <w:ind w:firstLine="480"/>
        <w:rPr>
          <w:rFonts w:asciiTheme="minorEastAsia" w:hAnsiTheme="minorEastAsia" w:eastAsiaTheme="minorEastAsia"/>
        </w:rPr>
      </w:pPr>
      <w:r>
        <w:rPr>
          <w:rFonts w:hint="eastAsia" w:asciiTheme="minorEastAsia" w:hAnsiTheme="minorEastAsia" w:eastAsiaTheme="minorEastAsia"/>
          <w:highlight w:val="green"/>
        </w:rPr>
        <w:t>由现状调查可知，哈尔里克山山区及山前暴雨洪流入渗对下马崖区地下水补给量合计</w:t>
      </w:r>
      <w:r>
        <w:rPr>
          <w:rFonts w:asciiTheme="minorEastAsia" w:hAnsiTheme="minorEastAsia" w:eastAsiaTheme="minorEastAsia"/>
          <w:highlight w:val="green"/>
        </w:rPr>
        <w:t>389万m³</w:t>
      </w:r>
      <w:r>
        <w:rPr>
          <w:rFonts w:hint="eastAsia" w:asciiTheme="minorEastAsia" w:hAnsiTheme="minorEastAsia" w:eastAsiaTheme="minorEastAsia"/>
          <w:highlight w:val="green"/>
        </w:rPr>
        <w:t>，占下马崖平原区地下水补给总量的2</w:t>
      </w:r>
      <w:r>
        <w:rPr>
          <w:rFonts w:asciiTheme="minorEastAsia" w:hAnsiTheme="minorEastAsia" w:eastAsiaTheme="minorEastAsia"/>
          <w:highlight w:val="green"/>
        </w:rPr>
        <w:t>9%</w:t>
      </w:r>
      <w:r>
        <w:rPr>
          <w:rFonts w:hint="eastAsia" w:asciiTheme="minorEastAsia" w:hAnsiTheme="minorEastAsia" w:eastAsiaTheme="minorEastAsia"/>
          <w:highlight w:val="green"/>
        </w:rPr>
        <w:t>，其中代尔昆代郭勒河流域山区汇水面积占哈尔里克山山区汇水面积的5</w:t>
      </w:r>
      <w:r>
        <w:rPr>
          <w:rFonts w:asciiTheme="minorEastAsia" w:hAnsiTheme="minorEastAsia" w:eastAsiaTheme="minorEastAsia"/>
          <w:highlight w:val="green"/>
        </w:rPr>
        <w:t>%</w:t>
      </w:r>
      <w:r>
        <w:rPr>
          <w:rFonts w:hint="eastAsia" w:asciiTheme="minorEastAsia" w:hAnsiTheme="minorEastAsia" w:eastAsiaTheme="minorEastAsia"/>
          <w:highlight w:val="green"/>
        </w:rPr>
        <w:t>，因此本工程建设区控制水量仅占下马崖平原区地下水补给总量的</w:t>
      </w:r>
      <w:r>
        <w:rPr>
          <w:rFonts w:asciiTheme="minorEastAsia" w:hAnsiTheme="minorEastAsia" w:eastAsiaTheme="minorEastAsia"/>
          <w:highlight w:val="green"/>
        </w:rPr>
        <w:t>1.5%</w:t>
      </w:r>
      <w:r>
        <w:rPr>
          <w:rFonts w:hint="eastAsia" w:asciiTheme="minorEastAsia" w:hAnsiTheme="minorEastAsia" w:eastAsiaTheme="minorEastAsia"/>
          <w:highlight w:val="green"/>
        </w:rPr>
        <w:t>，且本工程建成后多年平均仍下泄河道约6</w:t>
      </w:r>
      <w:r>
        <w:rPr>
          <w:rFonts w:asciiTheme="minorEastAsia" w:hAnsiTheme="minorEastAsia" w:eastAsiaTheme="minorEastAsia"/>
          <w:highlight w:val="green"/>
        </w:rPr>
        <w:t>7%</w:t>
      </w:r>
      <w:r>
        <w:rPr>
          <w:rFonts w:hint="eastAsia" w:asciiTheme="minorEastAsia" w:hAnsiTheme="minorEastAsia" w:eastAsiaTheme="minorEastAsia"/>
          <w:highlight w:val="green"/>
        </w:rPr>
        <w:t>水量，故而本工程建设运行对下马崖区地下水补给量影响微小，对下马崖区地下水位、泉水溢出量、坎儿井溢出量等基本没有影响。</w:t>
      </w:r>
    </w:p>
    <w:p>
      <w:pPr>
        <w:pStyle w:val="4"/>
        <w:rPr>
          <w:rFonts w:ascii="黑体" w:hAnsi="黑体"/>
        </w:rPr>
      </w:pPr>
      <w:r>
        <w:rPr>
          <w:rFonts w:hint="eastAsia" w:ascii="黑体" w:hAnsi="黑体"/>
        </w:rPr>
        <w:t>10.3.</w:t>
      </w:r>
      <w:r>
        <w:rPr>
          <w:rFonts w:ascii="黑体" w:hAnsi="黑体"/>
        </w:rPr>
        <w:t xml:space="preserve">5 </w:t>
      </w:r>
      <w:r>
        <w:rPr>
          <w:rFonts w:hint="eastAsia" w:ascii="黑体" w:hAnsi="黑体"/>
        </w:rPr>
        <w:t>陆生生态</w:t>
      </w:r>
    </w:p>
    <w:p>
      <w:pPr>
        <w:ind w:firstLine="480"/>
        <w:rPr>
          <w:rFonts w:cs="Times New Roman"/>
        </w:rPr>
      </w:pPr>
      <w:r>
        <w:rPr>
          <w:rFonts w:cs="Times New Roman"/>
        </w:rPr>
        <w:t>（1）对区域生态完整性的影响</w:t>
      </w:r>
    </w:p>
    <w:p>
      <w:pPr>
        <w:ind w:firstLine="480"/>
        <w:rPr>
          <w:rFonts w:cs="Times New Roman"/>
        </w:rPr>
      </w:pPr>
      <w:r>
        <w:rPr>
          <w:rFonts w:hint="eastAsia" w:cs="Times New Roman"/>
        </w:rPr>
        <w:t>工程建成运行后，区域土地利用方式的改变，使评价区自然体系的平均净生产能力降为</w:t>
      </w:r>
      <w:r>
        <w:rPr>
          <w:rFonts w:cs="Times New Roman"/>
          <w:color w:val="C00000"/>
        </w:rPr>
        <w:t>0.26</w:t>
      </w:r>
      <w:r>
        <w:rPr>
          <w:rFonts w:hint="eastAsia" w:cs="Times New Roman"/>
          <w:color w:val="C00000"/>
        </w:rPr>
        <w:t>g/m</w:t>
      </w:r>
      <w:r>
        <w:rPr>
          <w:rFonts w:hint="eastAsia" w:cs="Times New Roman"/>
          <w:color w:val="C00000"/>
          <w:vertAlign w:val="superscript"/>
        </w:rPr>
        <w:t>2</w:t>
      </w:r>
      <w:r>
        <w:rPr>
          <w:rFonts w:hint="eastAsia" w:cs="Times New Roman"/>
          <w:color w:val="C00000"/>
        </w:rPr>
        <w:t>·a</w:t>
      </w:r>
      <w:r>
        <w:rPr>
          <w:rFonts w:hint="eastAsia" w:cs="Times New Roman"/>
        </w:rPr>
        <w:t>，变化不大，仍与现状年保持同等水平，因此对评价区生态体系恢复稳定性和阻抗稳定性影响均不大。</w:t>
      </w:r>
    </w:p>
    <w:p>
      <w:pPr>
        <w:ind w:firstLine="480"/>
        <w:rPr>
          <w:rFonts w:cs="Times New Roman"/>
        </w:rPr>
      </w:pPr>
      <w:r>
        <w:rPr>
          <w:rFonts w:cs="Times New Roman"/>
        </w:rPr>
        <w:t>（2）陆生植物、动物的影响</w:t>
      </w:r>
    </w:p>
    <w:p>
      <w:pPr>
        <w:ind w:firstLine="480"/>
        <w:rPr>
          <w:rFonts w:cs="Times New Roman"/>
        </w:rPr>
      </w:pPr>
      <w:r>
        <w:rPr>
          <w:rFonts w:hint="eastAsia" w:cs="Times New Roman"/>
        </w:rPr>
        <w:t>工程建设对陆生植物的影响主要表现为工程占地对其造成的一次性破坏以及由此产生的生物量损失，工程建成后，永久淹没、占地造成的生物量损失</w:t>
      </w:r>
      <w:r>
        <w:rPr>
          <w:rFonts w:hint="eastAsia" w:cs="Times New Roman"/>
          <w:color w:val="C00000"/>
        </w:rPr>
        <w:t>为</w:t>
      </w:r>
      <w:r>
        <w:rPr>
          <w:rFonts w:cs="Times New Roman"/>
          <w:color w:val="C00000"/>
        </w:rPr>
        <w:t>116.16</w:t>
      </w:r>
      <w:r>
        <w:rPr>
          <w:rFonts w:hint="eastAsia" w:cs="Times New Roman"/>
          <w:color w:val="C00000"/>
        </w:rPr>
        <w:t>t。</w:t>
      </w:r>
      <w:r>
        <w:rPr>
          <w:rFonts w:hint="eastAsia" w:cs="Times New Roman"/>
        </w:rPr>
        <w:t>工程</w:t>
      </w:r>
      <w:r>
        <w:rPr>
          <w:rFonts w:hint="eastAsia" w:cs="Times New Roman"/>
          <w:lang w:eastAsia="zh-CN"/>
        </w:rPr>
        <w:t>占用地区植被</w:t>
      </w:r>
      <w:r>
        <w:rPr>
          <w:rFonts w:hint="eastAsia" w:cs="Times New Roman"/>
        </w:rPr>
        <w:t>稀疏，主要为一些山地荒漠常见物种，无珍稀保护植物分布，因此工程建设对区域陆生植物影响较小。</w:t>
      </w:r>
    </w:p>
    <w:p>
      <w:pPr>
        <w:ind w:firstLine="480"/>
        <w:rPr>
          <w:rFonts w:cs="Times New Roman"/>
        </w:rPr>
      </w:pPr>
      <w:r>
        <w:rPr>
          <w:rFonts w:cs="Times New Roman"/>
        </w:rPr>
        <w:t>（3）对</w:t>
      </w:r>
      <w:r>
        <w:rPr>
          <w:rFonts w:hint="eastAsia" w:cs="Times New Roman"/>
        </w:rPr>
        <w:t>陆生动物</w:t>
      </w:r>
      <w:r>
        <w:rPr>
          <w:rFonts w:cs="Times New Roman"/>
        </w:rPr>
        <w:t>的影响</w:t>
      </w:r>
    </w:p>
    <w:p>
      <w:pPr>
        <w:ind w:firstLine="480"/>
        <w:rPr>
          <w:rFonts w:cs="Times New Roman"/>
        </w:rPr>
      </w:pPr>
      <w:r>
        <w:rPr>
          <w:rFonts w:hint="eastAsia" w:cs="Times New Roman"/>
        </w:rPr>
        <w:t>工程施工区域不涉及陆生保护动物的栖息地，工程占地、人员进驻、施工活动可能会使子午沙鼠、灰仓鼠等小型兽类、快步麻蜥、密点麻蜥等小型爬行类和燕隼、灰背隼、鸢等一些荒漠鸟类向水库淹没区及工程施工区以外迁移，但工程建设不会对其种群及数量产生大的影响。对工程区域分布的野生保护动物而言，工程占地区未发现鸟类营巢及保护动物栖息的巢穴，工程区也非保护动物的主要觅食区，对保护动物影响不大。同时，水库蓄水后，水域面积有所增加，淹没区内部分干旱的山谷</w:t>
      </w:r>
      <w:r>
        <w:rPr>
          <w:rFonts w:hint="eastAsia" w:cs="Times New Roman"/>
          <w:lang w:eastAsia="zh-CN"/>
        </w:rPr>
        <w:t>将</w:t>
      </w:r>
      <w:r>
        <w:rPr>
          <w:rFonts w:hint="eastAsia" w:cs="Times New Roman"/>
        </w:rPr>
        <w:t>部分被淹没或部分季节被淹没，区域水分条件可因河谷季节性积水得以改善，有利于植被的生长，对区域活动的野生动物生境有</w:t>
      </w:r>
      <w:r>
        <w:rPr>
          <w:rFonts w:hint="eastAsia" w:cs="Times New Roman"/>
          <w:lang w:eastAsia="zh-CN"/>
        </w:rPr>
        <w:t>一定的改善</w:t>
      </w:r>
      <w:r>
        <w:rPr>
          <w:rFonts w:hint="eastAsia" w:cs="Times New Roman"/>
        </w:rPr>
        <w:t>作用。</w:t>
      </w:r>
    </w:p>
    <w:p>
      <w:pPr>
        <w:ind w:firstLine="480"/>
        <w:rPr>
          <w:rFonts w:cs="Times New Roman"/>
        </w:rPr>
      </w:pPr>
      <w:r>
        <w:rPr>
          <w:rFonts w:cs="Times New Roman"/>
        </w:rPr>
        <w:t>（4）对生物多样性的影响</w:t>
      </w:r>
    </w:p>
    <w:p>
      <w:pPr>
        <w:ind w:firstLine="480"/>
      </w:pPr>
      <w:r>
        <w:rPr>
          <w:rFonts w:hint="eastAsia"/>
        </w:rPr>
        <w:t>由于工程淹没区河谷林草植被不发育，工程无重点保护植物分布，</w:t>
      </w:r>
      <w:r>
        <w:t>工程区周边类似生境广泛分布，</w:t>
      </w:r>
      <w:r>
        <w:rPr>
          <w:rFonts w:hint="eastAsia"/>
        </w:rPr>
        <w:t>工程淹没及占地不会导致某物种在评价区消失，对区域植物物种多样性影响小；工程建设区所处河段地处低山区，生境恶劣，工程区可见的野生动物主要是一些小型啮齿类动物和爬行类和活动范围广泛的鸟类，同时，工程区周围类似生境广泛，工程建设影响程度及范围均较小，不会对野生动物群落结构产生明显变化。因此，工程建成</w:t>
      </w:r>
      <w:r>
        <w:rPr>
          <w:rFonts w:hint="eastAsia"/>
          <w:lang w:eastAsia="zh-CN"/>
        </w:rPr>
        <w:t>运行后</w:t>
      </w:r>
      <w:r>
        <w:rPr>
          <w:rFonts w:hint="eastAsia"/>
        </w:rPr>
        <w:t>，区域陆生动物种类不会发生变化，陆生动物生物多样性维持现状。</w:t>
      </w:r>
    </w:p>
    <w:p>
      <w:pPr>
        <w:pStyle w:val="4"/>
        <w:rPr>
          <w:rFonts w:cs="Times New Roman"/>
        </w:rPr>
      </w:pPr>
      <w:r>
        <w:rPr>
          <w:rFonts w:cs="Times New Roman"/>
        </w:rPr>
        <w:t>10.3.6 对土壤环境的影响</w:t>
      </w:r>
    </w:p>
    <w:p>
      <w:pPr>
        <w:ind w:firstLine="480"/>
        <w:rPr>
          <w:rFonts w:cs="Times New Roman"/>
        </w:rPr>
      </w:pPr>
      <w:r>
        <w:rPr>
          <w:rFonts w:cs="Times New Roman"/>
        </w:rPr>
        <w:t>根据工程水文地质调查结果，水库不存在永久渗漏问题，不会导致水库周边区域地下水水位显著抬升，因此也不会产生土壤盐渍化问题库区。</w:t>
      </w:r>
    </w:p>
    <w:p>
      <w:pPr>
        <w:ind w:firstLine="480"/>
        <w:rPr>
          <w:rFonts w:cs="Times New Roman"/>
        </w:rPr>
      </w:pPr>
      <w:r>
        <w:rPr>
          <w:rFonts w:cs="Times New Roman"/>
        </w:rPr>
        <w:t>工程淹没及永久占地区域内的土壤</w:t>
      </w:r>
      <w:r>
        <w:rPr>
          <w:rFonts w:hint="eastAsia" w:cs="Times New Roman"/>
          <w:lang w:eastAsia="zh-CN"/>
        </w:rPr>
        <w:t>将</w:t>
      </w:r>
      <w:r>
        <w:rPr>
          <w:rFonts w:cs="Times New Roman"/>
        </w:rPr>
        <w:t>被水域和永久建筑取代，土壤的生产能力完全丧失，土壤的结构和理化性质完全改变。</w:t>
      </w:r>
      <w:r>
        <w:rPr>
          <w:rFonts w:hint="eastAsia" w:cs="Times New Roman"/>
          <w:lang w:eastAsia="zh-CN"/>
        </w:rPr>
        <w:t>临时占用地区</w:t>
      </w:r>
      <w:r>
        <w:rPr>
          <w:rFonts w:cs="Times New Roman"/>
        </w:rPr>
        <w:t>受土石方开挖、施工人员的践踏和施工机械的碾压影响，</w:t>
      </w:r>
      <w:r>
        <w:rPr>
          <w:rFonts w:hint="eastAsia" w:cs="Times New Roman"/>
          <w:lang w:eastAsia="zh-CN"/>
        </w:rPr>
        <w:t>将</w:t>
      </w:r>
      <w:r>
        <w:rPr>
          <w:rFonts w:cs="Times New Roman"/>
        </w:rPr>
        <w:t>使原表层土壤结构破坏，表层土壤在暴雨洪水或其它地表径流和风力的作用下，很容易发生水土流失，施工结束后，临时占地区域的地表</w:t>
      </w:r>
      <w:r>
        <w:rPr>
          <w:rFonts w:hint="eastAsia" w:cs="Times New Roman"/>
          <w:lang w:eastAsia="zh-CN"/>
        </w:rPr>
        <w:t>将</w:t>
      </w:r>
      <w:r>
        <w:rPr>
          <w:rFonts w:cs="Times New Roman"/>
        </w:rPr>
        <w:t>会逐渐恢复，恢复期和能够恢复的程度与扰动强度和采取的恢复措施等有关。</w:t>
      </w:r>
    </w:p>
    <w:p>
      <w:pPr>
        <w:ind w:firstLine="480"/>
        <w:rPr>
          <w:rFonts w:cs="Times New Roman"/>
        </w:rPr>
      </w:pPr>
      <w:r>
        <w:rPr>
          <w:rFonts w:cs="Times New Roman"/>
        </w:rPr>
        <w:t>工程运行期主要污染物为业主</w:t>
      </w:r>
      <w:r>
        <w:rPr>
          <w:rFonts w:hint="eastAsia" w:cs="Times New Roman"/>
          <w:lang w:eastAsia="zh-CN"/>
        </w:rPr>
        <w:t>承包商经营地生活</w:t>
      </w:r>
      <w:r>
        <w:rPr>
          <w:rFonts w:cs="Times New Roman"/>
        </w:rPr>
        <w:t>污水和厂房油污水，经处理达标后回用，不会引起土壤的盐化、酸化、碱化。</w:t>
      </w:r>
    </w:p>
    <w:p>
      <w:pPr>
        <w:pStyle w:val="4"/>
        <w:rPr>
          <w:rFonts w:ascii="黑体" w:hAnsi="黑体"/>
        </w:rPr>
      </w:pPr>
      <w:r>
        <w:rPr>
          <w:rFonts w:hint="eastAsia" w:ascii="黑体" w:hAnsi="黑体"/>
        </w:rPr>
        <w:t>10.3.</w:t>
      </w:r>
      <w:r>
        <w:rPr>
          <w:rFonts w:ascii="黑体" w:hAnsi="黑体"/>
        </w:rPr>
        <w:t xml:space="preserve">7 </w:t>
      </w:r>
      <w:r>
        <w:rPr>
          <w:rFonts w:hint="eastAsia" w:ascii="黑体" w:hAnsi="黑体"/>
        </w:rPr>
        <w:t>水生生态</w:t>
      </w:r>
    </w:p>
    <w:p>
      <w:pPr>
        <w:ind w:firstLine="480"/>
        <w:rPr>
          <w:rFonts w:asciiTheme="minorEastAsia" w:hAnsiTheme="minorEastAsia" w:eastAsiaTheme="minorEastAsia"/>
        </w:rPr>
      </w:pPr>
      <w:r>
        <w:rPr>
          <w:rFonts w:hint="eastAsia" w:asciiTheme="minorEastAsia" w:hAnsiTheme="minorEastAsia" w:eastAsiaTheme="minorEastAsia"/>
        </w:rPr>
        <w:t>本工程位于代尔昆代郭勒上游河段，主要由季节性融雪水、基岩裂隙水及夏季降雨补给，地表明流流程并不稳定，11月至次年4月无地表明流，7、8两月地表明流流程较长约18km，可接近出山口断面，5月、6月、9月、10月地表明流向上游逐渐缩短，出山口断面年均流量0.26m³/s。</w:t>
      </w:r>
    </w:p>
    <w:p>
      <w:pPr>
        <w:ind w:firstLine="480"/>
        <w:rPr>
          <w:rFonts w:asciiTheme="minorEastAsia" w:hAnsiTheme="minorEastAsia" w:eastAsiaTheme="minorEastAsia"/>
        </w:rPr>
      </w:pPr>
      <w:r>
        <w:rPr>
          <w:rFonts w:hint="eastAsia" w:asciiTheme="minorEastAsia" w:hAnsiTheme="minorEastAsia" w:eastAsiaTheme="minorEastAsia"/>
        </w:rPr>
        <w:t>（1）施工期水生生态</w:t>
      </w:r>
    </w:p>
    <w:p>
      <w:pPr>
        <w:ind w:firstLine="480"/>
        <w:rPr>
          <w:rFonts w:asciiTheme="minorEastAsia" w:hAnsiTheme="minorEastAsia" w:eastAsiaTheme="minorEastAsia"/>
        </w:rPr>
      </w:pPr>
      <w:r>
        <w:rPr>
          <w:rFonts w:hint="eastAsia" w:asciiTheme="minorEastAsia" w:hAnsiTheme="minorEastAsia" w:eastAsiaTheme="minorEastAsia"/>
        </w:rPr>
        <w:t>经现场调查、访谈调查及查阅资料均未发现代尔昆代郭勒河存在鱼类等重要水生生态保护目标，河道仅发现部分浮游植物和少量底栖动物存在。施工生产废水若直接排入河道，</w:t>
      </w:r>
      <w:r>
        <w:rPr>
          <w:rFonts w:hint="eastAsia" w:asciiTheme="minorEastAsia" w:hAnsiTheme="minorEastAsia" w:eastAsiaTheme="minorEastAsia"/>
          <w:lang w:eastAsia="zh-CN"/>
        </w:rPr>
        <w:t>将</w:t>
      </w:r>
      <w:r>
        <w:rPr>
          <w:rFonts w:hint="eastAsia" w:asciiTheme="minorEastAsia" w:hAnsiTheme="minorEastAsia" w:eastAsiaTheme="minorEastAsia"/>
        </w:rPr>
        <w:t>会影响河道水质，对水生生态生存环境产生不利影响，可能导致工程河段适应在较洁净水体栖息的底栖生物物种的减少，需加强施工管理。</w:t>
      </w:r>
    </w:p>
    <w:p>
      <w:pPr>
        <w:ind w:firstLine="480"/>
        <w:rPr>
          <w:rFonts w:asciiTheme="minorEastAsia" w:hAnsiTheme="minorEastAsia" w:eastAsiaTheme="minorEastAsia"/>
        </w:rPr>
      </w:pPr>
      <w:r>
        <w:rPr>
          <w:rFonts w:hint="eastAsia" w:asciiTheme="minorEastAsia" w:hAnsiTheme="minorEastAsia" w:eastAsiaTheme="minorEastAsia"/>
        </w:rPr>
        <w:t>（2）运行期水生生态</w:t>
      </w:r>
    </w:p>
    <w:p>
      <w:pPr>
        <w:ind w:firstLine="480"/>
        <w:rPr>
          <w:rFonts w:asciiTheme="minorEastAsia" w:hAnsiTheme="minorEastAsia" w:eastAsiaTheme="minorEastAsia"/>
        </w:rPr>
      </w:pPr>
      <w:r>
        <w:rPr>
          <w:rFonts w:hint="eastAsia" w:asciiTheme="minorEastAsia" w:hAnsiTheme="minorEastAsia" w:eastAsiaTheme="minorEastAsia"/>
        </w:rPr>
        <w:t>工程建成后，库尾以上河段水文情势及河道未发生变化，对水生生物基本无影响；库区河段</w:t>
      </w:r>
      <w:r>
        <w:rPr>
          <w:rFonts w:hint="eastAsia" w:asciiTheme="minorEastAsia" w:hAnsiTheme="minorEastAsia" w:eastAsiaTheme="minorEastAsia"/>
          <w:lang w:eastAsia="zh-CN"/>
        </w:rPr>
        <w:t>将</w:t>
      </w:r>
      <w:r>
        <w:rPr>
          <w:rFonts w:hint="eastAsia" w:asciiTheme="minorEastAsia" w:hAnsiTheme="minorEastAsia" w:eastAsiaTheme="minorEastAsia"/>
        </w:rPr>
        <w:t>河流形态转换为湖泊、水库形态，水面积增加、水深增大，流速减缓等，库区透明度和营养盐浓度增加，静水种类的浮游植物</w:t>
      </w:r>
      <w:r>
        <w:rPr>
          <w:rFonts w:hint="eastAsia" w:asciiTheme="minorEastAsia" w:hAnsiTheme="minorEastAsia" w:eastAsiaTheme="minorEastAsia"/>
          <w:lang w:eastAsia="zh-CN"/>
        </w:rPr>
        <w:t>将</w:t>
      </w:r>
      <w:r>
        <w:rPr>
          <w:rFonts w:hint="eastAsia" w:asciiTheme="minorEastAsia" w:hAnsiTheme="minorEastAsia" w:eastAsiaTheme="minorEastAsia"/>
        </w:rPr>
        <w:t>会大量繁殖；而喜溪流性种类则</w:t>
      </w:r>
      <w:r>
        <w:rPr>
          <w:rFonts w:hint="eastAsia" w:asciiTheme="minorEastAsia" w:hAnsiTheme="minorEastAsia" w:eastAsiaTheme="minorEastAsia"/>
          <w:lang w:eastAsia="zh-CN"/>
        </w:rPr>
        <w:t>将</w:t>
      </w:r>
      <w:r>
        <w:rPr>
          <w:rFonts w:hint="eastAsia" w:asciiTheme="minorEastAsia" w:hAnsiTheme="minorEastAsia" w:eastAsiaTheme="minorEastAsia"/>
        </w:rPr>
        <w:t>逐渐减少，并逐渐退缩至库尾及以上河段水域；腐生性细菌以及有机质腐屑大量出现，为浮游动物提供了充足的饵料，浮游动物总量较原河道有较大幅度的增长；同时，工程库区底栖动物现存量</w:t>
      </w:r>
      <w:r>
        <w:rPr>
          <w:rFonts w:hint="eastAsia" w:asciiTheme="minorEastAsia" w:hAnsiTheme="minorEastAsia" w:eastAsiaTheme="minorEastAsia"/>
          <w:lang w:eastAsia="zh-CN"/>
        </w:rPr>
        <w:t>将</w:t>
      </w:r>
      <w:r>
        <w:rPr>
          <w:rFonts w:hint="eastAsia" w:asciiTheme="minorEastAsia" w:hAnsiTheme="minorEastAsia" w:eastAsiaTheme="minorEastAsia"/>
        </w:rPr>
        <w:t>增加，优势种类</w:t>
      </w:r>
      <w:r>
        <w:rPr>
          <w:rFonts w:hint="eastAsia" w:asciiTheme="minorEastAsia" w:hAnsiTheme="minorEastAsia" w:eastAsiaTheme="minorEastAsia"/>
          <w:lang w:eastAsia="zh-CN"/>
        </w:rPr>
        <w:t>将</w:t>
      </w:r>
      <w:r>
        <w:rPr>
          <w:rFonts w:hint="eastAsia" w:asciiTheme="minorEastAsia" w:hAnsiTheme="minorEastAsia" w:eastAsiaTheme="minorEastAsia"/>
        </w:rPr>
        <w:t>发生演替，底栖动物种类增加。此外，工程库区河段原本无水生植物分布，建库后，由于水库水位波动变化以及库岸地质等原因，很难形成有规模的水生植物群落，预计水生植物的增加量非常有限。</w:t>
      </w:r>
    </w:p>
    <w:p>
      <w:pPr>
        <w:pStyle w:val="4"/>
        <w:rPr>
          <w:rFonts w:ascii="黑体" w:hAnsi="黑体"/>
        </w:rPr>
      </w:pPr>
      <w:r>
        <w:rPr>
          <w:rFonts w:hint="eastAsia" w:ascii="黑体" w:hAnsi="黑体"/>
        </w:rPr>
        <w:t>10.3.</w:t>
      </w:r>
      <w:r>
        <w:rPr>
          <w:rFonts w:ascii="黑体" w:hAnsi="黑体"/>
        </w:rPr>
        <w:t>8</w:t>
      </w:r>
      <w:r>
        <w:rPr>
          <w:rFonts w:hint="eastAsia" w:ascii="黑体" w:hAnsi="黑体"/>
        </w:rPr>
        <w:t xml:space="preserve"> 施工期环境影响</w:t>
      </w:r>
    </w:p>
    <w:p>
      <w:pPr>
        <w:ind w:firstLine="480"/>
      </w:pPr>
      <w:r>
        <w:rPr>
          <w:rFonts w:hint="eastAsia"/>
        </w:rPr>
        <w:t>（1）施工“三废一噪”的污染影响</w:t>
      </w:r>
    </w:p>
    <w:p>
      <w:pPr>
        <w:ind w:firstLine="480"/>
      </w:pPr>
      <w:r>
        <w:rPr>
          <w:rFonts w:hint="eastAsia"/>
        </w:rPr>
        <w:t>经预测，施工高峰期生产废水排放总量约347.2m</w:t>
      </w:r>
      <w:r>
        <w:rPr>
          <w:rFonts w:hint="eastAsia"/>
          <w:vertAlign w:val="superscript"/>
        </w:rPr>
        <w:t>3</w:t>
      </w:r>
      <w:r>
        <w:rPr>
          <w:rFonts w:hint="eastAsia"/>
        </w:rPr>
        <w:t>/d，生活污水排放量约21.08m</w:t>
      </w:r>
      <w:r>
        <w:rPr>
          <w:rFonts w:hint="eastAsia"/>
          <w:vertAlign w:val="superscript"/>
        </w:rPr>
        <w:t>3</w:t>
      </w:r>
      <w:r>
        <w:rPr>
          <w:rFonts w:hint="eastAsia"/>
        </w:rPr>
        <w:t>/d，如果不处理随意排放，对周边环境及水体产生影响。</w:t>
      </w:r>
    </w:p>
    <w:p>
      <w:pPr>
        <w:ind w:firstLine="480"/>
      </w:pPr>
      <w:r>
        <w:rPr>
          <w:rFonts w:hint="eastAsia"/>
        </w:rPr>
        <w:t>施工期大气污染源主要为扬尘、粉尘和燃油废气，施工噪声主要来自各类施工机械，主要对施工人员产生影响，施工结束后影响消失。</w:t>
      </w:r>
    </w:p>
    <w:p>
      <w:pPr>
        <w:ind w:firstLine="480"/>
      </w:pPr>
      <w:r>
        <w:rPr>
          <w:rFonts w:hint="eastAsia"/>
        </w:rPr>
        <w:t>工程</w:t>
      </w:r>
      <w:r>
        <w:rPr>
          <w:rFonts w:hint="eastAsia"/>
          <w:lang w:eastAsia="zh-CN"/>
        </w:rPr>
        <w:t>将</w:t>
      </w:r>
      <w:r>
        <w:rPr>
          <w:rFonts w:hint="eastAsia"/>
        </w:rPr>
        <w:t>产生临时弃渣26.96万m</w:t>
      </w:r>
      <w:r>
        <w:rPr>
          <w:rFonts w:hint="eastAsia"/>
          <w:vertAlign w:val="superscript"/>
        </w:rPr>
        <w:t>3</w:t>
      </w:r>
      <w:r>
        <w:rPr>
          <w:rFonts w:hint="eastAsia"/>
        </w:rPr>
        <w:t>，大量弃渣若随意堆放会造成水土流失。施工生活区施工高峰期日产生活垃圾约0.2t，若处理不当，会影响施工区景观及环境，并威胁人群健康。</w:t>
      </w:r>
    </w:p>
    <w:p>
      <w:pPr>
        <w:ind w:firstLine="480"/>
        <w:rPr>
          <w:highlight w:val="yellow"/>
        </w:rPr>
      </w:pPr>
      <w:r>
        <w:rPr>
          <w:rFonts w:hint="eastAsia"/>
          <w:highlight w:val="yellow"/>
        </w:rPr>
        <w:t>（2）施工对生态环境的影响</w:t>
      </w:r>
    </w:p>
    <w:p>
      <w:pPr>
        <w:ind w:firstLine="480"/>
        <w:rPr>
          <w:rFonts w:cs="Times New Roman"/>
        </w:rPr>
      </w:pPr>
      <w:r>
        <w:rPr>
          <w:rFonts w:cs="Times New Roman"/>
        </w:rPr>
        <w:t>经计算工程施工占地造成的</w:t>
      </w:r>
      <w:r>
        <w:rPr>
          <w:rFonts w:cs="Times New Roman"/>
          <w:color w:val="C00000"/>
        </w:rPr>
        <w:t>生物量损失约116.16t。</w:t>
      </w:r>
      <w:r>
        <w:rPr>
          <w:rFonts w:cs="Times New Roman"/>
        </w:rPr>
        <w:t>施工活动从根本上改变了永久占地区地表覆盖物的类型和性质，并改变了土壤的结构和物理性质，临时占地区施工结束后采取措施可逐步恢复。</w:t>
      </w:r>
    </w:p>
    <w:p>
      <w:pPr>
        <w:ind w:firstLine="480"/>
      </w:pPr>
      <w:r>
        <w:rPr>
          <w:rFonts w:hint="eastAsia"/>
        </w:rPr>
        <w:t>（3）施工期社会环境影响</w:t>
      </w:r>
    </w:p>
    <w:p>
      <w:pPr>
        <w:ind w:firstLine="480"/>
      </w:pPr>
      <w:r>
        <w:rPr>
          <w:rFonts w:hint="eastAsia"/>
        </w:rPr>
        <w:t>本工程施工高峰期施工人数310人，共布设1个施工生活区，施工人员来自四面八方，施工生活区内人口密度增大、人员来往频繁，若不注意防疫和环境卫生，容易引发传染病的传播和流行，也易引发其他鼠媒和虫媒传染疾病。</w:t>
      </w:r>
    </w:p>
    <w:p>
      <w:pPr>
        <w:ind w:firstLine="480"/>
      </w:pPr>
      <w:r>
        <w:rPr>
          <w:rFonts w:hint="eastAsia"/>
        </w:rPr>
        <w:t>此外，由于本工程施工需大量劳动力，除专业技术工人外，其余部分劳动力可从当地招募，从而增加当地居民的临时就业机会。</w:t>
      </w:r>
    </w:p>
    <w:p>
      <w:pPr>
        <w:pStyle w:val="4"/>
        <w:rPr>
          <w:rFonts w:ascii="黑体" w:hAnsi="黑体"/>
        </w:rPr>
      </w:pPr>
      <w:r>
        <w:rPr>
          <w:rFonts w:hint="eastAsia" w:ascii="黑体" w:hAnsi="黑体"/>
        </w:rPr>
        <w:t>10.3.</w:t>
      </w:r>
      <w:r>
        <w:rPr>
          <w:rFonts w:ascii="黑体" w:hAnsi="黑体"/>
        </w:rPr>
        <w:t xml:space="preserve">9 </w:t>
      </w:r>
      <w:r>
        <w:rPr>
          <w:rFonts w:hint="eastAsia" w:ascii="黑体" w:hAnsi="黑体"/>
        </w:rPr>
        <w:t>社会环境影响</w:t>
      </w:r>
    </w:p>
    <w:p>
      <w:pPr>
        <w:ind w:firstLine="480"/>
      </w:pPr>
      <w:r>
        <w:rPr>
          <w:rFonts w:hint="eastAsia"/>
        </w:rPr>
        <w:t>根据施工场内、外交通设计，本工程施工期间对外交通主要依托现有高速G7、省道303和乡镇道路。施工高峰期车流量增加，可能造成部分时段上述道路、特别是通行能力有限的县乡集镇道路交通拥堵，给当地居民出行、生产和生活带来一定影响。工程施工可从当地招募普通工种，可增加当地居民收入。</w:t>
      </w:r>
    </w:p>
    <w:p>
      <w:pPr>
        <w:ind w:firstLine="480"/>
      </w:pPr>
    </w:p>
    <w:p>
      <w:pPr>
        <w:pStyle w:val="3"/>
        <w:jc w:val="both"/>
        <w:rPr>
          <w:rFonts w:ascii="黑体" w:hAnsi="黑体"/>
          <w:sz w:val="32"/>
        </w:rPr>
      </w:pPr>
      <w:bookmarkStart w:id="156" w:name="_Toc180751401"/>
      <w:r>
        <w:rPr>
          <w:rFonts w:hint="eastAsia" w:ascii="黑体" w:hAnsi="黑体"/>
          <w:sz w:val="32"/>
        </w:rPr>
        <w:t>10.4</w:t>
      </w:r>
      <w:r>
        <w:rPr>
          <w:rFonts w:ascii="黑体" w:hAnsi="黑体"/>
          <w:sz w:val="32"/>
        </w:rPr>
        <w:t xml:space="preserve"> </w:t>
      </w:r>
      <w:r>
        <w:rPr>
          <w:rFonts w:hint="eastAsia" w:ascii="黑体" w:hAnsi="黑体"/>
          <w:sz w:val="32"/>
        </w:rPr>
        <w:t>环境保护对策措施</w:t>
      </w:r>
      <w:bookmarkEnd w:id="156"/>
    </w:p>
    <w:p>
      <w:pPr>
        <w:pStyle w:val="4"/>
        <w:rPr>
          <w:rFonts w:ascii="黑体" w:hAnsi="黑体"/>
        </w:rPr>
      </w:pPr>
      <w:r>
        <w:rPr>
          <w:rFonts w:hint="eastAsia" w:ascii="黑体" w:hAnsi="黑体"/>
        </w:rPr>
        <w:t>10.4.1</w:t>
      </w:r>
      <w:r>
        <w:rPr>
          <w:rFonts w:ascii="黑体" w:hAnsi="黑体"/>
        </w:rPr>
        <w:t xml:space="preserve"> </w:t>
      </w:r>
      <w:r>
        <w:rPr>
          <w:rFonts w:hint="eastAsia" w:ascii="黑体" w:hAnsi="黑体"/>
        </w:rPr>
        <w:t>施工期水环境保护措施</w:t>
      </w:r>
    </w:p>
    <w:p>
      <w:pPr>
        <w:ind w:firstLine="480"/>
        <w:rPr>
          <w:rFonts w:asciiTheme="minorEastAsia" w:hAnsiTheme="minorEastAsia" w:eastAsiaTheme="minorEastAsia"/>
        </w:rPr>
      </w:pPr>
      <w:r>
        <w:rPr>
          <w:rFonts w:hint="eastAsia" w:asciiTheme="minorEastAsia" w:hAnsiTheme="minorEastAsia" w:eastAsiaTheme="minorEastAsia"/>
        </w:rPr>
        <w:t>采用絮凝沉淀法对砂石料加工废水进行处理；采用预沉+沉淀池二级或三级沉淀处理工艺对混凝土拌和废水进行处理；机械修配保养场含油废水经除油沉淀后，废油交由具有处理资质单位处置，清水回用于机械或零部件的再次冲洗，或用于周边施工区或道路洒水降尘；洞室排水经沉淀池收集沉淀处理后自然蒸发消耗；基坑废水投加聚丙稀酰胺的混合物处理后可用于混凝土拌和或砂石料加工系统生产用水。施工期施工生活区采用一体化成套污水处理设施，处理后的水夏季用于荒漠草场灌溉，冬季储存。</w:t>
      </w:r>
    </w:p>
    <w:p>
      <w:pPr>
        <w:ind w:firstLine="480"/>
        <w:rPr>
          <w:rFonts w:asciiTheme="minorEastAsia" w:hAnsiTheme="minorEastAsia" w:eastAsiaTheme="minorEastAsia"/>
        </w:rPr>
      </w:pPr>
      <w:r>
        <w:rPr>
          <w:rFonts w:hint="eastAsia" w:asciiTheme="minorEastAsia" w:hAnsiTheme="minorEastAsia" w:eastAsiaTheme="minorEastAsia"/>
        </w:rPr>
        <w:t>对施工区、施工道路定期洒水降尘；对施工人员进行劳动保护。设立垃圾收集点，生活垃圾拉至伊吾县生活垃圾填埋场，按要求进行无害处理，避免污染环境。</w:t>
      </w:r>
    </w:p>
    <w:p>
      <w:pPr>
        <w:pStyle w:val="4"/>
      </w:pPr>
      <w:r>
        <w:rPr>
          <w:rFonts w:hint="eastAsia" w:ascii="黑体" w:hAnsi="黑体"/>
        </w:rPr>
        <w:t>10.4.2</w:t>
      </w:r>
      <w:r>
        <w:rPr>
          <w:rFonts w:ascii="黑体" w:hAnsi="黑体"/>
        </w:rPr>
        <w:t xml:space="preserve"> </w:t>
      </w:r>
      <w:r>
        <w:rPr>
          <w:rFonts w:hint="eastAsia" w:ascii="黑体" w:hAnsi="黑体"/>
        </w:rPr>
        <w:t>运行期地表水水环境保护措施</w:t>
      </w:r>
    </w:p>
    <w:p>
      <w:pPr>
        <w:ind w:firstLine="480"/>
        <w:rPr>
          <w:rFonts w:asciiTheme="minorEastAsia" w:hAnsiTheme="minorEastAsia" w:eastAsiaTheme="minorEastAsia"/>
        </w:rPr>
      </w:pPr>
      <w:r>
        <w:rPr>
          <w:rFonts w:hint="eastAsia" w:asciiTheme="minorEastAsia" w:hAnsiTheme="minorEastAsia" w:eastAsiaTheme="minorEastAsia"/>
        </w:rPr>
        <w:t>（1）生态流量保障措施</w:t>
      </w:r>
    </w:p>
    <w:p>
      <w:pPr>
        <w:ind w:firstLine="480"/>
        <w:rPr>
          <w:rFonts w:cs="Times New Roman"/>
        </w:rPr>
      </w:pPr>
      <w:r>
        <w:rPr>
          <w:rFonts w:hint="eastAsia" w:ascii="宋体" w:hAnsi="宋体" w:cs="Times New Roman"/>
        </w:rPr>
        <w:t>①</w:t>
      </w:r>
      <w:r>
        <w:rPr>
          <w:rFonts w:hint="eastAsia" w:cs="Times New Roman"/>
        </w:rPr>
        <w:t>可研阶段生态流量的确定</w:t>
      </w:r>
    </w:p>
    <w:p>
      <w:pPr>
        <w:ind w:firstLine="480"/>
        <w:rPr>
          <w:rFonts w:cs="Times New Roman"/>
        </w:rPr>
      </w:pPr>
      <w:r>
        <w:rPr>
          <w:rFonts w:hint="eastAsia" w:cs="Times New Roman"/>
        </w:rPr>
        <w:t>根据《新疆重要江河湖泊生态水量保障方案》及《新疆内陆河湖基本生态水量（流量）确定技术指南（试行）》，确定代尔昆代郭勒河流域基本生态水量保证率取85%。</w:t>
      </w:r>
    </w:p>
    <w:p>
      <w:pPr>
        <w:ind w:firstLine="480"/>
        <w:rPr>
          <w:rFonts w:cs="Times New Roman"/>
        </w:rPr>
      </w:pPr>
      <w:r>
        <w:rPr>
          <w:rFonts w:hint="eastAsia" w:cs="Times New Roman"/>
        </w:rPr>
        <w:t>根据《水利水电工程生态流量计算与泄放设计规范》（SL/T820-2023）附录A表A.1.3，代尔昆代郭勒河河道内生态状态取为一般。</w:t>
      </w:r>
    </w:p>
    <w:p>
      <w:pPr>
        <w:ind w:firstLine="480"/>
        <w:rPr>
          <w:rFonts w:cs="Times New Roman"/>
        </w:rPr>
      </w:pPr>
      <w:r>
        <w:rPr>
          <w:rFonts w:hint="eastAsia" w:cs="Times New Roman"/>
        </w:rPr>
        <w:t>基于以上分析，代尔昆代水库坝址断面生态流量取值为坝址断面多年平均来水条件下各月月均天然流量的10%；代尔昆代水库坝址断面多年平均径流量为834.4万m</w:t>
      </w:r>
      <w:r>
        <w:rPr>
          <w:rFonts w:hint="eastAsia" w:cs="Times New Roman"/>
          <w:vertAlign w:val="superscript"/>
        </w:rPr>
        <w:t>3</w:t>
      </w:r>
      <w:r>
        <w:rPr>
          <w:rFonts w:hint="eastAsia" w:cs="Times New Roman"/>
        </w:rPr>
        <w:t>，则生态水量为</w:t>
      </w:r>
      <w:r>
        <w:rPr>
          <w:rFonts w:cs="Times New Roman"/>
        </w:rPr>
        <w:t>83.44</w:t>
      </w:r>
      <w:r>
        <w:rPr>
          <w:rFonts w:hint="eastAsia" w:cs="Times New Roman"/>
        </w:rPr>
        <w:t>万m</w:t>
      </w:r>
      <w:r>
        <w:rPr>
          <w:rFonts w:hint="eastAsia" w:cs="Times New Roman"/>
          <w:vertAlign w:val="superscript"/>
        </w:rPr>
        <w:t>3</w:t>
      </w:r>
      <w:r>
        <w:rPr>
          <w:rFonts w:hint="eastAsia" w:cs="Times New Roman"/>
        </w:rPr>
        <w:t>。</w:t>
      </w:r>
    </w:p>
    <w:p>
      <w:pPr>
        <w:ind w:firstLine="480"/>
        <w:rPr>
          <w:rFonts w:cs="Times New Roman"/>
        </w:rPr>
      </w:pPr>
      <w:r>
        <w:rPr>
          <w:rFonts w:hint="eastAsia" w:ascii="宋体" w:hAnsi="宋体" w:cs="Times New Roman"/>
        </w:rPr>
        <w:t>②</w:t>
      </w:r>
      <w:r>
        <w:rPr>
          <w:rFonts w:hint="eastAsia" w:cs="Times New Roman"/>
        </w:rPr>
        <w:t>优化调整建议</w:t>
      </w:r>
    </w:p>
    <w:p>
      <w:pPr>
        <w:ind w:firstLine="480"/>
        <w:rPr>
          <w:rFonts w:cs="Times New Roman"/>
        </w:rPr>
      </w:pPr>
      <w:r>
        <w:rPr>
          <w:rFonts w:hint="eastAsia" w:cs="Times New Roman"/>
        </w:rPr>
        <w:t>代尔昆代郭勒河属于季节性河流，流域多年平均径流量8</w:t>
      </w:r>
      <w:r>
        <w:rPr>
          <w:rFonts w:cs="Times New Roman"/>
        </w:rPr>
        <w:t>34</w:t>
      </w:r>
      <w:r>
        <w:rPr>
          <w:rFonts w:hint="eastAsia" w:cs="Times New Roman"/>
        </w:rPr>
        <w:t>万m</w:t>
      </w:r>
      <w:r>
        <w:rPr>
          <w:rFonts w:hint="eastAsia" w:cs="Times New Roman"/>
          <w:vertAlign w:val="superscript"/>
        </w:rPr>
        <w:t>3</w:t>
      </w:r>
      <w:r>
        <w:rPr>
          <w:rFonts w:hint="eastAsia" w:cs="Times New Roman"/>
        </w:rPr>
        <w:t>，多年平均流量</w:t>
      </w:r>
      <w:r>
        <w:rPr>
          <w:rFonts w:cs="Times New Roman"/>
          <w:color w:val="FF0000"/>
        </w:rPr>
        <w:t>0.26</w:t>
      </w:r>
      <w:r>
        <w:rPr>
          <w:rFonts w:hint="eastAsia" w:cs="Times New Roman"/>
          <w:color w:val="FF0000"/>
        </w:rPr>
        <w:t>m</w:t>
      </w:r>
      <w:r>
        <w:rPr>
          <w:rFonts w:hint="eastAsia" w:cs="Times New Roman"/>
          <w:color w:val="FF0000"/>
          <w:vertAlign w:val="superscript"/>
        </w:rPr>
        <w:t>3</w:t>
      </w:r>
      <w:r>
        <w:rPr>
          <w:rFonts w:hint="eastAsia" w:cs="Times New Roman"/>
          <w:color w:val="FF0000"/>
        </w:rPr>
        <w:t>/s</w:t>
      </w:r>
      <w:r>
        <w:rPr>
          <w:rFonts w:hint="eastAsia" w:cs="Times New Roman"/>
        </w:rPr>
        <w:t>。流域规划阶段，哈密市水利局根据《新疆内陆河湖基本生态水量（流量）确定技术指南（试行）》，结合流域特点，确定代尔昆代流域基本生态水量保证率取</w:t>
      </w:r>
      <w:r>
        <w:rPr>
          <w:rFonts w:cs="Times New Roman"/>
        </w:rPr>
        <w:t>85%</w:t>
      </w:r>
      <w:r>
        <w:rPr>
          <w:rFonts w:hint="eastAsia" w:cs="Times New Roman"/>
        </w:rPr>
        <w:t>，下泄基本生态水量合计1</w:t>
      </w:r>
      <w:r>
        <w:rPr>
          <w:rFonts w:cs="Times New Roman"/>
        </w:rPr>
        <w:t>20.74</w:t>
      </w:r>
      <w:r>
        <w:rPr>
          <w:rFonts w:hint="eastAsia" w:cs="Times New Roman"/>
        </w:rPr>
        <w:t>万m</w:t>
      </w:r>
      <w:r>
        <w:rPr>
          <w:rFonts w:cs="Times New Roman"/>
          <w:vertAlign w:val="superscript"/>
        </w:rPr>
        <w:t>3</w:t>
      </w:r>
      <w:r>
        <w:rPr>
          <w:rFonts w:hint="eastAsia" w:cs="Times New Roman"/>
        </w:rPr>
        <w:t>，为多年平均径流量的1</w:t>
      </w:r>
      <w:r>
        <w:rPr>
          <w:rFonts w:cs="Times New Roman"/>
        </w:rPr>
        <w:t>4.47</w:t>
      </w:r>
      <w:r>
        <w:rPr>
          <w:rFonts w:hint="eastAsia" w:cs="Times New Roman"/>
        </w:rPr>
        <w:t>%，并取得哈密市生态环境局同意，详见附件《关于对＜关于征求伊吾县代尔昆代郭勒河流域生态基流相关事宜意见建议的函＞复函》。</w:t>
      </w:r>
    </w:p>
    <w:p>
      <w:pPr>
        <w:ind w:firstLine="480"/>
        <w:rPr>
          <w:rFonts w:cs="Times New Roman"/>
        </w:rPr>
      </w:pPr>
      <w:r>
        <w:rPr>
          <w:rFonts w:hint="eastAsia" w:cs="Times New Roman"/>
        </w:rPr>
        <w:t>流域规划环评阶段对生态流量进行细化提出，代尔昆代水库坝址断面生态流量保证率为p=85%，具体要求为：代尔昆代水库坝址断面（1～5月、10～12月）下泄生态流量不低于多年平均流量的10%；6月、9月下泄生态流量不低于多年平均流量的19%；汛期7月、8月下泄生态流量不低于多年平均流量的30%。后期在淖毛湖区域工业用水有替代水源或通过提高工业用水重复利用率、灌溉节水效率后，适当减少代尔昆代水库向淖毛湖区域供水，使代尔昆代郭勒流域6月、9月下泄生态水量达到多年平均天然流量的30%。规划环评审查意见提出水库工程坝址断面下泄生态流量：丰水期不小于多年平均天然径流量的30%、枯水期不小于多年平均天然径流量的10%。</w:t>
      </w:r>
    </w:p>
    <w:p>
      <w:pPr>
        <w:ind w:firstLine="480"/>
        <w:rPr>
          <w:rFonts w:cs="Times New Roman"/>
        </w:rPr>
      </w:pPr>
      <w:r>
        <w:rPr>
          <w:rFonts w:hint="eastAsia" w:cs="Times New Roman"/>
        </w:rPr>
        <w:t>经对比分析，可研阶段代尔昆代水库坝址断面生态流量下泄要求不符合流域规划环评。</w:t>
      </w:r>
    </w:p>
    <w:p>
      <w:pPr>
        <w:ind w:firstLine="480"/>
        <w:rPr>
          <w:rFonts w:cs="Times New Roman"/>
        </w:rPr>
      </w:pPr>
      <w:r>
        <w:rPr>
          <w:rFonts w:hint="eastAsia" w:cs="Times New Roman"/>
        </w:rPr>
        <w:t>本次评价提出，下阶段优化代尔昆代水库规模论证及调度运行，重点确保生态流量年下泄总量符合流域规划环评阶段生态流量下泄总量1</w:t>
      </w:r>
      <w:r>
        <w:rPr>
          <w:rFonts w:cs="Times New Roman"/>
        </w:rPr>
        <w:t>24.13</w:t>
      </w:r>
      <w:r>
        <w:rPr>
          <w:rFonts w:hint="eastAsia" w:cs="Times New Roman"/>
        </w:rPr>
        <w:t>万m</w:t>
      </w:r>
      <w:r>
        <w:rPr>
          <w:rFonts w:cs="Times New Roman"/>
          <w:vertAlign w:val="superscript"/>
        </w:rPr>
        <w:t>3</w:t>
      </w:r>
      <w:r>
        <w:rPr>
          <w:rFonts w:hint="eastAsia" w:cs="Times New Roman"/>
        </w:rPr>
        <w:t>的要求，其次水库坝址断面各月生态流量下泄尽可能符合流域规划环评提出的生态流量泄放过程。</w:t>
      </w:r>
    </w:p>
    <w:p>
      <w:pPr>
        <w:ind w:firstLine="480"/>
        <w:rPr>
          <w:rFonts w:cs="Times New Roman"/>
        </w:rPr>
      </w:pPr>
      <w:r>
        <w:rPr>
          <w:rFonts w:hint="eastAsia" w:cs="Times New Roman"/>
        </w:rPr>
        <w:t>严格落实流域规划环评要求，项目实施过程中，通过提高淖毛湖区域各业用水效率，加强中水回用，以降低地区用水总量，从而适当减少代尔昆代水库向淖毛湖区域供水，确保代尔昆代水库生态流量下泄过程及总量符合流域规划环评要求。</w:t>
      </w:r>
    </w:p>
    <w:p>
      <w:pPr>
        <w:ind w:firstLine="480"/>
        <w:rPr>
          <w:rFonts w:cs="Times New Roman"/>
        </w:rPr>
      </w:pPr>
      <w:r>
        <w:rPr>
          <w:rFonts w:hint="eastAsia" w:cs="Times New Roman"/>
        </w:rPr>
        <w:t>可研阶段，主体设计拟通过放水管泄放生态流量及供水，放水管布设在导流隧洞底部，其管道末端阀井内布置了</w:t>
      </w:r>
      <w:r>
        <w:rPr>
          <w:rFonts w:cs="Times New Roman"/>
        </w:rPr>
        <w:t>生态放水管（DN200</w:t>
      </w:r>
      <w:r>
        <w:rPr>
          <w:rFonts w:hint="eastAsia" w:cs="Times New Roman"/>
        </w:rPr>
        <w:t>mm、</w:t>
      </w:r>
      <w:r>
        <w:rPr>
          <w:rFonts w:cs="Times New Roman"/>
        </w:rPr>
        <w:t>设计流量0.068m</w:t>
      </w:r>
      <w:r>
        <w:rPr>
          <w:rFonts w:cs="Times New Roman"/>
          <w:vertAlign w:val="superscript"/>
        </w:rPr>
        <w:t>3</w:t>
      </w:r>
      <w:r>
        <w:rPr>
          <w:rFonts w:cs="Times New Roman"/>
        </w:rPr>
        <w:t>/s）</w:t>
      </w:r>
      <w:r>
        <w:rPr>
          <w:rFonts w:hint="eastAsia" w:cs="Times New Roman"/>
        </w:rPr>
        <w:t>，经复核生态放水管设计流量偏小无法泄放3</w:t>
      </w:r>
      <w:r>
        <w:rPr>
          <w:rFonts w:cs="Times New Roman"/>
        </w:rPr>
        <w:t>0</w:t>
      </w:r>
      <w:r>
        <w:rPr>
          <w:rFonts w:hint="eastAsia" w:cs="Times New Roman"/>
        </w:rPr>
        <w:t>%生态流量。本次工程环评提出，适当扩大生态放水管设计规模，使其能下泄3</w:t>
      </w:r>
      <w:r>
        <w:rPr>
          <w:rFonts w:cs="Times New Roman"/>
        </w:rPr>
        <w:t>0</w:t>
      </w:r>
      <w:r>
        <w:rPr>
          <w:rFonts w:hint="eastAsia" w:cs="Times New Roman"/>
        </w:rPr>
        <w:t>%生态流量。</w:t>
      </w:r>
    </w:p>
    <w:p>
      <w:pPr>
        <w:ind w:firstLine="480"/>
        <w:rPr>
          <w:rFonts w:asciiTheme="minorEastAsia" w:hAnsiTheme="minorEastAsia" w:eastAsiaTheme="minorEastAsia"/>
        </w:rPr>
      </w:pPr>
      <w:r>
        <w:rPr>
          <w:rFonts w:hint="eastAsia" w:asciiTheme="minorEastAsia" w:hAnsiTheme="minorEastAsia" w:eastAsiaTheme="minorEastAsia"/>
        </w:rPr>
        <w:t>（2）水质保护措施</w:t>
      </w:r>
    </w:p>
    <w:p>
      <w:pPr>
        <w:ind w:firstLine="480"/>
        <w:rPr>
          <w:rFonts w:asciiTheme="minorEastAsia" w:hAnsiTheme="minorEastAsia" w:eastAsiaTheme="minorEastAsia"/>
        </w:rPr>
      </w:pPr>
      <w:r>
        <w:rPr>
          <w:rFonts w:hint="eastAsia" w:asciiTheme="minorEastAsia" w:hAnsiTheme="minorEastAsia" w:eastAsiaTheme="minorEastAsia"/>
        </w:rPr>
        <w:t>①工程管理区生活污水治理措施</w:t>
      </w:r>
    </w:p>
    <w:p>
      <w:pPr>
        <w:ind w:firstLine="480"/>
        <w:rPr>
          <w:rFonts w:asciiTheme="minorEastAsia" w:hAnsiTheme="minorEastAsia" w:eastAsiaTheme="minorEastAsia"/>
        </w:rPr>
      </w:pPr>
      <w:r>
        <w:rPr>
          <w:rFonts w:hint="eastAsia" w:asciiTheme="minorEastAsia" w:hAnsiTheme="minorEastAsia" w:eastAsiaTheme="minorEastAsia"/>
        </w:rPr>
        <w:t>采用污水成套处理设备，并设置一名管理人员，处理后的污水用于站内绿化灌溉或周边草地浇灌，冬季蓄存夏季浇灌，不外排。</w:t>
      </w:r>
    </w:p>
    <w:p>
      <w:pPr>
        <w:ind w:firstLine="480"/>
        <w:rPr>
          <w:rFonts w:asciiTheme="minorEastAsia" w:hAnsiTheme="minorEastAsia" w:eastAsiaTheme="minorEastAsia"/>
        </w:rPr>
      </w:pPr>
      <w:r>
        <w:rPr>
          <w:rFonts w:hint="eastAsia" w:asciiTheme="minorEastAsia" w:hAnsiTheme="minorEastAsia" w:eastAsiaTheme="minorEastAsia"/>
        </w:rPr>
        <w:t>②运行期水质保护措施</w:t>
      </w:r>
    </w:p>
    <w:p>
      <w:pPr>
        <w:ind w:firstLine="480"/>
        <w:rPr>
          <w:rFonts w:asciiTheme="minorEastAsia" w:hAnsiTheme="minorEastAsia" w:eastAsiaTheme="minorEastAsia"/>
        </w:rPr>
      </w:pPr>
      <w:r>
        <w:rPr>
          <w:rFonts w:hint="eastAsia" w:asciiTheme="minorEastAsia" w:hAnsiTheme="minorEastAsia" w:eastAsiaTheme="minorEastAsia"/>
        </w:rPr>
        <w:t>A.根据《水电工程水库库底清理设计规范》（DL/T 5381-2007）的规定，在代尔昆代水库蓄水前必须对库底进行清理。</w:t>
      </w:r>
    </w:p>
    <w:p>
      <w:pPr>
        <w:ind w:firstLine="480"/>
        <w:rPr>
          <w:rFonts w:asciiTheme="minorEastAsia" w:hAnsiTheme="minorEastAsia" w:eastAsiaTheme="minorEastAsia"/>
        </w:rPr>
      </w:pPr>
      <w:r>
        <w:rPr>
          <w:rFonts w:hint="eastAsia" w:asciiTheme="minorEastAsia" w:hAnsiTheme="minorEastAsia" w:eastAsiaTheme="minorEastAsia"/>
        </w:rPr>
        <w:t>B.运行期加强库区水质保护</w:t>
      </w:r>
    </w:p>
    <w:p>
      <w:pPr>
        <w:ind w:firstLine="480"/>
        <w:rPr>
          <w:rFonts w:asciiTheme="minorEastAsia" w:hAnsiTheme="minorEastAsia" w:eastAsiaTheme="minorEastAsia"/>
        </w:rPr>
      </w:pPr>
      <w:r>
        <w:rPr>
          <w:rFonts w:hint="eastAsia" w:asciiTheme="minorEastAsia" w:hAnsiTheme="minorEastAsia" w:eastAsiaTheme="minorEastAsia"/>
        </w:rPr>
        <w:t>严格按照代尔昆代郭勒河II类水质保护目标开展库区水质保护工作，划定水库库区为饮用水水源保护区。</w:t>
      </w:r>
    </w:p>
    <w:p>
      <w:pPr>
        <w:ind w:firstLine="480"/>
        <w:rPr>
          <w:rFonts w:asciiTheme="minorEastAsia" w:hAnsiTheme="minorEastAsia" w:eastAsiaTheme="minorEastAsia"/>
        </w:rPr>
      </w:pPr>
      <w:r>
        <w:rPr>
          <w:rFonts w:hint="eastAsia" w:asciiTheme="minorEastAsia" w:hAnsiTheme="minorEastAsia" w:eastAsiaTheme="minorEastAsia"/>
        </w:rPr>
        <w:t>a.为保护库周环境及水库水质，库周及库区上游干、支流建议严禁发展污染企业，严禁设置各类排污口，禁止人畜粪便、垃圾、生活污水直接下河；建设单位应配合地方环保部门做好库区及上游环境污染监督</w:t>
      </w:r>
      <w:r>
        <w:rPr>
          <w:rFonts w:hint="eastAsia" w:asciiTheme="minorEastAsia" w:hAnsiTheme="minorEastAsia" w:eastAsiaTheme="minorEastAsia"/>
          <w:lang w:eastAsia="zh-CN"/>
        </w:rPr>
        <w:t>检查</w:t>
      </w:r>
      <w:r>
        <w:rPr>
          <w:rFonts w:hint="eastAsia" w:asciiTheme="minorEastAsia" w:hAnsiTheme="minorEastAsia" w:eastAsiaTheme="minorEastAsia"/>
        </w:rPr>
        <w:t>。</w:t>
      </w:r>
    </w:p>
    <w:p>
      <w:pPr>
        <w:ind w:firstLine="480"/>
        <w:rPr>
          <w:rFonts w:asciiTheme="minorEastAsia" w:hAnsiTheme="minorEastAsia" w:eastAsiaTheme="minorEastAsia"/>
        </w:rPr>
      </w:pPr>
      <w:r>
        <w:rPr>
          <w:rFonts w:hint="eastAsia" w:asciiTheme="minorEastAsia" w:hAnsiTheme="minorEastAsia" w:eastAsiaTheme="minorEastAsia"/>
        </w:rPr>
        <w:t>b.保护库周植被，涵养水源，不得对库周灌木随意砍伐。</w:t>
      </w:r>
    </w:p>
    <w:p>
      <w:pPr>
        <w:ind w:firstLine="480"/>
        <w:rPr>
          <w:rFonts w:asciiTheme="minorEastAsia" w:hAnsiTheme="minorEastAsia" w:eastAsiaTheme="minorEastAsia"/>
        </w:rPr>
      </w:pPr>
      <w:r>
        <w:rPr>
          <w:rFonts w:hint="eastAsia" w:asciiTheme="minorEastAsia" w:hAnsiTheme="minorEastAsia" w:eastAsiaTheme="minorEastAsia"/>
        </w:rPr>
        <w:t>c.禁止从事网箱养殖、垂钓、游泳、放养畜禽；挖沙、取土；设置油库。</w:t>
      </w:r>
    </w:p>
    <w:p>
      <w:pPr>
        <w:ind w:firstLine="480"/>
        <w:rPr>
          <w:rFonts w:asciiTheme="minorEastAsia" w:hAnsiTheme="minorEastAsia" w:eastAsiaTheme="minorEastAsia"/>
        </w:rPr>
      </w:pPr>
      <w:r>
        <w:rPr>
          <w:rFonts w:hint="eastAsia" w:asciiTheme="minorEastAsia" w:hAnsiTheme="minorEastAsia" w:eastAsiaTheme="minorEastAsia"/>
        </w:rPr>
        <w:t>d.定期打捞水库漂浮物，保护库区水质。</w:t>
      </w:r>
    </w:p>
    <w:p>
      <w:pPr>
        <w:ind w:firstLine="480"/>
        <w:rPr>
          <w:rFonts w:asciiTheme="minorEastAsia" w:hAnsiTheme="minorEastAsia" w:eastAsiaTheme="minorEastAsia"/>
        </w:rPr>
      </w:pPr>
      <w:r>
        <w:rPr>
          <w:rFonts w:hint="eastAsia" w:asciiTheme="minorEastAsia" w:hAnsiTheme="minorEastAsia" w:eastAsiaTheme="minorEastAsia"/>
        </w:rPr>
        <w:t>e.加强工程影响河段水质保护；由于代尔昆代郭勒河目标水质为II类，因此应严禁审批各项新增水污染物的建设项目。</w:t>
      </w:r>
    </w:p>
    <w:p>
      <w:pPr>
        <w:pStyle w:val="4"/>
        <w:rPr>
          <w:rFonts w:ascii="黑体" w:hAnsi="黑体"/>
        </w:rPr>
      </w:pPr>
      <w:r>
        <w:rPr>
          <w:rFonts w:hint="eastAsia" w:ascii="黑体" w:hAnsi="黑体"/>
        </w:rPr>
        <w:t>10.4.3</w:t>
      </w:r>
      <w:r>
        <w:rPr>
          <w:rFonts w:ascii="黑体" w:hAnsi="黑体"/>
        </w:rPr>
        <w:t xml:space="preserve"> </w:t>
      </w:r>
      <w:r>
        <w:rPr>
          <w:rFonts w:hint="eastAsia" w:ascii="黑体" w:hAnsi="黑体"/>
        </w:rPr>
        <w:t>陆生生态保护措施</w:t>
      </w:r>
    </w:p>
    <w:p>
      <w:pPr>
        <w:ind w:firstLine="480"/>
        <w:rPr>
          <w:rFonts w:cs="Times New Roman"/>
        </w:rPr>
      </w:pPr>
      <w:r>
        <w:rPr>
          <w:rFonts w:cs="Times New Roman"/>
        </w:rPr>
        <w:t>（1）施工期陆生生态环境保护措施</w:t>
      </w:r>
    </w:p>
    <w:p>
      <w:pPr>
        <w:ind w:firstLine="480"/>
        <w:rPr>
          <w:rFonts w:cs="Times New Roman"/>
        </w:rPr>
      </w:pPr>
      <w:r>
        <w:rPr>
          <w:rFonts w:cs="Times New Roman"/>
        </w:rPr>
        <w:t>工程设计即要遵循尽量少占地的原则，特别是尽量少占用林地，临时占地避免占用天然林地。在施工过程中明确施工用地范围，禁止施工人员、车辆进入非施工占地区域。</w:t>
      </w:r>
    </w:p>
    <w:p>
      <w:pPr>
        <w:ind w:firstLine="480"/>
        <w:rPr>
          <w:rFonts w:cs="Times New Roman"/>
        </w:rPr>
      </w:pPr>
      <w:r>
        <w:rPr>
          <w:rFonts w:cs="Times New Roman"/>
        </w:rPr>
        <w:t>施工中严格控制施工作业带，加强对施工人员生态保护的宣传教育，建立生态破坏惩罚制度；避免在夜间、晨昏和正午进行噪声大的施工活动。</w:t>
      </w:r>
    </w:p>
    <w:p>
      <w:pPr>
        <w:ind w:firstLine="480"/>
        <w:rPr>
          <w:rFonts w:cs="Times New Roman"/>
        </w:rPr>
      </w:pPr>
      <w:r>
        <w:rPr>
          <w:rFonts w:cs="Times New Roman"/>
        </w:rPr>
        <w:t>施工结束后，结合水土保持方案对临时占地区域进行植被修复措施。</w:t>
      </w:r>
    </w:p>
    <w:p>
      <w:pPr>
        <w:ind w:firstLine="480"/>
        <w:rPr>
          <w:rFonts w:cs="Times New Roman"/>
        </w:rPr>
      </w:pPr>
      <w:r>
        <w:rPr>
          <w:rFonts w:cs="Times New Roman"/>
        </w:rPr>
        <w:t>（2）运行期陆生生态环境保护措施</w:t>
      </w:r>
    </w:p>
    <w:p>
      <w:pPr>
        <w:ind w:firstLine="480"/>
        <w:rPr>
          <w:rFonts w:cs="Times New Roman"/>
        </w:rPr>
      </w:pPr>
      <w:r>
        <w:rPr>
          <w:rFonts w:cs="Times New Roman"/>
        </w:rPr>
        <w:t>工程占用草地，按规定缴纳林草恢复费用，在厂房周围、永久道路旁通过植树造林，提高评价区内植被覆盖，</w:t>
      </w:r>
    </w:p>
    <w:p>
      <w:pPr>
        <w:ind w:firstLine="480"/>
        <w:rPr>
          <w:rFonts w:cs="Times New Roman"/>
        </w:rPr>
      </w:pPr>
      <w:r>
        <w:rPr>
          <w:rFonts w:cs="Times New Roman"/>
        </w:rPr>
        <w:t>（3）重点保护动植物保护措施</w:t>
      </w:r>
    </w:p>
    <w:p>
      <w:pPr>
        <w:ind w:firstLine="480"/>
        <w:rPr>
          <w:rFonts w:cs="Times New Roman"/>
        </w:rPr>
      </w:pPr>
      <w:r>
        <w:rPr>
          <w:rFonts w:cs="Times New Roman"/>
        </w:rPr>
        <w:t>对于工程占用损失的保护植物，做到占一补一。工程布置区可能出现的保护动物，除避让、减缓等保护措施外，还要重点加强有关野生动物法律法规宣传工作。</w:t>
      </w:r>
    </w:p>
    <w:p>
      <w:pPr>
        <w:ind w:firstLine="480"/>
        <w:rPr>
          <w:rFonts w:cs="Times New Roman"/>
        </w:rPr>
      </w:pPr>
      <w:r>
        <w:rPr>
          <w:rFonts w:cs="Times New Roman"/>
        </w:rPr>
        <w:t>（4）监测措施</w:t>
      </w:r>
    </w:p>
    <w:p>
      <w:pPr>
        <w:ind w:firstLine="480"/>
        <w:rPr>
          <w:rFonts w:cs="Times New Roman"/>
        </w:rPr>
      </w:pPr>
      <w:r>
        <w:rPr>
          <w:rFonts w:cs="Times New Roman"/>
        </w:rPr>
        <w:t>落实本报告中提出的施工期和运行期陆生生态监测措施，并根据监测结果适时采取相应的措施。</w:t>
      </w:r>
    </w:p>
    <w:p>
      <w:pPr>
        <w:pStyle w:val="4"/>
        <w:rPr>
          <w:rFonts w:ascii="黑体" w:hAnsi="黑体"/>
        </w:rPr>
      </w:pPr>
      <w:r>
        <w:rPr>
          <w:rFonts w:hint="eastAsia" w:ascii="黑体" w:hAnsi="黑体"/>
        </w:rPr>
        <w:t>10.4.4 空气环境保护措施</w:t>
      </w:r>
    </w:p>
    <w:p>
      <w:pPr>
        <w:ind w:firstLine="480"/>
        <w:rPr>
          <w:rFonts w:asciiTheme="minorEastAsia" w:hAnsiTheme="minorEastAsia" w:eastAsiaTheme="minorEastAsia"/>
        </w:rPr>
      </w:pPr>
      <w:r>
        <w:rPr>
          <w:rFonts w:hint="eastAsia" w:asciiTheme="minorEastAsia" w:hAnsiTheme="minorEastAsia" w:eastAsiaTheme="minorEastAsia"/>
        </w:rPr>
        <w:t>（1）扬尘影响防护对策措施</w:t>
      </w:r>
    </w:p>
    <w:p>
      <w:pPr>
        <w:ind w:firstLine="480"/>
        <w:rPr>
          <w:rFonts w:asciiTheme="minorEastAsia" w:hAnsiTheme="minorEastAsia" w:eastAsiaTheme="minorEastAsia"/>
        </w:rPr>
      </w:pPr>
      <w:r>
        <w:rPr>
          <w:rFonts w:hint="eastAsia" w:asciiTheme="minorEastAsia" w:hAnsiTheme="minorEastAsia" w:eastAsiaTheme="minorEastAsia"/>
        </w:rPr>
        <w:t>工程区大气环境质量依照《环境空气质量标准》(GB3095-2018)二级标准要求，TSP控制目标为24h平均0.3mg/L；污染物排放执行《大气污染物综合排放标准》(GB16297-1996)表2中的无组织排放监控浓度限值二级标准，TSP控制目标为1.0mg/m³。工程所处区域大风天气多发，需加强施工管理，削减施工环境空气污染物排放量，减轻污染物扩散，改善施工现场工作条件，保护施工区环境空气质量。</w:t>
      </w:r>
    </w:p>
    <w:p>
      <w:pPr>
        <w:ind w:firstLine="480"/>
        <w:rPr>
          <w:rFonts w:asciiTheme="minorEastAsia" w:hAnsiTheme="minorEastAsia" w:eastAsiaTheme="minorEastAsia"/>
        </w:rPr>
      </w:pPr>
      <w:r>
        <w:rPr>
          <w:rFonts w:hint="eastAsia" w:asciiTheme="minorEastAsia" w:hAnsiTheme="minorEastAsia" w:eastAsiaTheme="minorEastAsia"/>
        </w:rPr>
        <w:t>对于产生粉尘区域，如土石方挖装扬尘、爆破扬尘、车辆运输扬尘、混凝土拌及砂石料加工粉尘等，对相应区域进行多次洒水降尘；对于施工人员，按照国家有关劳动保护的规定，应向施工人员发放防尘用具，特别对土石方作业、混凝土拌和作业、砂石加工作业、水泥装卸作业的施工人员，应发放防护标准高的防尘器具，施工过程中还应及时清洗更换。</w:t>
      </w:r>
    </w:p>
    <w:p>
      <w:pPr>
        <w:ind w:firstLine="480"/>
        <w:rPr>
          <w:rFonts w:asciiTheme="minorEastAsia" w:hAnsiTheme="minorEastAsia" w:eastAsiaTheme="minorEastAsia"/>
        </w:rPr>
      </w:pPr>
      <w:r>
        <w:rPr>
          <w:rFonts w:hint="eastAsia" w:asciiTheme="minorEastAsia" w:hAnsiTheme="minorEastAsia" w:eastAsiaTheme="minorEastAsia"/>
        </w:rPr>
        <w:t>（2）燃油废气控制措施</w:t>
      </w:r>
    </w:p>
    <w:p>
      <w:pPr>
        <w:ind w:firstLine="480"/>
        <w:rPr>
          <w:rFonts w:asciiTheme="minorEastAsia" w:hAnsiTheme="minorEastAsia" w:eastAsiaTheme="minorEastAsia"/>
        </w:rPr>
      </w:pPr>
      <w:r>
        <w:rPr>
          <w:rFonts w:hint="eastAsia" w:asciiTheme="minorEastAsia" w:hAnsiTheme="minorEastAsia" w:eastAsiaTheme="minorEastAsia"/>
        </w:rPr>
        <w:t>①选用符合国家有关卫生标准的施工机械和运输车辆，并且安装排气净化器，使用符合标准的油料或清洁能源，使其排放的废气能够达到国家标准。</w:t>
      </w:r>
    </w:p>
    <w:p>
      <w:pPr>
        <w:ind w:firstLine="480"/>
        <w:rPr>
          <w:rFonts w:asciiTheme="minorEastAsia" w:hAnsiTheme="minorEastAsia" w:eastAsiaTheme="minorEastAsia"/>
        </w:rPr>
      </w:pPr>
      <w:r>
        <w:rPr>
          <w:rFonts w:hint="eastAsia" w:asciiTheme="minorEastAsia" w:hAnsiTheme="minorEastAsia" w:eastAsiaTheme="minorEastAsia"/>
        </w:rPr>
        <w:t>②严格执行《在用汽车报废标准》，推行强制更新报废制度。特别是发动机耗油多、效率低、排放尾气严重超标的老旧车辆，应予以更新。并实施《汽车排污监管办法》和《汽车排放监测制度》，并制定《施工区运输车辆排气监测办法》。</w:t>
      </w:r>
    </w:p>
    <w:p>
      <w:pPr>
        <w:ind w:firstLine="480"/>
        <w:rPr>
          <w:rFonts w:asciiTheme="minorEastAsia" w:hAnsiTheme="minorEastAsia" w:eastAsiaTheme="minorEastAsia"/>
        </w:rPr>
      </w:pPr>
      <w:r>
        <w:rPr>
          <w:rFonts w:hint="eastAsia" w:asciiTheme="minorEastAsia" w:hAnsiTheme="minorEastAsia" w:eastAsiaTheme="minorEastAsia"/>
        </w:rPr>
        <w:t>③加强对燃油机械设备的维护和保养，使发动机处于正常、良好的工作状态。</w:t>
      </w:r>
    </w:p>
    <w:p>
      <w:pPr>
        <w:pStyle w:val="4"/>
        <w:rPr>
          <w:rFonts w:ascii="黑体" w:hAnsi="黑体"/>
        </w:rPr>
      </w:pPr>
      <w:r>
        <w:rPr>
          <w:rFonts w:hint="eastAsia" w:ascii="黑体" w:hAnsi="黑体"/>
        </w:rPr>
        <w:t>10.4.5 声环境保护措施</w:t>
      </w:r>
    </w:p>
    <w:p>
      <w:pPr>
        <w:ind w:firstLine="480"/>
        <w:rPr>
          <w:rFonts w:asciiTheme="minorEastAsia" w:hAnsiTheme="minorEastAsia" w:eastAsiaTheme="minorEastAsia"/>
        </w:rPr>
      </w:pPr>
      <w:r>
        <w:rPr>
          <w:rFonts w:hint="eastAsia" w:asciiTheme="minorEastAsia" w:hAnsiTheme="minorEastAsia" w:eastAsiaTheme="minorEastAsia"/>
        </w:rPr>
        <w:t>工程各施工作业区应满足《建筑施工场界环境噪声排放标准》(GB12523-2011)，昼、夜间噪声限值分别为70dB(A)、55dB(A)。整个工程区执行《声环境质量标准》(GB3096-2008)1类标准，昼、夜噪声控制标准分别为55dB(A)、45dB(A)。</w:t>
      </w:r>
    </w:p>
    <w:p>
      <w:pPr>
        <w:ind w:firstLine="480"/>
        <w:rPr>
          <w:rFonts w:asciiTheme="minorEastAsia" w:hAnsiTheme="minorEastAsia" w:eastAsiaTheme="minorEastAsia"/>
        </w:rPr>
      </w:pPr>
      <w:r>
        <w:rPr>
          <w:rFonts w:hint="eastAsia" w:asciiTheme="minorEastAsia" w:hAnsiTheme="minorEastAsia" w:eastAsiaTheme="minorEastAsia"/>
        </w:rPr>
        <w:t>本工程施工噪声影响对象主要为施工人员，主要从声源上降低噪声影响和受声者保护两个方面采取以下噪声防治措施：</w:t>
      </w:r>
    </w:p>
    <w:p>
      <w:pPr>
        <w:ind w:firstLine="480"/>
        <w:rPr>
          <w:rFonts w:asciiTheme="minorEastAsia" w:hAnsiTheme="minorEastAsia" w:eastAsiaTheme="minorEastAsia"/>
        </w:rPr>
      </w:pPr>
      <w:r>
        <w:rPr>
          <w:rFonts w:hint="eastAsia" w:asciiTheme="minorEastAsia" w:hAnsiTheme="minorEastAsia" w:eastAsiaTheme="minorEastAsia"/>
        </w:rPr>
        <w:t>（1）从声源上降低噪声</w:t>
      </w:r>
    </w:p>
    <w:p>
      <w:pPr>
        <w:ind w:firstLine="480"/>
        <w:rPr>
          <w:rFonts w:asciiTheme="minorEastAsia" w:hAnsiTheme="minorEastAsia" w:eastAsiaTheme="minorEastAsia"/>
        </w:rPr>
      </w:pPr>
      <w:r>
        <w:rPr>
          <w:rFonts w:hint="eastAsia" w:asciiTheme="minorEastAsia" w:hAnsiTheme="minorEastAsia" w:eastAsiaTheme="minorEastAsia"/>
        </w:rPr>
        <w:t>①采用符合相关噪声标准要求的混凝土拌和、砂石料加工等设备，加强设备维护保养，保持设备润滑，减少运行噪声。</w:t>
      </w:r>
    </w:p>
    <w:p>
      <w:pPr>
        <w:ind w:firstLine="480"/>
        <w:rPr>
          <w:rFonts w:asciiTheme="minorEastAsia" w:hAnsiTheme="minorEastAsia" w:eastAsiaTheme="minorEastAsia"/>
        </w:rPr>
      </w:pPr>
      <w:r>
        <w:rPr>
          <w:rFonts w:hint="eastAsia" w:asciiTheme="minorEastAsia" w:hAnsiTheme="minorEastAsia" w:eastAsiaTheme="minorEastAsia"/>
        </w:rPr>
        <w:t>②对一些振动强烈的机械设备，有选择地使用减振机座。</w:t>
      </w:r>
    </w:p>
    <w:p>
      <w:pPr>
        <w:ind w:firstLine="480"/>
        <w:rPr>
          <w:rFonts w:asciiTheme="minorEastAsia" w:hAnsiTheme="minorEastAsia" w:eastAsiaTheme="minorEastAsia"/>
        </w:rPr>
      </w:pPr>
      <w:r>
        <w:rPr>
          <w:rFonts w:hint="eastAsia" w:asciiTheme="minorEastAsia" w:hAnsiTheme="minorEastAsia" w:eastAsiaTheme="minorEastAsia"/>
        </w:rPr>
        <w:t>③使用的车辆必须符合《汽车定置噪声限值》(GB16170-1996)和《机动车辆允许噪声》(GB1495-79)，并尽量选用低噪声车辆，加强车辆维修养护。</w:t>
      </w:r>
    </w:p>
    <w:p>
      <w:pPr>
        <w:ind w:firstLine="480"/>
        <w:rPr>
          <w:rFonts w:asciiTheme="minorEastAsia" w:hAnsiTheme="minorEastAsia" w:eastAsiaTheme="minorEastAsia"/>
        </w:rPr>
      </w:pPr>
      <w:r>
        <w:rPr>
          <w:rFonts w:hint="eastAsia" w:asciiTheme="minorEastAsia" w:hAnsiTheme="minorEastAsia" w:eastAsiaTheme="minorEastAsia"/>
        </w:rPr>
        <w:t>④加强场内施工道路养护，特别是应保持碎石路面的施工道路路面平整。</w:t>
      </w:r>
    </w:p>
    <w:p>
      <w:pPr>
        <w:ind w:firstLine="480"/>
        <w:rPr>
          <w:rFonts w:asciiTheme="minorEastAsia" w:hAnsiTheme="minorEastAsia" w:eastAsiaTheme="minorEastAsia"/>
        </w:rPr>
      </w:pPr>
      <w:r>
        <w:rPr>
          <w:rFonts w:hint="eastAsia" w:asciiTheme="minorEastAsia" w:hAnsiTheme="minorEastAsia" w:eastAsiaTheme="minorEastAsia"/>
        </w:rPr>
        <w:t>⑤合理安排车辆运输时间，车辆经过当地县乡集镇道路应避开中午和晚间，并控制车速，以免影响当地居民休息。</w:t>
      </w:r>
    </w:p>
    <w:p>
      <w:pPr>
        <w:ind w:firstLine="480"/>
        <w:rPr>
          <w:rFonts w:asciiTheme="minorEastAsia" w:hAnsiTheme="minorEastAsia" w:eastAsiaTheme="minorEastAsia"/>
        </w:rPr>
      </w:pPr>
      <w:r>
        <w:rPr>
          <w:rFonts w:hint="eastAsia" w:asciiTheme="minorEastAsia" w:hAnsiTheme="minorEastAsia" w:eastAsiaTheme="minorEastAsia"/>
        </w:rPr>
        <w:t>（2）施工人员防护措施</w:t>
      </w:r>
    </w:p>
    <w:p>
      <w:pPr>
        <w:ind w:firstLine="480"/>
        <w:rPr>
          <w:rFonts w:asciiTheme="minorEastAsia" w:hAnsiTheme="minorEastAsia" w:eastAsiaTheme="minorEastAsia"/>
        </w:rPr>
      </w:pPr>
      <w:r>
        <w:rPr>
          <w:rFonts w:hint="eastAsia" w:asciiTheme="minorEastAsia" w:hAnsiTheme="minorEastAsia" w:eastAsiaTheme="minorEastAsia"/>
        </w:rPr>
        <w:t>①为长时间接触高噪声设备的施工人员发放防噪器具，如混凝土拌和站和砂石料筛分系统操作人员，并保证及时更换。</w:t>
      </w:r>
    </w:p>
    <w:p>
      <w:pPr>
        <w:ind w:firstLine="480"/>
        <w:rPr>
          <w:rFonts w:asciiTheme="minorEastAsia" w:hAnsiTheme="minorEastAsia" w:eastAsiaTheme="minorEastAsia"/>
        </w:rPr>
      </w:pPr>
      <w:r>
        <w:rPr>
          <w:rFonts w:hint="eastAsia" w:asciiTheme="minorEastAsia" w:hAnsiTheme="minorEastAsia" w:eastAsiaTheme="minorEastAsia"/>
        </w:rPr>
        <w:t>②适当缩短砂石料加工系统、混凝土拌和系统操作人员的每班工作时长，或采取轮班制，防止其听力受损。</w:t>
      </w:r>
    </w:p>
    <w:p>
      <w:pPr>
        <w:pStyle w:val="4"/>
        <w:rPr>
          <w:rFonts w:ascii="黑体" w:hAnsi="黑体"/>
        </w:rPr>
      </w:pPr>
      <w:r>
        <w:rPr>
          <w:rFonts w:hint="eastAsia" w:ascii="黑体" w:hAnsi="黑体"/>
        </w:rPr>
        <w:t>10.4.6</w:t>
      </w:r>
      <w:r>
        <w:rPr>
          <w:rFonts w:ascii="黑体" w:hAnsi="黑体"/>
        </w:rPr>
        <w:t xml:space="preserve"> </w:t>
      </w:r>
      <w:r>
        <w:rPr>
          <w:rFonts w:hint="eastAsia" w:ascii="黑体" w:hAnsi="黑体"/>
        </w:rPr>
        <w:t>土壤环境保护措施</w:t>
      </w:r>
    </w:p>
    <w:p>
      <w:pPr>
        <w:ind w:firstLine="480"/>
      </w:pPr>
      <w:r>
        <w:rPr>
          <w:rFonts w:hint="eastAsia"/>
        </w:rPr>
        <w:t>（1）工程施工期应进一步优化施工布置、加强施工管理，禁止超范围施工，禁止扰动非占地区土壤。</w:t>
      </w:r>
    </w:p>
    <w:p>
      <w:pPr>
        <w:ind w:firstLine="480"/>
      </w:pPr>
      <w:r>
        <w:rPr>
          <w:rFonts w:hint="eastAsia"/>
        </w:rPr>
        <w:t>（2）施工前应对临时占地区表土进行剥离，单独堆放，施工结束后，结合水土保持方案中的植物措施，</w:t>
      </w:r>
      <w:r>
        <w:rPr>
          <w:rFonts w:hint="eastAsia"/>
          <w:lang w:eastAsia="zh-CN"/>
        </w:rPr>
        <w:t>将</w:t>
      </w:r>
      <w:r>
        <w:rPr>
          <w:rFonts w:hint="eastAsia"/>
        </w:rPr>
        <w:t>表土用于临时占地区的植被恢复，减少对土壤资源的破坏。</w:t>
      </w:r>
    </w:p>
    <w:p>
      <w:pPr>
        <w:ind w:firstLine="480"/>
      </w:pPr>
      <w:r>
        <w:rPr>
          <w:rFonts w:hint="eastAsia"/>
        </w:rPr>
        <w:t>（3）施工结束后，结合水土保持措施，对施工临时占地区采取土地平整、覆土及植被恢复措施，为扰动区土壤的恢复创造有利条件。</w:t>
      </w:r>
    </w:p>
    <w:p>
      <w:pPr>
        <w:ind w:firstLine="480"/>
      </w:pPr>
      <w:r>
        <w:rPr>
          <w:rFonts w:hint="eastAsia"/>
        </w:rPr>
        <w:t>（4）各类污废水应严格按设计要求处理和综合利用，禁止随意排放，避免造成溶泄区土壤硬化、板结或被含油污的废水污染。</w:t>
      </w:r>
    </w:p>
    <w:p>
      <w:pPr>
        <w:pStyle w:val="4"/>
        <w:rPr>
          <w:rFonts w:ascii="黑体" w:hAnsi="黑体"/>
        </w:rPr>
      </w:pPr>
      <w:r>
        <w:rPr>
          <w:rFonts w:hint="eastAsia" w:ascii="黑体" w:hAnsi="黑体"/>
        </w:rPr>
        <w:t>10.4.</w:t>
      </w:r>
      <w:r>
        <w:rPr>
          <w:rFonts w:ascii="黑体" w:hAnsi="黑体"/>
        </w:rPr>
        <w:t xml:space="preserve">7 </w:t>
      </w:r>
      <w:r>
        <w:rPr>
          <w:rFonts w:hint="eastAsia" w:ascii="黑体" w:hAnsi="黑体"/>
        </w:rPr>
        <w:t>固体废弃物</w:t>
      </w:r>
    </w:p>
    <w:p>
      <w:pPr>
        <w:ind w:firstLine="480"/>
        <w:rPr>
          <w:rFonts w:asciiTheme="minorEastAsia" w:hAnsiTheme="minorEastAsia" w:eastAsiaTheme="minorEastAsia"/>
        </w:rPr>
      </w:pPr>
      <w:r>
        <w:rPr>
          <w:rFonts w:hint="eastAsia" w:asciiTheme="minorEastAsia" w:hAnsiTheme="minorEastAsia" w:eastAsiaTheme="minorEastAsia"/>
        </w:rPr>
        <w:t>（1）生产废渣处理措施</w:t>
      </w:r>
    </w:p>
    <w:p>
      <w:pPr>
        <w:ind w:firstLine="480"/>
        <w:rPr>
          <w:rFonts w:asciiTheme="minorEastAsia" w:hAnsiTheme="minorEastAsia" w:eastAsiaTheme="minorEastAsia"/>
        </w:rPr>
      </w:pPr>
      <w:r>
        <w:rPr>
          <w:rFonts w:hint="eastAsia" w:asciiTheme="minorEastAsia" w:hAnsiTheme="minorEastAsia" w:eastAsiaTheme="minorEastAsia"/>
        </w:rPr>
        <w:t>根据土石方平衡计算，工程共布置1处永久弃渣场及1处临时弃渣场和3处临时转存料场，可满足弃渣要求。为避免弃渣造成水土流失，对各弃渣场采取了适宜的工程、植物及临时防护措施，详见本工程水土保持方案报告书。</w:t>
      </w:r>
    </w:p>
    <w:p>
      <w:pPr>
        <w:ind w:firstLine="480"/>
        <w:rPr>
          <w:rFonts w:asciiTheme="minorEastAsia" w:hAnsiTheme="minorEastAsia" w:eastAsiaTheme="minorEastAsia"/>
        </w:rPr>
      </w:pPr>
      <w:r>
        <w:rPr>
          <w:rFonts w:hint="eastAsia" w:asciiTheme="minorEastAsia" w:hAnsiTheme="minorEastAsia" w:eastAsiaTheme="minorEastAsia"/>
        </w:rPr>
        <w:t>（2）生活垃圾处理措施</w:t>
      </w:r>
    </w:p>
    <w:p>
      <w:pPr>
        <w:ind w:firstLine="480"/>
        <w:rPr>
          <w:rFonts w:asciiTheme="minorEastAsia" w:hAnsiTheme="minorEastAsia" w:eastAsiaTheme="minorEastAsia"/>
        </w:rPr>
      </w:pPr>
      <w:r>
        <w:rPr>
          <w:rFonts w:hint="eastAsia" w:asciiTheme="minorEastAsia" w:hAnsiTheme="minorEastAsia" w:eastAsiaTheme="minorEastAsia"/>
        </w:rPr>
        <w:t>工程高峰期施工人数</w:t>
      </w:r>
      <w:r>
        <w:rPr>
          <w:rFonts w:hint="eastAsia" w:asciiTheme="minorEastAsia" w:hAnsiTheme="minorEastAsia" w:eastAsiaTheme="minorEastAsia"/>
          <w:lang w:eastAsia="zh-CN"/>
        </w:rPr>
        <w:t>将</w:t>
      </w:r>
      <w:r>
        <w:rPr>
          <w:rFonts w:hint="eastAsia" w:asciiTheme="minorEastAsia" w:hAnsiTheme="minorEastAsia" w:eastAsiaTheme="minorEastAsia"/>
        </w:rPr>
        <w:t>达到310人，按每人每天排放0.2kg生活垃圾计算，施工生活区高峰期日产生活垃圾</w:t>
      </w:r>
      <w:r>
        <w:rPr>
          <w:rFonts w:hint="eastAsia" w:asciiTheme="minorEastAsia" w:hAnsiTheme="minorEastAsia" w:eastAsiaTheme="minorEastAsia"/>
          <w:lang w:eastAsia="zh-CN"/>
        </w:rPr>
        <w:t>将</w:t>
      </w:r>
      <w:r>
        <w:rPr>
          <w:rFonts w:hint="eastAsia" w:asciiTheme="minorEastAsia" w:hAnsiTheme="minorEastAsia" w:eastAsiaTheme="minorEastAsia"/>
        </w:rPr>
        <w:t>达到0.062t，整个运行期的生活垃圾累计达44t。其中在施工生活区配置2处生活垃圾收集站用于垃圾的收集，同时购备1辆垃圾车用于清运垃圾，运往和伊吾县生活垃圾填埋场填埋，并配置垃圾桶分散安放在各施工区域。</w:t>
      </w:r>
    </w:p>
    <w:p>
      <w:pPr>
        <w:ind w:firstLine="480"/>
        <w:rPr>
          <w:rFonts w:asciiTheme="minorEastAsia" w:hAnsiTheme="minorEastAsia" w:eastAsiaTheme="minorEastAsia"/>
        </w:rPr>
      </w:pPr>
      <w:r>
        <w:rPr>
          <w:rFonts w:hint="eastAsia" w:asciiTheme="minorEastAsia" w:hAnsiTheme="minorEastAsia" w:eastAsiaTheme="minorEastAsia"/>
        </w:rPr>
        <w:t>工程运行期，管理人员预设为10人，按每人每天排放0.8kg生活垃圾计算，高峰期日产生活垃圾</w:t>
      </w:r>
      <w:r>
        <w:rPr>
          <w:rFonts w:hint="eastAsia" w:asciiTheme="minorEastAsia" w:hAnsiTheme="minorEastAsia" w:eastAsiaTheme="minorEastAsia"/>
          <w:lang w:eastAsia="zh-CN"/>
        </w:rPr>
        <w:t>将</w:t>
      </w:r>
      <w:r>
        <w:rPr>
          <w:rFonts w:hint="eastAsia" w:asciiTheme="minorEastAsia" w:hAnsiTheme="minorEastAsia" w:eastAsiaTheme="minorEastAsia"/>
          <w:lang w:val="en-US" w:eastAsia="zh-CN"/>
        </w:rPr>
        <w:t>达</w:t>
      </w:r>
      <w:r>
        <w:rPr>
          <w:rFonts w:hint="eastAsia" w:asciiTheme="minorEastAsia" w:hAnsiTheme="minorEastAsia" w:eastAsiaTheme="minorEastAsia"/>
        </w:rPr>
        <w:t>8kg。在管理站设置生活垃圾收集站及垃圾桶等设施，定期清理，装运至上述生活垃圾填埋场卫生填埋，避免对管理站周围环境及管理人员的生活环境产生影响。</w:t>
      </w:r>
    </w:p>
    <w:p>
      <w:pPr>
        <w:ind w:firstLine="480"/>
        <w:rPr>
          <w:rFonts w:asciiTheme="minorEastAsia" w:hAnsiTheme="minorEastAsia" w:eastAsiaTheme="minorEastAsia"/>
        </w:rPr>
      </w:pPr>
      <w:r>
        <w:rPr>
          <w:rFonts w:hint="eastAsia" w:asciiTheme="minorEastAsia" w:hAnsiTheme="minorEastAsia" w:eastAsiaTheme="minorEastAsia"/>
        </w:rPr>
        <w:t>（3）危险废物</w:t>
      </w:r>
    </w:p>
    <w:p>
      <w:pPr>
        <w:ind w:firstLine="480"/>
        <w:rPr>
          <w:rFonts w:asciiTheme="minorEastAsia" w:hAnsiTheme="minorEastAsia" w:eastAsiaTheme="minorEastAsia"/>
        </w:rPr>
      </w:pPr>
      <w:r>
        <w:rPr>
          <w:rFonts w:hint="eastAsia" w:asciiTheme="minorEastAsia" w:hAnsiTheme="minorEastAsia" w:eastAsiaTheme="minorEastAsia"/>
        </w:rPr>
        <w:t>工程施工期产生的危险废物主要为：工程机械设备维修保养和清洗等过程产生的废机油、废润滑油，清洗金属零件过程中产生的废弃煤油、柴油、汽油及其他溶剂油，以及油污手套等用具和沾染油污的土壤，含油废水处理设施内沉积的油污也属于危险废物。工程运行期危险废物主要来源于水库各类机械闸门检修维护和管理站车辆检修和保养过程中产生的废油，以及沾有油污的手套等清洁用具，危废产生量小。</w:t>
      </w:r>
    </w:p>
    <w:p>
      <w:pPr>
        <w:ind w:firstLine="480"/>
        <w:rPr>
          <w:rFonts w:asciiTheme="minorEastAsia" w:hAnsiTheme="minorEastAsia" w:eastAsiaTheme="minorEastAsia"/>
        </w:rPr>
      </w:pPr>
      <w:r>
        <w:rPr>
          <w:rFonts w:hint="eastAsia" w:asciiTheme="minorEastAsia" w:hAnsiTheme="minorEastAsia" w:eastAsiaTheme="minorEastAsia"/>
        </w:rPr>
        <w:t>上述危险废物须按相关危险废物管理规定，进行收集、贮存、转运、处置，避免随意丢弃，禁止混入生活垃圾处置。</w:t>
      </w:r>
    </w:p>
    <w:p>
      <w:pPr>
        <w:ind w:firstLine="480"/>
        <w:rPr>
          <w:rFonts w:asciiTheme="minorEastAsia" w:hAnsiTheme="minorEastAsia" w:eastAsiaTheme="minorEastAsia"/>
        </w:rPr>
      </w:pPr>
    </w:p>
    <w:p>
      <w:pPr>
        <w:pStyle w:val="3"/>
        <w:jc w:val="both"/>
        <w:rPr>
          <w:rFonts w:ascii="黑体" w:hAnsi="黑体"/>
          <w:sz w:val="32"/>
        </w:rPr>
      </w:pPr>
      <w:bookmarkStart w:id="157" w:name="_Toc180751402"/>
      <w:r>
        <w:rPr>
          <w:rFonts w:hint="eastAsia" w:ascii="黑体" w:hAnsi="黑体"/>
          <w:sz w:val="32"/>
        </w:rPr>
        <w:t>10.5</w:t>
      </w:r>
      <w:r>
        <w:rPr>
          <w:rFonts w:ascii="黑体" w:hAnsi="黑体"/>
          <w:sz w:val="32"/>
        </w:rPr>
        <w:t xml:space="preserve"> </w:t>
      </w:r>
      <w:r>
        <w:rPr>
          <w:rFonts w:hint="eastAsia" w:ascii="黑体" w:hAnsi="黑体"/>
          <w:sz w:val="32"/>
        </w:rPr>
        <w:t>环境监测与管理</w:t>
      </w:r>
      <w:bookmarkEnd w:id="157"/>
    </w:p>
    <w:p>
      <w:pPr>
        <w:ind w:firstLine="480"/>
      </w:pPr>
      <w:r>
        <w:rPr>
          <w:rFonts w:hint="eastAsia"/>
        </w:rPr>
        <w:t>本工程内部环境管理施工期由建设单位负责，建设单位和施工单位分级管理，运行期由地方行政主管部门及建设单位共同负责组织实施，施工期实施环境监理制度。</w:t>
      </w:r>
    </w:p>
    <w:p>
      <w:pPr>
        <w:ind w:firstLine="480"/>
      </w:pPr>
      <w:r>
        <w:rPr>
          <w:rFonts w:hint="eastAsia"/>
        </w:rPr>
        <w:t>环境监测计划包括施工期和</w:t>
      </w:r>
      <w:r>
        <w:rPr>
          <w:rFonts w:hint="eastAsia"/>
          <w:lang w:eastAsia="zh-CN"/>
        </w:rPr>
        <w:t>运行期水环境监测</w:t>
      </w:r>
      <w:r>
        <w:rPr>
          <w:rFonts w:hint="eastAsia"/>
        </w:rPr>
        <w:t>、陆生生态监测等。</w:t>
      </w:r>
    </w:p>
    <w:p>
      <w:pPr>
        <w:ind w:firstLine="480"/>
      </w:pPr>
    </w:p>
    <w:p>
      <w:pPr>
        <w:pStyle w:val="3"/>
        <w:jc w:val="both"/>
      </w:pPr>
      <w:bookmarkStart w:id="158" w:name="_Toc180751403"/>
      <w:r>
        <w:rPr>
          <w:rFonts w:hint="eastAsia" w:ascii="黑体" w:hAnsi="黑体"/>
          <w:sz w:val="32"/>
        </w:rPr>
        <w:t>10.6</w:t>
      </w:r>
      <w:r>
        <w:rPr>
          <w:rFonts w:ascii="黑体" w:hAnsi="黑体"/>
          <w:sz w:val="32"/>
        </w:rPr>
        <w:t xml:space="preserve"> </w:t>
      </w:r>
      <w:r>
        <w:rPr>
          <w:rFonts w:hint="eastAsia" w:ascii="黑体" w:hAnsi="黑体"/>
          <w:sz w:val="32"/>
        </w:rPr>
        <w:t>环境保护措施投资</w:t>
      </w:r>
      <w:bookmarkEnd w:id="158"/>
    </w:p>
    <w:p>
      <w:pPr>
        <w:ind w:firstLine="480"/>
      </w:pPr>
      <w:r>
        <w:rPr>
          <w:rFonts w:hint="eastAsia"/>
        </w:rPr>
        <w:t>工程环境保护总投资586.67万元，其中环境保护措施投资30万元，环境监测费用23.50万元，仪器设备安装137.06万元，环境保护临时措施费142.9万元，独立费用200.58万元，基本预备费53.33万元。</w:t>
      </w:r>
    </w:p>
    <w:p>
      <w:pPr>
        <w:ind w:firstLine="480"/>
      </w:pPr>
    </w:p>
    <w:p>
      <w:pPr>
        <w:ind w:firstLine="480"/>
        <w:rPr>
          <w:color w:val="C00000"/>
        </w:rPr>
      </w:pPr>
    </w:p>
    <w:p>
      <w:pPr>
        <w:pStyle w:val="3"/>
        <w:jc w:val="both"/>
        <w:rPr>
          <w:rFonts w:ascii="黑体" w:hAnsi="黑体"/>
          <w:sz w:val="32"/>
        </w:rPr>
      </w:pPr>
      <w:bookmarkStart w:id="159" w:name="_Toc180751405"/>
      <w:r>
        <w:rPr>
          <w:rFonts w:hint="eastAsia" w:ascii="黑体" w:hAnsi="黑体"/>
          <w:sz w:val="32"/>
        </w:rPr>
        <w:t>10.</w:t>
      </w:r>
      <w:r>
        <w:rPr>
          <w:rFonts w:ascii="黑体" w:hAnsi="黑体"/>
          <w:sz w:val="32"/>
        </w:rPr>
        <w:t xml:space="preserve">7 </w:t>
      </w:r>
      <w:r>
        <w:rPr>
          <w:rFonts w:hint="eastAsia" w:ascii="黑体" w:hAnsi="黑体"/>
          <w:sz w:val="32"/>
        </w:rPr>
        <w:t>环境风险</w:t>
      </w:r>
      <w:bookmarkEnd w:id="159"/>
    </w:p>
    <w:p>
      <w:pPr>
        <w:ind w:firstLine="480"/>
      </w:pPr>
      <w:r>
        <w:rPr>
          <w:rFonts w:hint="eastAsia"/>
        </w:rPr>
        <w:t>工程建设可能存在的环境风险主要为：施工期环境风险重点关注炸药与油料的储运风险；施工人员用火不当引发火灾风险；施工生产废水与生活污水排放入河对河流水质污染风险；运行期生态用水被挤占等环境风险。针对上述风险均提出了相应的风险防范措施。</w:t>
      </w:r>
    </w:p>
    <w:p>
      <w:pPr>
        <w:ind w:firstLine="480"/>
      </w:pPr>
    </w:p>
    <w:p>
      <w:pPr>
        <w:pStyle w:val="3"/>
        <w:jc w:val="both"/>
        <w:rPr>
          <w:rFonts w:ascii="黑体" w:hAnsi="黑体"/>
          <w:sz w:val="32"/>
        </w:rPr>
      </w:pPr>
      <w:bookmarkStart w:id="160" w:name="_Toc180751406"/>
      <w:r>
        <w:rPr>
          <w:rFonts w:hint="eastAsia" w:ascii="黑体" w:hAnsi="黑体"/>
          <w:sz w:val="32"/>
        </w:rPr>
        <w:t>10.</w:t>
      </w:r>
      <w:r>
        <w:rPr>
          <w:rFonts w:ascii="黑体" w:hAnsi="黑体"/>
          <w:sz w:val="32"/>
        </w:rPr>
        <w:t xml:space="preserve">8 </w:t>
      </w:r>
      <w:r>
        <w:rPr>
          <w:rFonts w:hint="eastAsia" w:ascii="黑体" w:hAnsi="黑体"/>
          <w:sz w:val="32"/>
        </w:rPr>
        <w:t>综合评价结论</w:t>
      </w:r>
      <w:bookmarkEnd w:id="160"/>
    </w:p>
    <w:p>
      <w:pPr>
        <w:ind w:firstLine="480"/>
      </w:pPr>
      <w:r>
        <w:rPr>
          <w:rFonts w:hint="eastAsia"/>
        </w:rPr>
        <w:t>经评价，代尔昆代水库是代尔昆代郭勒河流域水资源控制性的重要工程。设计水平年，代尔昆代郭勒河流域通过落实最严格水资源管理制度，实施</w:t>
      </w:r>
      <w:r>
        <w:rPr>
          <w:rFonts w:hint="eastAsia"/>
          <w:highlight w:val="green"/>
        </w:rPr>
        <w:t>供水区</w:t>
      </w:r>
      <w:r>
        <w:rPr>
          <w:rFonts w:hint="eastAsia"/>
        </w:rPr>
        <w:t>高效节水及用水总量控制，确保</w:t>
      </w:r>
      <w:r>
        <w:rPr>
          <w:rFonts w:hint="eastAsia"/>
          <w:highlight w:val="green"/>
        </w:rPr>
        <w:t>供水区</w:t>
      </w:r>
      <w:r>
        <w:rPr>
          <w:rFonts w:hint="eastAsia"/>
        </w:rPr>
        <w:t>总水量较现状年减少并控制于“三条红线”用水总量指标范围内，以此为基础，代尔昆代水库建成后，通过有效控制和分配水资源，调蓄增加</w:t>
      </w:r>
      <w:r>
        <w:rPr>
          <w:rFonts w:hint="eastAsia"/>
          <w:highlight w:val="green"/>
        </w:rPr>
        <w:t>地表水</w:t>
      </w:r>
      <w:r>
        <w:rPr>
          <w:rFonts w:hint="eastAsia"/>
        </w:rPr>
        <w:t>供水水量，改善公益林灌溉供水条件，提供人畜饮供水；保证水库坝址断面下泄生态流量，一定程度上缓解了河流断流状况，减缓其拦蓄水对下游地下水水位的影响。对环境的不利影响主要表现在：相比现状，代尔昆代水库拦蓄河水，下游地下水补给量</w:t>
      </w:r>
      <w:r>
        <w:rPr>
          <w:rFonts w:hint="eastAsia"/>
          <w:lang w:eastAsia="zh-CN"/>
        </w:rPr>
        <w:t>将</w:t>
      </w:r>
      <w:r>
        <w:rPr>
          <w:rFonts w:hint="eastAsia"/>
        </w:rPr>
        <w:t>减少、施工期影响。</w:t>
      </w:r>
    </w:p>
    <w:p>
      <w:pPr>
        <w:ind w:firstLine="480"/>
      </w:pPr>
      <w:r>
        <w:rPr>
          <w:rFonts w:hint="eastAsia"/>
        </w:rPr>
        <w:t>本次环评提出：实施最严格的水资源管理制度，扎实推进和落实高效节水实施方案，严格控制</w:t>
      </w:r>
      <w:r>
        <w:rPr>
          <w:rFonts w:hint="eastAsia"/>
          <w:highlight w:val="green"/>
        </w:rPr>
        <w:t>供水区</w:t>
      </w:r>
      <w:r>
        <w:rPr>
          <w:rFonts w:hint="eastAsia"/>
        </w:rPr>
        <w:t>社会经济用水总量，保证河道生态流量；对施工期“三废”及噪声采取措施进行防治。根据预测评价结论和环保措施布局制定了环境监理、各环境要素监测方案。在采取相应的环境保护措施后，可使工程建设的不利影响得以减缓，使环境影响降低在自然与社会环境可承受的限度内。从环境角度分析，只要认真落实各项环境保护措施和环境监测方案，加强环境保护管理和监督，在建设和运行过程中注重对自然生态环境的保护，本工程无重大环境制约因素，建设是可行的。</w:t>
      </w:r>
    </w:p>
    <w:p>
      <w:pPr>
        <w:ind w:firstLine="480"/>
      </w:pPr>
    </w:p>
    <w:p>
      <w:pPr>
        <w:pStyle w:val="3"/>
        <w:jc w:val="both"/>
        <w:rPr>
          <w:rFonts w:ascii="黑体" w:hAnsi="黑体"/>
          <w:sz w:val="32"/>
        </w:rPr>
      </w:pPr>
      <w:bookmarkStart w:id="161" w:name="_Toc180751407"/>
      <w:r>
        <w:rPr>
          <w:rFonts w:hint="eastAsia" w:ascii="黑体" w:hAnsi="黑体"/>
          <w:sz w:val="32"/>
        </w:rPr>
        <w:t>10.</w:t>
      </w:r>
      <w:r>
        <w:rPr>
          <w:rFonts w:ascii="黑体" w:hAnsi="黑体"/>
          <w:sz w:val="32"/>
        </w:rPr>
        <w:t xml:space="preserve">9 </w:t>
      </w:r>
      <w:r>
        <w:rPr>
          <w:rFonts w:hint="eastAsia" w:ascii="黑体" w:hAnsi="黑体"/>
          <w:sz w:val="32"/>
        </w:rPr>
        <w:t>下阶段工作建议</w:t>
      </w:r>
      <w:bookmarkEnd w:id="161"/>
    </w:p>
    <w:p>
      <w:pPr>
        <w:ind w:firstLine="480"/>
      </w:pPr>
      <w:r>
        <w:rPr>
          <w:rFonts w:hint="eastAsia"/>
        </w:rPr>
        <w:t>（1）应严格遵循“三同时”原则，确保各项环保措施的落实。</w:t>
      </w:r>
    </w:p>
    <w:p>
      <w:pPr>
        <w:ind w:firstLine="480"/>
      </w:pPr>
      <w:r>
        <w:rPr>
          <w:rFonts w:hint="eastAsia"/>
        </w:rPr>
        <w:t>（2）落实运行期环境监测工作，为工程建设环境影响后评估奠定基础，并在代尔昆代水库工程运行后适时开展环境影响后评价工作。</w:t>
      </w:r>
    </w:p>
    <w:p>
      <w:pPr>
        <w:ind w:firstLine="480"/>
      </w:pPr>
      <w:r>
        <w:rPr>
          <w:rFonts w:hint="eastAsia"/>
        </w:rPr>
        <w:t>（3）加强流域水资源统一有效管理工作，避免超引水，加强淖毛湖地区水资源利用水平，尽量减少代尔昆代水库供水量，从而增加代尔昆代水库下泄水量。</w:t>
      </w:r>
    </w:p>
    <w:p>
      <w:pPr>
        <w:ind w:firstLine="480"/>
      </w:pPr>
      <w:r>
        <w:rPr>
          <w:rFonts w:hint="eastAsia"/>
        </w:rPr>
        <w:t>（4）建议流域管理机构建立健全水资源保护与水污染防治管理办法，实施严格的取水许可制度；做好宣传工作，提高全民水资源保护意识。</w:t>
      </w:r>
      <w:bookmarkEnd w:id="152"/>
    </w:p>
    <w:sectPr>
      <w:headerReference r:id="rId37" w:type="first"/>
      <w:footerReference r:id="rId40" w:type="first"/>
      <w:headerReference r:id="rId35" w:type="default"/>
      <w:footerReference r:id="rId38" w:type="default"/>
      <w:headerReference r:id="rId36" w:type="even"/>
      <w:footerReference r:id="rId39" w:type="even"/>
      <w:pgSz w:w="11906" w:h="16838"/>
      <w:pgMar w:top="1418" w:right="1559" w:bottom="1418" w:left="1559"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书宋简体">
    <w:panose1 w:val="02000000000000000000"/>
    <w:charset w:val="86"/>
    <w:family w:val="auto"/>
    <w:pitch w:val="default"/>
    <w:sig w:usb0="A00002BF" w:usb1="184F6CFA" w:usb2="00000012"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6638821"/>
      <w:docPartObj>
        <w:docPartGallery w:val="autotext"/>
      </w:docPartObj>
    </w:sdtPr>
    <w:sdtContent>
      <w:p>
        <w:pPr>
          <w:pStyle w:val="28"/>
          <w:ind w:firstLine="360"/>
          <w:jc w:val="center"/>
        </w:pPr>
        <w:r>
          <w:fldChar w:fldCharType="begin"/>
        </w:r>
        <w:r>
          <w:instrText xml:space="preserve">PAGE   \* MERGEFORMAT</w:instrText>
        </w:r>
        <w:r>
          <w:fldChar w:fldCharType="separate"/>
        </w:r>
        <w:r>
          <w:rPr>
            <w:lang w:val="zh-CN"/>
          </w:rPr>
          <w:t>I</w:t>
        </w:r>
        <w:r>
          <w:fldChar w:fldCharType="end"/>
        </w:r>
      </w:p>
    </w:sdtContent>
  </w:sdt>
  <w:p>
    <w:pPr>
      <w:pStyle w:val="28"/>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28"/>
          <w:ind w:firstLine="360"/>
          <w:jc w:val="center"/>
        </w:pPr>
        <w:r>
          <w:fldChar w:fldCharType="begin"/>
        </w:r>
        <w:r>
          <w:instrText xml:space="preserve">PAGE   \* MERGEFORMAT</w:instrText>
        </w:r>
        <w:r>
          <w:fldChar w:fldCharType="separate"/>
        </w:r>
        <w:r>
          <w:rPr>
            <w:lang w:val="zh-CN"/>
          </w:rPr>
          <w:t>99</w:t>
        </w:r>
        <w:r>
          <w:fldChar w:fldCharType="end"/>
        </w:r>
      </w:p>
    </w:sdtContent>
  </w:sdt>
  <w:p>
    <w:pPr>
      <w:pStyle w:val="28"/>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6459203"/>
      <w:docPartObj>
        <w:docPartGallery w:val="autotext"/>
      </w:docPartObj>
    </w:sdtPr>
    <w:sdtContent>
      <w:p>
        <w:pPr>
          <w:pStyle w:val="28"/>
          <w:ind w:firstLine="360"/>
          <w:jc w:val="center"/>
        </w:pPr>
        <w:r>
          <w:fldChar w:fldCharType="begin"/>
        </w:r>
        <w:r>
          <w:instrText xml:space="preserve"> PAGE   \* MERGEFORMAT </w:instrText>
        </w:r>
        <w:r>
          <w:fldChar w:fldCharType="separate"/>
        </w:r>
        <w:r>
          <w:rPr>
            <w:lang w:val="zh-CN"/>
          </w:rPr>
          <w:t>128</w:t>
        </w:r>
        <w:r>
          <w:rPr>
            <w:lang w:val="zh-CN"/>
          </w:rPr>
          <w:fldChar w:fldCharType="end"/>
        </w:r>
      </w:p>
    </w:sdtContent>
  </w:sdt>
  <w:p>
    <w:pPr>
      <w:ind w:firstLine="48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28"/>
          <w:ind w:firstLine="360"/>
          <w:jc w:val="center"/>
        </w:pPr>
        <w:r>
          <w:fldChar w:fldCharType="begin"/>
        </w:r>
        <w:r>
          <w:instrText xml:space="preserve">PAGE   \* MERGEFORMAT</w:instrText>
        </w:r>
        <w:r>
          <w:fldChar w:fldCharType="separate"/>
        </w:r>
        <w:r>
          <w:rPr>
            <w:lang w:val="zh-CN"/>
          </w:rPr>
          <w:t>249</w:t>
        </w:r>
        <w:r>
          <w:fldChar w:fldCharType="end"/>
        </w:r>
      </w:p>
    </w:sdtContent>
  </w:sdt>
  <w:p>
    <w:pPr>
      <w:pStyle w:val="28"/>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6997059"/>
      <w:docPartObj>
        <w:docPartGallery w:val="autotext"/>
      </w:docPartObj>
    </w:sdtPr>
    <w:sdtContent>
      <w:p>
        <w:pPr>
          <w:pStyle w:val="28"/>
          <w:ind w:firstLine="360"/>
          <w:jc w:val="center"/>
        </w:pPr>
        <w:r>
          <w:fldChar w:fldCharType="begin"/>
        </w:r>
        <w:r>
          <w:instrText xml:space="preserve">PAGE   \* MERGEFORMAT</w:instrText>
        </w:r>
        <w:r>
          <w:fldChar w:fldCharType="separate"/>
        </w:r>
        <w:r>
          <w:rPr>
            <w:lang w:val="zh-CN"/>
          </w:rPr>
          <w:t>69</w:t>
        </w:r>
        <w:r>
          <w:fldChar w:fldCharType="end"/>
        </w:r>
      </w:p>
    </w:sdtContent>
  </w:sdt>
  <w:p>
    <w:pPr>
      <w:pStyle w:val="2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484570"/>
      <w:docPartObj>
        <w:docPartGallery w:val="autotext"/>
      </w:docPartObj>
    </w:sdtPr>
    <w:sdtContent>
      <w:p>
        <w:pPr>
          <w:pStyle w:val="28"/>
          <w:ind w:firstLine="360"/>
          <w:jc w:val="center"/>
        </w:pPr>
        <w:r>
          <w:fldChar w:fldCharType="begin"/>
        </w:r>
        <w:r>
          <w:instrText xml:space="preserve">PAGE   \* MERGEFORMAT</w:instrText>
        </w:r>
        <w:r>
          <w:fldChar w:fldCharType="separate"/>
        </w:r>
        <w:r>
          <w:rPr>
            <w:lang w:val="zh-CN"/>
          </w:rPr>
          <w:t>71</w:t>
        </w:r>
        <w:r>
          <w:fldChar w:fldCharType="end"/>
        </w:r>
      </w:p>
    </w:sdtContent>
  </w:sdt>
  <w:p>
    <w:pPr>
      <w:pStyle w:val="2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E8F072"/>
    <w:multiLevelType w:val="singleLevel"/>
    <w:tmpl w:val="A9E8F072"/>
    <w:lvl w:ilvl="0" w:tentative="0">
      <w:start w:val="1"/>
      <w:numFmt w:val="decimal"/>
      <w:pStyle w:val="16"/>
      <w:lvlText w:val="%1."/>
      <w:lvlJc w:val="left"/>
      <w:pPr>
        <w:tabs>
          <w:tab w:val="left" w:pos="312"/>
        </w:tabs>
      </w:pPr>
    </w:lvl>
  </w:abstractNum>
  <w:abstractNum w:abstractNumId="1">
    <w:nsid w:val="00833D68"/>
    <w:multiLevelType w:val="multilevel"/>
    <w:tmpl w:val="00833D6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6BC0036"/>
    <w:multiLevelType w:val="multilevel"/>
    <w:tmpl w:val="36BC0036"/>
    <w:lvl w:ilvl="0" w:tentative="0">
      <w:start w:val="1"/>
      <w:numFmt w:val="decimal"/>
      <w:lvlText w:val="%1."/>
      <w:lvlJc w:val="left"/>
      <w:pPr>
        <w:tabs>
          <w:tab w:val="left" w:pos="905"/>
        </w:tabs>
        <w:ind w:left="905" w:hanging="425"/>
      </w:pPr>
      <w:rPr>
        <w:rFonts w:hint="eastAsia"/>
      </w:rPr>
    </w:lvl>
    <w:lvl w:ilvl="1" w:tentative="0">
      <w:start w:val="1"/>
      <w:numFmt w:val="decimal"/>
      <w:lvlText w:val="%1.%2."/>
      <w:lvlJc w:val="left"/>
      <w:pPr>
        <w:tabs>
          <w:tab w:val="left" w:pos="1047"/>
        </w:tabs>
        <w:ind w:left="1047" w:hanging="567"/>
      </w:pPr>
      <w:rPr>
        <w:rFonts w:hint="eastAsia"/>
      </w:rPr>
    </w:lvl>
    <w:lvl w:ilvl="2" w:tentative="0">
      <w:start w:val="1"/>
      <w:numFmt w:val="decimal"/>
      <w:lvlText w:val="%1.%2.%3."/>
      <w:lvlJc w:val="left"/>
      <w:pPr>
        <w:tabs>
          <w:tab w:val="left" w:pos="1189"/>
        </w:tabs>
        <w:ind w:left="1189" w:hanging="709"/>
      </w:pPr>
      <w:rPr>
        <w:rFonts w:hint="eastAsia"/>
      </w:rPr>
    </w:lvl>
    <w:lvl w:ilvl="3" w:tentative="0">
      <w:start w:val="1"/>
      <w:numFmt w:val="decimal"/>
      <w:lvlText w:val="%1.%2.%3.%4."/>
      <w:lvlJc w:val="left"/>
      <w:pPr>
        <w:tabs>
          <w:tab w:val="left" w:pos="1331"/>
        </w:tabs>
        <w:ind w:left="1331" w:hanging="851"/>
      </w:pPr>
      <w:rPr>
        <w:rFonts w:hint="eastAsia"/>
      </w:rPr>
    </w:lvl>
    <w:lvl w:ilvl="4" w:tentative="0">
      <w:start w:val="1"/>
      <w:numFmt w:val="decimal"/>
      <w:pStyle w:val="6"/>
      <w:lvlText w:val="%1.%2.%3.%4.%5."/>
      <w:lvlJc w:val="left"/>
      <w:pPr>
        <w:tabs>
          <w:tab w:val="left" w:pos="1472"/>
        </w:tabs>
        <w:ind w:left="1472" w:hanging="992"/>
      </w:pPr>
      <w:rPr>
        <w:rFonts w:hint="eastAsia"/>
      </w:rPr>
    </w:lvl>
    <w:lvl w:ilvl="5" w:tentative="0">
      <w:start w:val="1"/>
      <w:numFmt w:val="decimal"/>
      <w:lvlText w:val="%1.%2.%3.%4.%5.%6."/>
      <w:lvlJc w:val="left"/>
      <w:pPr>
        <w:tabs>
          <w:tab w:val="left" w:pos="1614"/>
        </w:tabs>
        <w:ind w:left="1614" w:hanging="1134"/>
      </w:pPr>
      <w:rPr>
        <w:rFonts w:hint="eastAsia"/>
      </w:rPr>
    </w:lvl>
    <w:lvl w:ilvl="6" w:tentative="0">
      <w:start w:val="1"/>
      <w:numFmt w:val="decimal"/>
      <w:lvlText w:val="%1.%2.%3.%4.%5.%6.%7."/>
      <w:lvlJc w:val="left"/>
      <w:pPr>
        <w:tabs>
          <w:tab w:val="left" w:pos="1756"/>
        </w:tabs>
        <w:ind w:left="1756" w:hanging="1276"/>
      </w:pPr>
      <w:rPr>
        <w:rFonts w:hint="eastAsia"/>
      </w:rPr>
    </w:lvl>
    <w:lvl w:ilvl="7" w:tentative="0">
      <w:start w:val="1"/>
      <w:numFmt w:val="decimal"/>
      <w:lvlText w:val="%1.%2.%3.%4.%5.%6.%7.%8."/>
      <w:lvlJc w:val="left"/>
      <w:pPr>
        <w:tabs>
          <w:tab w:val="left" w:pos="1898"/>
        </w:tabs>
        <w:ind w:left="1898" w:hanging="1418"/>
      </w:pPr>
      <w:rPr>
        <w:rFonts w:hint="eastAsia"/>
      </w:rPr>
    </w:lvl>
    <w:lvl w:ilvl="8" w:tentative="0">
      <w:start w:val="1"/>
      <w:numFmt w:val="decimal"/>
      <w:lvlText w:val="%1.%2.%3.%4.%5.%6.%7.%8.%9."/>
      <w:lvlJc w:val="left"/>
      <w:pPr>
        <w:tabs>
          <w:tab w:val="left" w:pos="2039"/>
        </w:tabs>
        <w:ind w:left="2039" w:hanging="1559"/>
      </w:pPr>
      <w:rPr>
        <w:rFonts w:hint="eastAsia"/>
      </w:rPr>
    </w:lvl>
  </w:abstractNum>
  <w:abstractNum w:abstractNumId="3">
    <w:nsid w:val="455B6F96"/>
    <w:multiLevelType w:val="multilevel"/>
    <w:tmpl w:val="455B6F9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pStyle w:val="128"/>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3160C72"/>
    <w:multiLevelType w:val="multilevel"/>
    <w:tmpl w:val="63160C7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046"/>
    <w:rsid w:val="00006614"/>
    <w:rsid w:val="00022496"/>
    <w:rsid w:val="00024EE3"/>
    <w:rsid w:val="000409AC"/>
    <w:rsid w:val="00061C2B"/>
    <w:rsid w:val="000C5FEE"/>
    <w:rsid w:val="000E2050"/>
    <w:rsid w:val="000E4200"/>
    <w:rsid w:val="000E68A7"/>
    <w:rsid w:val="001076CD"/>
    <w:rsid w:val="00125341"/>
    <w:rsid w:val="0013044F"/>
    <w:rsid w:val="00135737"/>
    <w:rsid w:val="0014062F"/>
    <w:rsid w:val="00147E54"/>
    <w:rsid w:val="00164E5E"/>
    <w:rsid w:val="00170790"/>
    <w:rsid w:val="0019628F"/>
    <w:rsid w:val="001B33EC"/>
    <w:rsid w:val="001B5B0A"/>
    <w:rsid w:val="001B5B4A"/>
    <w:rsid w:val="001B674C"/>
    <w:rsid w:val="001D139E"/>
    <w:rsid w:val="001D3AFB"/>
    <w:rsid w:val="001D6885"/>
    <w:rsid w:val="001E7799"/>
    <w:rsid w:val="001F0B35"/>
    <w:rsid w:val="001F6F7F"/>
    <w:rsid w:val="00204710"/>
    <w:rsid w:val="0020781F"/>
    <w:rsid w:val="002212B6"/>
    <w:rsid w:val="002223EB"/>
    <w:rsid w:val="002237C1"/>
    <w:rsid w:val="00224A89"/>
    <w:rsid w:val="00233B61"/>
    <w:rsid w:val="00251FBB"/>
    <w:rsid w:val="00263B30"/>
    <w:rsid w:val="002752CD"/>
    <w:rsid w:val="00283630"/>
    <w:rsid w:val="00291E23"/>
    <w:rsid w:val="002A1B57"/>
    <w:rsid w:val="002A2023"/>
    <w:rsid w:val="002B4272"/>
    <w:rsid w:val="002F0991"/>
    <w:rsid w:val="002F144F"/>
    <w:rsid w:val="002F5FA5"/>
    <w:rsid w:val="002F6449"/>
    <w:rsid w:val="00300E52"/>
    <w:rsid w:val="003209CD"/>
    <w:rsid w:val="00323582"/>
    <w:rsid w:val="003302E4"/>
    <w:rsid w:val="003312F9"/>
    <w:rsid w:val="00333E59"/>
    <w:rsid w:val="00347CCD"/>
    <w:rsid w:val="0035680F"/>
    <w:rsid w:val="003570FB"/>
    <w:rsid w:val="003953A4"/>
    <w:rsid w:val="003A13C3"/>
    <w:rsid w:val="003A6D61"/>
    <w:rsid w:val="003B52B1"/>
    <w:rsid w:val="003D55D9"/>
    <w:rsid w:val="003F1959"/>
    <w:rsid w:val="003F4277"/>
    <w:rsid w:val="003F489D"/>
    <w:rsid w:val="00411E24"/>
    <w:rsid w:val="004125ED"/>
    <w:rsid w:val="004269AB"/>
    <w:rsid w:val="004301DC"/>
    <w:rsid w:val="00437033"/>
    <w:rsid w:val="00444346"/>
    <w:rsid w:val="004455F7"/>
    <w:rsid w:val="00446B37"/>
    <w:rsid w:val="0045529D"/>
    <w:rsid w:val="0048181F"/>
    <w:rsid w:val="00481BA6"/>
    <w:rsid w:val="0048294F"/>
    <w:rsid w:val="004A127E"/>
    <w:rsid w:val="004B2F20"/>
    <w:rsid w:val="004C1473"/>
    <w:rsid w:val="004E1901"/>
    <w:rsid w:val="004E6A9A"/>
    <w:rsid w:val="004F18DB"/>
    <w:rsid w:val="004F326B"/>
    <w:rsid w:val="005015B7"/>
    <w:rsid w:val="00516E44"/>
    <w:rsid w:val="00530089"/>
    <w:rsid w:val="00563B57"/>
    <w:rsid w:val="00574DA8"/>
    <w:rsid w:val="005830EC"/>
    <w:rsid w:val="005B3046"/>
    <w:rsid w:val="005B783C"/>
    <w:rsid w:val="005D5918"/>
    <w:rsid w:val="005D7452"/>
    <w:rsid w:val="005F03E3"/>
    <w:rsid w:val="005F2905"/>
    <w:rsid w:val="005F3EEE"/>
    <w:rsid w:val="005F5BF0"/>
    <w:rsid w:val="006011F4"/>
    <w:rsid w:val="006111E3"/>
    <w:rsid w:val="00630D06"/>
    <w:rsid w:val="0063775B"/>
    <w:rsid w:val="00645B02"/>
    <w:rsid w:val="00646ABB"/>
    <w:rsid w:val="006503E7"/>
    <w:rsid w:val="00677084"/>
    <w:rsid w:val="00677E93"/>
    <w:rsid w:val="00694199"/>
    <w:rsid w:val="00697570"/>
    <w:rsid w:val="006A5B7D"/>
    <w:rsid w:val="006C1524"/>
    <w:rsid w:val="006C6F7D"/>
    <w:rsid w:val="00720E03"/>
    <w:rsid w:val="00724CDD"/>
    <w:rsid w:val="007378A9"/>
    <w:rsid w:val="007646AA"/>
    <w:rsid w:val="00770E6A"/>
    <w:rsid w:val="007764E3"/>
    <w:rsid w:val="00796C6B"/>
    <w:rsid w:val="007E2CFB"/>
    <w:rsid w:val="00800D41"/>
    <w:rsid w:val="0080309F"/>
    <w:rsid w:val="008147D5"/>
    <w:rsid w:val="00824DA8"/>
    <w:rsid w:val="008670B8"/>
    <w:rsid w:val="00877165"/>
    <w:rsid w:val="00880FBC"/>
    <w:rsid w:val="00884D8F"/>
    <w:rsid w:val="008A4A3F"/>
    <w:rsid w:val="008C3E8A"/>
    <w:rsid w:val="008D54A3"/>
    <w:rsid w:val="0091427D"/>
    <w:rsid w:val="00914E7D"/>
    <w:rsid w:val="00920872"/>
    <w:rsid w:val="009230C8"/>
    <w:rsid w:val="00941041"/>
    <w:rsid w:val="0094698D"/>
    <w:rsid w:val="00950C74"/>
    <w:rsid w:val="009619D8"/>
    <w:rsid w:val="0096362B"/>
    <w:rsid w:val="00973F36"/>
    <w:rsid w:val="009919AF"/>
    <w:rsid w:val="00996702"/>
    <w:rsid w:val="009A72B1"/>
    <w:rsid w:val="009B0ED1"/>
    <w:rsid w:val="009B30D4"/>
    <w:rsid w:val="009C4A46"/>
    <w:rsid w:val="009C757D"/>
    <w:rsid w:val="009D317E"/>
    <w:rsid w:val="009D506B"/>
    <w:rsid w:val="009D618D"/>
    <w:rsid w:val="009F2781"/>
    <w:rsid w:val="009F2BD9"/>
    <w:rsid w:val="00A023CF"/>
    <w:rsid w:val="00A03E54"/>
    <w:rsid w:val="00A10752"/>
    <w:rsid w:val="00A11A83"/>
    <w:rsid w:val="00A14826"/>
    <w:rsid w:val="00A17EDD"/>
    <w:rsid w:val="00A225B8"/>
    <w:rsid w:val="00A26604"/>
    <w:rsid w:val="00A270BC"/>
    <w:rsid w:val="00A33FBA"/>
    <w:rsid w:val="00A41989"/>
    <w:rsid w:val="00A438F4"/>
    <w:rsid w:val="00A46079"/>
    <w:rsid w:val="00A471B8"/>
    <w:rsid w:val="00A50717"/>
    <w:rsid w:val="00A83978"/>
    <w:rsid w:val="00A86E2D"/>
    <w:rsid w:val="00A91A88"/>
    <w:rsid w:val="00AC26BE"/>
    <w:rsid w:val="00AC4B15"/>
    <w:rsid w:val="00AD1F2F"/>
    <w:rsid w:val="00AD344F"/>
    <w:rsid w:val="00AD4041"/>
    <w:rsid w:val="00AE0244"/>
    <w:rsid w:val="00AE4D49"/>
    <w:rsid w:val="00AF47CC"/>
    <w:rsid w:val="00AF77AB"/>
    <w:rsid w:val="00B10CDB"/>
    <w:rsid w:val="00B17162"/>
    <w:rsid w:val="00B20A92"/>
    <w:rsid w:val="00B266D3"/>
    <w:rsid w:val="00B310F6"/>
    <w:rsid w:val="00B33C27"/>
    <w:rsid w:val="00B372FE"/>
    <w:rsid w:val="00B445E2"/>
    <w:rsid w:val="00B5135F"/>
    <w:rsid w:val="00B5449F"/>
    <w:rsid w:val="00B54543"/>
    <w:rsid w:val="00B55ED2"/>
    <w:rsid w:val="00B57A21"/>
    <w:rsid w:val="00B60E32"/>
    <w:rsid w:val="00B71E26"/>
    <w:rsid w:val="00B725C7"/>
    <w:rsid w:val="00B83F7A"/>
    <w:rsid w:val="00B91CE5"/>
    <w:rsid w:val="00BA65F7"/>
    <w:rsid w:val="00BB585E"/>
    <w:rsid w:val="00BC2980"/>
    <w:rsid w:val="00BC3999"/>
    <w:rsid w:val="00BF5FF3"/>
    <w:rsid w:val="00C0183A"/>
    <w:rsid w:val="00C01AB0"/>
    <w:rsid w:val="00C02AC4"/>
    <w:rsid w:val="00C07929"/>
    <w:rsid w:val="00C12E71"/>
    <w:rsid w:val="00C2286C"/>
    <w:rsid w:val="00C25C72"/>
    <w:rsid w:val="00C32370"/>
    <w:rsid w:val="00C41CDF"/>
    <w:rsid w:val="00C432CE"/>
    <w:rsid w:val="00C609E1"/>
    <w:rsid w:val="00C64A5C"/>
    <w:rsid w:val="00C722FB"/>
    <w:rsid w:val="00C81B51"/>
    <w:rsid w:val="00C839D6"/>
    <w:rsid w:val="00C84949"/>
    <w:rsid w:val="00C8588A"/>
    <w:rsid w:val="00C87ADC"/>
    <w:rsid w:val="00C9273F"/>
    <w:rsid w:val="00CA560E"/>
    <w:rsid w:val="00CB6CE8"/>
    <w:rsid w:val="00CD0D50"/>
    <w:rsid w:val="00CE7549"/>
    <w:rsid w:val="00CF1024"/>
    <w:rsid w:val="00D026DA"/>
    <w:rsid w:val="00D03459"/>
    <w:rsid w:val="00D07E38"/>
    <w:rsid w:val="00D10B3D"/>
    <w:rsid w:val="00D10C95"/>
    <w:rsid w:val="00D16F93"/>
    <w:rsid w:val="00D30910"/>
    <w:rsid w:val="00D45664"/>
    <w:rsid w:val="00D55B6A"/>
    <w:rsid w:val="00D55C5C"/>
    <w:rsid w:val="00D56CB4"/>
    <w:rsid w:val="00D6250E"/>
    <w:rsid w:val="00D65BF9"/>
    <w:rsid w:val="00D66761"/>
    <w:rsid w:val="00D82A46"/>
    <w:rsid w:val="00DE0EBD"/>
    <w:rsid w:val="00DF58DA"/>
    <w:rsid w:val="00E06C7E"/>
    <w:rsid w:val="00E10AEA"/>
    <w:rsid w:val="00E31359"/>
    <w:rsid w:val="00E41315"/>
    <w:rsid w:val="00E46ECA"/>
    <w:rsid w:val="00E624DB"/>
    <w:rsid w:val="00E87FE6"/>
    <w:rsid w:val="00E90052"/>
    <w:rsid w:val="00E97B01"/>
    <w:rsid w:val="00EA38D7"/>
    <w:rsid w:val="00EA70F5"/>
    <w:rsid w:val="00EB49F2"/>
    <w:rsid w:val="00EB5B91"/>
    <w:rsid w:val="00ED72B5"/>
    <w:rsid w:val="00EE1CE7"/>
    <w:rsid w:val="00EE6AC9"/>
    <w:rsid w:val="00F107DA"/>
    <w:rsid w:val="00F11093"/>
    <w:rsid w:val="00F145F7"/>
    <w:rsid w:val="00F14C08"/>
    <w:rsid w:val="00F16A08"/>
    <w:rsid w:val="00F263A8"/>
    <w:rsid w:val="00F26612"/>
    <w:rsid w:val="00F277B3"/>
    <w:rsid w:val="00F34A23"/>
    <w:rsid w:val="00F47E70"/>
    <w:rsid w:val="00F5192E"/>
    <w:rsid w:val="00F51966"/>
    <w:rsid w:val="00F53146"/>
    <w:rsid w:val="00F540DC"/>
    <w:rsid w:val="00F6425D"/>
    <w:rsid w:val="00F71536"/>
    <w:rsid w:val="00F7508F"/>
    <w:rsid w:val="00F97D4A"/>
    <w:rsid w:val="00FA04A8"/>
    <w:rsid w:val="00FB0D43"/>
    <w:rsid w:val="00FB263C"/>
    <w:rsid w:val="00FB61D1"/>
    <w:rsid w:val="00FD0297"/>
    <w:rsid w:val="00FD0349"/>
    <w:rsid w:val="00FE064B"/>
    <w:rsid w:val="00FE225C"/>
    <w:rsid w:val="00FE2E52"/>
    <w:rsid w:val="11CB4341"/>
    <w:rsid w:val="12F776EF"/>
    <w:rsid w:val="27762DB7"/>
    <w:rsid w:val="508F19B4"/>
    <w:rsid w:val="58002984"/>
    <w:rsid w:val="78820662"/>
    <w:rsid w:val="7BF7E6D6"/>
    <w:rsid w:val="DD4F6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0" w:semiHidden="0" w:name="Body Text First Indent"/>
    <w:lsdException w:qFormat="1" w:uiPriority="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next w:val="1"/>
    <w:link w:val="46"/>
    <w:qFormat/>
    <w:uiPriority w:val="9"/>
    <w:pPr>
      <w:keepNext/>
      <w:keepLines/>
      <w:spacing w:line="360" w:lineRule="auto"/>
      <w:jc w:val="center"/>
      <w:outlineLvl w:val="0"/>
    </w:pPr>
    <w:rPr>
      <w:rFonts w:ascii="Times New Roman" w:hAnsi="Times New Roman" w:eastAsia="黑体" w:cstheme="minorBidi"/>
      <w:bCs/>
      <w:kern w:val="44"/>
      <w:sz w:val="44"/>
      <w:szCs w:val="44"/>
      <w:lang w:val="en-US" w:eastAsia="zh-CN" w:bidi="ar-SA"/>
    </w:rPr>
  </w:style>
  <w:style w:type="paragraph" w:styleId="3">
    <w:name w:val="heading 2"/>
    <w:basedOn w:val="2"/>
    <w:next w:val="1"/>
    <w:link w:val="47"/>
    <w:unhideWhenUsed/>
    <w:qFormat/>
    <w:uiPriority w:val="0"/>
    <w:pPr>
      <w:jc w:val="left"/>
      <w:outlineLvl w:val="1"/>
    </w:pPr>
    <w:rPr>
      <w:rFonts w:cstheme="majorBidi"/>
      <w:bCs w:val="0"/>
      <w:sz w:val="30"/>
      <w:szCs w:val="32"/>
    </w:rPr>
  </w:style>
  <w:style w:type="paragraph" w:styleId="4">
    <w:name w:val="heading 3"/>
    <w:basedOn w:val="1"/>
    <w:next w:val="1"/>
    <w:link w:val="48"/>
    <w:unhideWhenUsed/>
    <w:qFormat/>
    <w:uiPriority w:val="0"/>
    <w:pPr>
      <w:keepNext/>
      <w:keepLines/>
      <w:ind w:firstLine="0" w:firstLineChars="0"/>
      <w:outlineLvl w:val="2"/>
    </w:pPr>
    <w:rPr>
      <w:rFonts w:eastAsia="黑体"/>
      <w:bCs/>
      <w:sz w:val="28"/>
      <w:szCs w:val="32"/>
    </w:rPr>
  </w:style>
  <w:style w:type="paragraph" w:styleId="5">
    <w:name w:val="heading 4"/>
    <w:basedOn w:val="1"/>
    <w:next w:val="1"/>
    <w:link w:val="4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7"/>
    <w:link w:val="52"/>
    <w:qFormat/>
    <w:uiPriority w:val="0"/>
    <w:pPr>
      <w:keepNext/>
      <w:keepLines/>
      <w:numPr>
        <w:ilvl w:val="4"/>
        <w:numId w:val="1"/>
      </w:numPr>
      <w:tabs>
        <w:tab w:val="clear" w:pos="1472"/>
      </w:tabs>
      <w:ind w:left="0" w:firstLine="0" w:firstLineChars="0"/>
      <w:outlineLvl w:val="4"/>
    </w:pPr>
    <w:rPr>
      <w:rFonts w:eastAsia="黑体"/>
      <w:bCs/>
      <w:szCs w:val="28"/>
    </w:rPr>
  </w:style>
  <w:style w:type="paragraph" w:styleId="9">
    <w:name w:val="heading 6"/>
    <w:basedOn w:val="1"/>
    <w:next w:val="1"/>
    <w:link w:val="53"/>
    <w:qFormat/>
    <w:uiPriority w:val="9"/>
    <w:pPr>
      <w:keepNext/>
      <w:keepLines/>
      <w:widowControl/>
      <w:snapToGrid w:val="0"/>
      <w:spacing w:before="240" w:after="64" w:line="320" w:lineRule="auto"/>
      <w:ind w:left="1152" w:firstLine="0" w:firstLineChars="0"/>
      <w:outlineLvl w:val="5"/>
    </w:pPr>
    <w:rPr>
      <w:rFonts w:asciiTheme="majorHAnsi" w:hAnsiTheme="majorHAnsi" w:eastAsiaTheme="majorEastAsia" w:cstheme="majorBidi"/>
      <w:b/>
      <w:bCs/>
      <w:szCs w:val="24"/>
    </w:rPr>
  </w:style>
  <w:style w:type="paragraph" w:styleId="10">
    <w:name w:val="heading 7"/>
    <w:basedOn w:val="1"/>
    <w:next w:val="1"/>
    <w:link w:val="54"/>
    <w:qFormat/>
    <w:uiPriority w:val="9"/>
    <w:pPr>
      <w:keepNext/>
      <w:keepLines/>
      <w:widowControl/>
      <w:snapToGrid w:val="0"/>
      <w:spacing w:before="240" w:after="64" w:line="320" w:lineRule="auto"/>
      <w:ind w:left="1296" w:firstLine="0" w:firstLineChars="0"/>
      <w:outlineLvl w:val="6"/>
    </w:pPr>
    <w:rPr>
      <w:b/>
      <w:bCs/>
      <w:szCs w:val="24"/>
    </w:rPr>
  </w:style>
  <w:style w:type="paragraph" w:styleId="11">
    <w:name w:val="heading 8"/>
    <w:basedOn w:val="1"/>
    <w:next w:val="1"/>
    <w:link w:val="55"/>
    <w:qFormat/>
    <w:uiPriority w:val="9"/>
    <w:pPr>
      <w:keepNext/>
      <w:keepLines/>
      <w:widowControl/>
      <w:snapToGrid w:val="0"/>
      <w:spacing w:before="240" w:after="64" w:line="320" w:lineRule="auto"/>
      <w:ind w:left="1440" w:firstLine="0" w:firstLineChars="0"/>
      <w:outlineLvl w:val="7"/>
    </w:pPr>
    <w:rPr>
      <w:rFonts w:asciiTheme="majorHAnsi" w:hAnsiTheme="majorHAnsi" w:eastAsiaTheme="majorEastAsia" w:cstheme="majorBidi"/>
      <w:szCs w:val="24"/>
    </w:rPr>
  </w:style>
  <w:style w:type="paragraph" w:styleId="12">
    <w:name w:val="heading 9"/>
    <w:basedOn w:val="1"/>
    <w:next w:val="1"/>
    <w:link w:val="56"/>
    <w:qFormat/>
    <w:uiPriority w:val="9"/>
    <w:pPr>
      <w:keepNext/>
      <w:keepLines/>
      <w:widowControl/>
      <w:snapToGrid w:val="0"/>
      <w:spacing w:before="240" w:after="64" w:line="320" w:lineRule="auto"/>
      <w:ind w:left="1584" w:firstLine="0" w:firstLineChars="0"/>
      <w:outlineLvl w:val="8"/>
    </w:pPr>
    <w:rPr>
      <w:rFonts w:asciiTheme="majorHAnsi" w:hAnsiTheme="majorHAnsi" w:eastAsiaTheme="majorEastAsia" w:cstheme="majorBidi"/>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7">
    <w:name w:val="Body Text First Indent 2"/>
    <w:basedOn w:val="8"/>
    <w:link w:val="51"/>
    <w:semiHidden/>
    <w:unhideWhenUsed/>
    <w:qFormat/>
    <w:uiPriority w:val="0"/>
    <w:pPr>
      <w:widowControl/>
      <w:snapToGrid w:val="0"/>
      <w:ind w:firstLine="420"/>
    </w:pPr>
    <w:rPr>
      <w:rFonts w:asciiTheme="minorHAnsi" w:hAnsiTheme="minorHAnsi"/>
      <w:szCs w:val="24"/>
    </w:rPr>
  </w:style>
  <w:style w:type="paragraph" w:styleId="8">
    <w:name w:val="Body Text Indent"/>
    <w:basedOn w:val="1"/>
    <w:link w:val="50"/>
    <w:semiHidden/>
    <w:unhideWhenUsed/>
    <w:qFormat/>
    <w:uiPriority w:val="0"/>
    <w:pPr>
      <w:spacing w:after="120"/>
      <w:ind w:left="420" w:leftChars="200"/>
    </w:pPr>
  </w:style>
  <w:style w:type="paragraph" w:styleId="13">
    <w:name w:val="toc 7"/>
    <w:basedOn w:val="1"/>
    <w:next w:val="1"/>
    <w:unhideWhenUsed/>
    <w:qFormat/>
    <w:uiPriority w:val="39"/>
    <w:pPr>
      <w:ind w:left="1440"/>
      <w:jc w:val="left"/>
    </w:pPr>
    <w:rPr>
      <w:rFonts w:asciiTheme="minorHAnsi" w:hAnsiTheme="minorHAnsi" w:cstheme="minorHAnsi"/>
      <w:sz w:val="20"/>
      <w:szCs w:val="20"/>
    </w:rPr>
  </w:style>
  <w:style w:type="paragraph" w:styleId="14">
    <w:name w:val="List Number"/>
    <w:basedOn w:val="1"/>
    <w:qFormat/>
    <w:uiPriority w:val="0"/>
    <w:pPr>
      <w:spacing w:line="240" w:lineRule="auto"/>
      <w:ind w:left="840" w:hanging="360" w:firstLineChars="0"/>
    </w:pPr>
    <w:rPr>
      <w:rFonts w:cs="Times New Roman"/>
      <w:sz w:val="28"/>
      <w:szCs w:val="20"/>
    </w:rPr>
  </w:style>
  <w:style w:type="paragraph" w:styleId="15">
    <w:name w:val="Normal Indent"/>
    <w:basedOn w:val="1"/>
    <w:link w:val="92"/>
    <w:qFormat/>
    <w:uiPriority w:val="99"/>
    <w:pPr>
      <w:adjustRightInd w:val="0"/>
      <w:snapToGrid w:val="0"/>
      <w:spacing w:line="360" w:lineRule="atLeast"/>
      <w:ind w:firstLine="420"/>
      <w:textAlignment w:val="baseline"/>
    </w:pPr>
    <w:rPr>
      <w:rFonts w:ascii="Calibri" w:hAnsi="Calibri" w:cs="Times New Roman"/>
      <w:kern w:val="0"/>
      <w:szCs w:val="20"/>
    </w:rPr>
  </w:style>
  <w:style w:type="paragraph" w:styleId="16">
    <w:name w:val="List Bullet"/>
    <w:basedOn w:val="1"/>
    <w:qFormat/>
    <w:uiPriority w:val="0"/>
    <w:pPr>
      <w:numPr>
        <w:ilvl w:val="0"/>
        <w:numId w:val="2"/>
      </w:numPr>
      <w:tabs>
        <w:tab w:val="left" w:pos="360"/>
      </w:tabs>
      <w:snapToGrid w:val="0"/>
      <w:spacing w:line="240" w:lineRule="auto"/>
    </w:pPr>
    <w:rPr>
      <w:rFonts w:cs="Times New Roman"/>
      <w:sz w:val="21"/>
      <w:szCs w:val="20"/>
    </w:rPr>
  </w:style>
  <w:style w:type="paragraph" w:styleId="17">
    <w:name w:val="Document Map"/>
    <w:basedOn w:val="1"/>
    <w:link w:val="69"/>
    <w:semiHidden/>
    <w:unhideWhenUsed/>
    <w:qFormat/>
    <w:uiPriority w:val="99"/>
    <w:rPr>
      <w:rFonts w:ascii="宋体"/>
      <w:sz w:val="18"/>
      <w:szCs w:val="18"/>
    </w:rPr>
  </w:style>
  <w:style w:type="paragraph" w:styleId="18">
    <w:name w:val="annotation text"/>
    <w:basedOn w:val="1"/>
    <w:link w:val="57"/>
    <w:unhideWhenUsed/>
    <w:qFormat/>
    <w:uiPriority w:val="0"/>
    <w:pPr>
      <w:jc w:val="left"/>
    </w:pPr>
  </w:style>
  <w:style w:type="paragraph" w:styleId="19">
    <w:name w:val="Body Text"/>
    <w:basedOn w:val="1"/>
    <w:link w:val="70"/>
    <w:qFormat/>
    <w:uiPriority w:val="0"/>
    <w:pPr>
      <w:spacing w:after="120" w:line="240" w:lineRule="auto"/>
      <w:ind w:firstLine="0" w:firstLineChars="0"/>
    </w:pPr>
    <w:rPr>
      <w:rFonts w:cs="Times New Roman"/>
      <w:kern w:val="0"/>
      <w:sz w:val="20"/>
      <w:szCs w:val="24"/>
    </w:rPr>
  </w:style>
  <w:style w:type="paragraph" w:styleId="20">
    <w:name w:val="Block Text"/>
    <w:basedOn w:val="1"/>
    <w:qFormat/>
    <w:uiPriority w:val="0"/>
    <w:pPr>
      <w:snapToGrid w:val="0"/>
      <w:ind w:left="63" w:leftChars="30" w:right="26" w:firstLine="360" w:firstLineChars="150"/>
    </w:pPr>
    <w:rPr>
      <w:rFonts w:ascii="Calibri" w:hAnsi="Calibri" w:cs="Times New Roman"/>
      <w:szCs w:val="20"/>
    </w:rPr>
  </w:style>
  <w:style w:type="paragraph" w:styleId="21">
    <w:name w:val="toc 5"/>
    <w:basedOn w:val="1"/>
    <w:next w:val="1"/>
    <w:unhideWhenUsed/>
    <w:qFormat/>
    <w:uiPriority w:val="39"/>
    <w:pPr>
      <w:ind w:left="960"/>
      <w:jc w:val="left"/>
    </w:pPr>
    <w:rPr>
      <w:rFonts w:asciiTheme="minorHAnsi" w:hAnsiTheme="minorHAnsi" w:cstheme="minorHAnsi"/>
      <w:sz w:val="20"/>
      <w:szCs w:val="20"/>
    </w:rPr>
  </w:style>
  <w:style w:type="paragraph" w:styleId="22">
    <w:name w:val="toc 3"/>
    <w:basedOn w:val="1"/>
    <w:next w:val="1"/>
    <w:unhideWhenUsed/>
    <w:qFormat/>
    <w:uiPriority w:val="39"/>
    <w:pPr>
      <w:ind w:left="480"/>
      <w:jc w:val="left"/>
    </w:pPr>
    <w:rPr>
      <w:rFonts w:asciiTheme="minorHAnsi" w:hAnsiTheme="minorHAnsi" w:cstheme="minorHAnsi"/>
      <w:sz w:val="20"/>
      <w:szCs w:val="20"/>
    </w:rPr>
  </w:style>
  <w:style w:type="paragraph" w:styleId="23">
    <w:name w:val="Plain Text"/>
    <w:basedOn w:val="1"/>
    <w:link w:val="93"/>
    <w:qFormat/>
    <w:uiPriority w:val="0"/>
    <w:pPr>
      <w:snapToGrid w:val="0"/>
      <w:spacing w:line="240" w:lineRule="auto"/>
    </w:pPr>
    <w:rPr>
      <w:rFonts w:ascii="宋体" w:hAnsi="Courier New" w:cs="Times New Roman"/>
      <w:sz w:val="21"/>
      <w:szCs w:val="20"/>
    </w:rPr>
  </w:style>
  <w:style w:type="paragraph" w:styleId="24">
    <w:name w:val="toc 8"/>
    <w:basedOn w:val="1"/>
    <w:next w:val="1"/>
    <w:unhideWhenUsed/>
    <w:qFormat/>
    <w:uiPriority w:val="39"/>
    <w:pPr>
      <w:ind w:left="1680"/>
      <w:jc w:val="left"/>
    </w:pPr>
    <w:rPr>
      <w:rFonts w:asciiTheme="minorHAnsi" w:hAnsiTheme="minorHAnsi" w:cstheme="minorHAnsi"/>
      <w:sz w:val="20"/>
      <w:szCs w:val="20"/>
    </w:rPr>
  </w:style>
  <w:style w:type="paragraph" w:styleId="25">
    <w:name w:val="Date"/>
    <w:basedOn w:val="1"/>
    <w:next w:val="1"/>
    <w:link w:val="95"/>
    <w:semiHidden/>
    <w:unhideWhenUsed/>
    <w:qFormat/>
    <w:uiPriority w:val="99"/>
    <w:pPr>
      <w:widowControl/>
      <w:ind w:left="100" w:leftChars="2500" w:firstLine="0" w:firstLineChars="0"/>
      <w:jc w:val="left"/>
    </w:pPr>
    <w:rPr>
      <w:rFonts w:asciiTheme="minorHAnsi" w:hAnsiTheme="minorHAnsi" w:eastAsiaTheme="minorEastAsia"/>
      <w:szCs w:val="24"/>
    </w:rPr>
  </w:style>
  <w:style w:type="paragraph" w:styleId="26">
    <w:name w:val="Body Text Indent 2"/>
    <w:basedOn w:val="1"/>
    <w:next w:val="1"/>
    <w:link w:val="97"/>
    <w:qFormat/>
    <w:uiPriority w:val="0"/>
    <w:pPr>
      <w:snapToGrid w:val="0"/>
      <w:ind w:firstLine="480"/>
    </w:pPr>
    <w:rPr>
      <w:rFonts w:ascii="宋体" w:hAnsi="Calibri" w:cs="Times New Roman"/>
      <w:color w:val="000000"/>
      <w:szCs w:val="20"/>
    </w:rPr>
  </w:style>
  <w:style w:type="paragraph" w:styleId="27">
    <w:name w:val="Balloon Text"/>
    <w:basedOn w:val="1"/>
    <w:link w:val="58"/>
    <w:semiHidden/>
    <w:unhideWhenUsed/>
    <w:qFormat/>
    <w:uiPriority w:val="99"/>
    <w:pPr>
      <w:spacing w:line="240" w:lineRule="auto"/>
    </w:pPr>
    <w:rPr>
      <w:sz w:val="18"/>
      <w:szCs w:val="18"/>
    </w:rPr>
  </w:style>
  <w:style w:type="paragraph" w:styleId="28">
    <w:name w:val="footer"/>
    <w:basedOn w:val="1"/>
    <w:link w:val="59"/>
    <w:unhideWhenUsed/>
    <w:qFormat/>
    <w:uiPriority w:val="99"/>
    <w:pPr>
      <w:tabs>
        <w:tab w:val="center" w:pos="4153"/>
        <w:tab w:val="right" w:pos="8306"/>
      </w:tabs>
      <w:snapToGrid w:val="0"/>
      <w:spacing w:line="240" w:lineRule="auto"/>
      <w:jc w:val="left"/>
    </w:pPr>
    <w:rPr>
      <w:sz w:val="18"/>
      <w:szCs w:val="18"/>
    </w:rPr>
  </w:style>
  <w:style w:type="paragraph" w:styleId="29">
    <w:name w:val="header"/>
    <w:basedOn w:val="1"/>
    <w:link w:val="6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0">
    <w:name w:val="toc 1"/>
    <w:basedOn w:val="1"/>
    <w:next w:val="1"/>
    <w:link w:val="174"/>
    <w:qFormat/>
    <w:uiPriority w:val="39"/>
    <w:pPr>
      <w:spacing w:before="240" w:after="120"/>
      <w:jc w:val="left"/>
    </w:pPr>
    <w:rPr>
      <w:rFonts w:asciiTheme="minorHAnsi" w:hAnsiTheme="minorHAnsi" w:cstheme="minorHAnsi"/>
      <w:b/>
      <w:bCs/>
      <w:sz w:val="20"/>
      <w:szCs w:val="20"/>
    </w:rPr>
  </w:style>
  <w:style w:type="paragraph" w:styleId="31">
    <w:name w:val="toc 4"/>
    <w:basedOn w:val="1"/>
    <w:next w:val="1"/>
    <w:unhideWhenUsed/>
    <w:qFormat/>
    <w:uiPriority w:val="39"/>
    <w:pPr>
      <w:ind w:left="720"/>
      <w:jc w:val="left"/>
    </w:pPr>
    <w:rPr>
      <w:rFonts w:asciiTheme="minorHAnsi" w:hAnsiTheme="minorHAnsi" w:cstheme="minorHAnsi"/>
      <w:sz w:val="20"/>
      <w:szCs w:val="20"/>
    </w:rPr>
  </w:style>
  <w:style w:type="paragraph" w:styleId="32">
    <w:name w:val="footnote text"/>
    <w:basedOn w:val="1"/>
    <w:link w:val="98"/>
    <w:qFormat/>
    <w:uiPriority w:val="0"/>
    <w:pPr>
      <w:snapToGrid w:val="0"/>
      <w:ind w:firstLine="480"/>
      <w:jc w:val="left"/>
    </w:pPr>
    <w:rPr>
      <w:rFonts w:cs="Times New Roman"/>
      <w:sz w:val="18"/>
      <w:szCs w:val="20"/>
    </w:rPr>
  </w:style>
  <w:style w:type="paragraph" w:styleId="33">
    <w:name w:val="toc 6"/>
    <w:basedOn w:val="1"/>
    <w:next w:val="1"/>
    <w:unhideWhenUsed/>
    <w:qFormat/>
    <w:uiPriority w:val="39"/>
    <w:pPr>
      <w:ind w:left="1200"/>
      <w:jc w:val="left"/>
    </w:pPr>
    <w:rPr>
      <w:rFonts w:asciiTheme="minorHAnsi" w:hAnsiTheme="minorHAnsi" w:cstheme="minorHAnsi"/>
      <w:sz w:val="20"/>
      <w:szCs w:val="20"/>
    </w:rPr>
  </w:style>
  <w:style w:type="paragraph" w:styleId="34">
    <w:name w:val="toc 2"/>
    <w:basedOn w:val="1"/>
    <w:next w:val="1"/>
    <w:qFormat/>
    <w:uiPriority w:val="39"/>
    <w:pPr>
      <w:spacing w:before="120"/>
      <w:ind w:left="240"/>
      <w:jc w:val="left"/>
    </w:pPr>
    <w:rPr>
      <w:rFonts w:asciiTheme="minorHAnsi" w:hAnsiTheme="minorHAnsi" w:cstheme="minorHAnsi"/>
      <w:i/>
      <w:iCs/>
      <w:sz w:val="20"/>
      <w:szCs w:val="20"/>
    </w:rPr>
  </w:style>
  <w:style w:type="paragraph" w:styleId="35">
    <w:name w:val="toc 9"/>
    <w:basedOn w:val="1"/>
    <w:next w:val="1"/>
    <w:unhideWhenUsed/>
    <w:qFormat/>
    <w:uiPriority w:val="39"/>
    <w:pPr>
      <w:ind w:left="1920"/>
      <w:jc w:val="left"/>
    </w:pPr>
    <w:rPr>
      <w:rFonts w:asciiTheme="minorHAnsi" w:hAnsiTheme="minorHAnsi" w:cstheme="minorHAnsi"/>
      <w:sz w:val="20"/>
      <w:szCs w:val="20"/>
    </w:rPr>
  </w:style>
  <w:style w:type="paragraph" w:styleId="36">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7">
    <w:name w:val="Title"/>
    <w:basedOn w:val="3"/>
    <w:next w:val="1"/>
    <w:link w:val="61"/>
    <w:qFormat/>
    <w:uiPriority w:val="10"/>
    <w:pPr>
      <w:outlineLvl w:val="2"/>
    </w:pPr>
    <w:rPr>
      <w:bCs/>
      <w:sz w:val="28"/>
    </w:rPr>
  </w:style>
  <w:style w:type="paragraph" w:styleId="38">
    <w:name w:val="annotation subject"/>
    <w:basedOn w:val="18"/>
    <w:next w:val="18"/>
    <w:link w:val="68"/>
    <w:semiHidden/>
    <w:unhideWhenUsed/>
    <w:qFormat/>
    <w:uiPriority w:val="99"/>
    <w:rPr>
      <w:b/>
      <w:bCs/>
    </w:rPr>
  </w:style>
  <w:style w:type="paragraph" w:styleId="39">
    <w:name w:val="Body Text First Indent"/>
    <w:basedOn w:val="19"/>
    <w:link w:val="99"/>
    <w:unhideWhenUsed/>
    <w:qFormat/>
    <w:uiPriority w:val="0"/>
    <w:pPr>
      <w:widowControl/>
      <w:spacing w:line="360" w:lineRule="auto"/>
      <w:ind w:firstLine="420" w:firstLineChars="100"/>
      <w:jc w:val="left"/>
    </w:pPr>
    <w:rPr>
      <w:kern w:val="2"/>
      <w:sz w:val="24"/>
    </w:rPr>
  </w:style>
  <w:style w:type="table" w:styleId="41">
    <w:name w:val="Table Grid"/>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FollowedHyperlink"/>
    <w:basedOn w:val="42"/>
    <w:semiHidden/>
    <w:unhideWhenUsed/>
    <w:qFormat/>
    <w:uiPriority w:val="99"/>
    <w:rPr>
      <w:color w:val="800080"/>
      <w:u w:val="single"/>
    </w:rPr>
  </w:style>
  <w:style w:type="character" w:styleId="44">
    <w:name w:val="Hyperlink"/>
    <w:qFormat/>
    <w:uiPriority w:val="99"/>
    <w:rPr>
      <w:color w:val="333333"/>
      <w:u w:val="none"/>
    </w:rPr>
  </w:style>
  <w:style w:type="character" w:styleId="45">
    <w:name w:val="annotation reference"/>
    <w:basedOn w:val="42"/>
    <w:semiHidden/>
    <w:unhideWhenUsed/>
    <w:qFormat/>
    <w:uiPriority w:val="0"/>
    <w:rPr>
      <w:sz w:val="21"/>
      <w:szCs w:val="21"/>
    </w:rPr>
  </w:style>
  <w:style w:type="character" w:customStyle="1" w:styleId="46">
    <w:name w:val="标题 1 字符"/>
    <w:basedOn w:val="42"/>
    <w:link w:val="2"/>
    <w:qFormat/>
    <w:uiPriority w:val="9"/>
    <w:rPr>
      <w:rFonts w:ascii="Times New Roman" w:hAnsi="Times New Roman" w:eastAsia="黑体"/>
      <w:bCs/>
      <w:kern w:val="44"/>
      <w:sz w:val="44"/>
      <w:szCs w:val="44"/>
    </w:rPr>
  </w:style>
  <w:style w:type="character" w:customStyle="1" w:styleId="47">
    <w:name w:val="标题 2 字符"/>
    <w:basedOn w:val="42"/>
    <w:link w:val="3"/>
    <w:qFormat/>
    <w:uiPriority w:val="0"/>
    <w:rPr>
      <w:rFonts w:ascii="Times New Roman" w:hAnsi="Times New Roman" w:eastAsia="黑体" w:cstheme="majorBidi"/>
      <w:kern w:val="44"/>
      <w:sz w:val="30"/>
      <w:szCs w:val="32"/>
    </w:rPr>
  </w:style>
  <w:style w:type="character" w:customStyle="1" w:styleId="48">
    <w:name w:val="标题 3 字符"/>
    <w:basedOn w:val="42"/>
    <w:link w:val="4"/>
    <w:qFormat/>
    <w:uiPriority w:val="0"/>
    <w:rPr>
      <w:rFonts w:ascii="Times New Roman" w:hAnsi="Times New Roman" w:eastAsia="黑体"/>
      <w:bCs/>
      <w:sz w:val="28"/>
      <w:szCs w:val="32"/>
    </w:rPr>
  </w:style>
  <w:style w:type="character" w:customStyle="1" w:styleId="49">
    <w:name w:val="标题 4 字符"/>
    <w:basedOn w:val="42"/>
    <w:link w:val="5"/>
    <w:qFormat/>
    <w:uiPriority w:val="0"/>
    <w:rPr>
      <w:rFonts w:asciiTheme="majorHAnsi" w:hAnsiTheme="majorHAnsi" w:eastAsiaTheme="majorEastAsia" w:cstheme="majorBidi"/>
      <w:b/>
      <w:bCs/>
      <w:sz w:val="28"/>
      <w:szCs w:val="28"/>
    </w:rPr>
  </w:style>
  <w:style w:type="character" w:customStyle="1" w:styleId="50">
    <w:name w:val="正文文本缩进 字符"/>
    <w:basedOn w:val="42"/>
    <w:link w:val="8"/>
    <w:semiHidden/>
    <w:qFormat/>
    <w:uiPriority w:val="0"/>
    <w:rPr>
      <w:rFonts w:ascii="Times New Roman" w:hAnsi="Times New Roman" w:eastAsia="宋体"/>
      <w:sz w:val="24"/>
    </w:rPr>
  </w:style>
  <w:style w:type="character" w:customStyle="1" w:styleId="51">
    <w:name w:val="正文首行缩进 2 字符"/>
    <w:basedOn w:val="50"/>
    <w:link w:val="7"/>
    <w:semiHidden/>
    <w:qFormat/>
    <w:uiPriority w:val="0"/>
    <w:rPr>
      <w:rFonts w:ascii="Times New Roman" w:hAnsi="Times New Roman" w:eastAsia="宋体"/>
      <w:sz w:val="24"/>
      <w:szCs w:val="24"/>
    </w:rPr>
  </w:style>
  <w:style w:type="character" w:customStyle="1" w:styleId="52">
    <w:name w:val="标题 5 字符"/>
    <w:basedOn w:val="42"/>
    <w:link w:val="6"/>
    <w:qFormat/>
    <w:uiPriority w:val="0"/>
    <w:rPr>
      <w:rFonts w:ascii="Times New Roman" w:hAnsi="Times New Roman" w:eastAsia="黑体"/>
      <w:bCs/>
      <w:sz w:val="24"/>
      <w:szCs w:val="28"/>
    </w:rPr>
  </w:style>
  <w:style w:type="character" w:customStyle="1" w:styleId="53">
    <w:name w:val="标题 6 字符"/>
    <w:basedOn w:val="42"/>
    <w:link w:val="9"/>
    <w:qFormat/>
    <w:uiPriority w:val="9"/>
    <w:rPr>
      <w:rFonts w:asciiTheme="majorHAnsi" w:hAnsiTheme="majorHAnsi" w:eastAsiaTheme="majorEastAsia" w:cstheme="majorBidi"/>
      <w:b/>
      <w:bCs/>
      <w:sz w:val="24"/>
      <w:szCs w:val="24"/>
    </w:rPr>
  </w:style>
  <w:style w:type="character" w:customStyle="1" w:styleId="54">
    <w:name w:val="标题 7 字符"/>
    <w:basedOn w:val="42"/>
    <w:link w:val="10"/>
    <w:qFormat/>
    <w:uiPriority w:val="9"/>
    <w:rPr>
      <w:rFonts w:ascii="Times New Roman" w:hAnsi="Times New Roman" w:eastAsia="宋体"/>
      <w:b/>
      <w:bCs/>
      <w:sz w:val="24"/>
      <w:szCs w:val="24"/>
    </w:rPr>
  </w:style>
  <w:style w:type="character" w:customStyle="1" w:styleId="55">
    <w:name w:val="标题 8 字符"/>
    <w:basedOn w:val="42"/>
    <w:link w:val="11"/>
    <w:qFormat/>
    <w:uiPriority w:val="9"/>
    <w:rPr>
      <w:rFonts w:asciiTheme="majorHAnsi" w:hAnsiTheme="majorHAnsi" w:eastAsiaTheme="majorEastAsia" w:cstheme="majorBidi"/>
      <w:sz w:val="24"/>
      <w:szCs w:val="24"/>
    </w:rPr>
  </w:style>
  <w:style w:type="character" w:customStyle="1" w:styleId="56">
    <w:name w:val="标题 9 字符"/>
    <w:basedOn w:val="42"/>
    <w:link w:val="12"/>
    <w:qFormat/>
    <w:uiPriority w:val="9"/>
    <w:rPr>
      <w:rFonts w:asciiTheme="majorHAnsi" w:hAnsiTheme="majorHAnsi" w:eastAsiaTheme="majorEastAsia" w:cstheme="majorBidi"/>
      <w:sz w:val="24"/>
      <w:szCs w:val="21"/>
    </w:rPr>
  </w:style>
  <w:style w:type="character" w:customStyle="1" w:styleId="57">
    <w:name w:val="批注文字 字符"/>
    <w:basedOn w:val="42"/>
    <w:link w:val="18"/>
    <w:qFormat/>
    <w:uiPriority w:val="0"/>
    <w:rPr>
      <w:rFonts w:ascii="Times New Roman" w:hAnsi="Times New Roman" w:eastAsia="宋体"/>
      <w:sz w:val="24"/>
    </w:rPr>
  </w:style>
  <w:style w:type="character" w:customStyle="1" w:styleId="58">
    <w:name w:val="批注框文本 字符"/>
    <w:basedOn w:val="42"/>
    <w:link w:val="27"/>
    <w:semiHidden/>
    <w:qFormat/>
    <w:uiPriority w:val="99"/>
    <w:rPr>
      <w:rFonts w:ascii="Times New Roman" w:hAnsi="Times New Roman" w:eastAsia="宋体"/>
      <w:sz w:val="18"/>
      <w:szCs w:val="18"/>
    </w:rPr>
  </w:style>
  <w:style w:type="character" w:customStyle="1" w:styleId="59">
    <w:name w:val="页脚 字符"/>
    <w:basedOn w:val="42"/>
    <w:link w:val="28"/>
    <w:qFormat/>
    <w:uiPriority w:val="99"/>
    <w:rPr>
      <w:rFonts w:ascii="Times New Roman" w:hAnsi="Times New Roman" w:eastAsia="宋体"/>
      <w:sz w:val="18"/>
      <w:szCs w:val="18"/>
    </w:rPr>
  </w:style>
  <w:style w:type="character" w:customStyle="1" w:styleId="60">
    <w:name w:val="页眉 字符"/>
    <w:basedOn w:val="42"/>
    <w:link w:val="29"/>
    <w:qFormat/>
    <w:uiPriority w:val="99"/>
    <w:rPr>
      <w:rFonts w:ascii="Times New Roman" w:hAnsi="Times New Roman" w:eastAsia="宋体"/>
      <w:sz w:val="18"/>
      <w:szCs w:val="18"/>
    </w:rPr>
  </w:style>
  <w:style w:type="character" w:customStyle="1" w:styleId="61">
    <w:name w:val="标题 字符"/>
    <w:basedOn w:val="42"/>
    <w:link w:val="37"/>
    <w:qFormat/>
    <w:uiPriority w:val="10"/>
    <w:rPr>
      <w:rFonts w:ascii="Times New Roman" w:hAnsi="Times New Roman" w:eastAsia="黑体" w:cstheme="majorBidi"/>
      <w:bCs/>
      <w:kern w:val="44"/>
      <w:sz w:val="28"/>
      <w:szCs w:val="32"/>
    </w:rPr>
  </w:style>
  <w:style w:type="paragraph" w:customStyle="1" w:styleId="62">
    <w:name w:val="代-标题4"/>
    <w:basedOn w:val="4"/>
    <w:link w:val="63"/>
    <w:qFormat/>
    <w:uiPriority w:val="0"/>
    <w:pPr>
      <w:outlineLvl w:val="3"/>
    </w:pPr>
    <w:rPr>
      <w:sz w:val="24"/>
    </w:rPr>
  </w:style>
  <w:style w:type="character" w:customStyle="1" w:styleId="63">
    <w:name w:val="代-标题4 字符"/>
    <w:basedOn w:val="42"/>
    <w:link w:val="62"/>
    <w:qFormat/>
    <w:uiPriority w:val="0"/>
    <w:rPr>
      <w:rFonts w:ascii="Times New Roman" w:hAnsi="Times New Roman" w:eastAsia="黑体"/>
      <w:bCs/>
      <w:sz w:val="24"/>
      <w:szCs w:val="32"/>
    </w:rPr>
  </w:style>
  <w:style w:type="paragraph" w:customStyle="1" w:styleId="64">
    <w:name w:val="表格标题"/>
    <w:basedOn w:val="1"/>
    <w:link w:val="65"/>
    <w:qFormat/>
    <w:uiPriority w:val="0"/>
    <w:pPr>
      <w:ind w:firstLine="0" w:firstLineChars="0"/>
      <w:jc w:val="center"/>
    </w:pPr>
    <w:rPr>
      <w:rFonts w:eastAsia="黑体"/>
      <w:szCs w:val="32"/>
    </w:rPr>
  </w:style>
  <w:style w:type="character" w:customStyle="1" w:styleId="65">
    <w:name w:val="表格标题 字符"/>
    <w:basedOn w:val="63"/>
    <w:link w:val="64"/>
    <w:qFormat/>
    <w:uiPriority w:val="0"/>
    <w:rPr>
      <w:rFonts w:ascii="Times New Roman" w:hAnsi="Times New Roman" w:eastAsia="黑体"/>
      <w:bCs w:val="0"/>
      <w:sz w:val="24"/>
      <w:szCs w:val="32"/>
    </w:rPr>
  </w:style>
  <w:style w:type="paragraph" w:customStyle="1" w:styleId="66">
    <w:name w:val="表内文字"/>
    <w:link w:val="67"/>
    <w:qFormat/>
    <w:uiPriority w:val="0"/>
    <w:pPr>
      <w:jc w:val="center"/>
    </w:pPr>
    <w:rPr>
      <w:rFonts w:ascii="Times New Roman" w:hAnsi="Times New Roman" w:eastAsia="宋体" w:cstheme="minorBidi"/>
      <w:kern w:val="2"/>
      <w:sz w:val="24"/>
      <w:szCs w:val="32"/>
      <w:lang w:val="en-US" w:eastAsia="zh-CN" w:bidi="ar-SA"/>
    </w:rPr>
  </w:style>
  <w:style w:type="character" w:customStyle="1" w:styleId="67">
    <w:name w:val="表内文字 字符"/>
    <w:basedOn w:val="65"/>
    <w:link w:val="66"/>
    <w:qFormat/>
    <w:uiPriority w:val="0"/>
    <w:rPr>
      <w:rFonts w:ascii="Times New Roman" w:hAnsi="Times New Roman" w:eastAsia="宋体"/>
      <w:sz w:val="24"/>
      <w:szCs w:val="32"/>
    </w:rPr>
  </w:style>
  <w:style w:type="character" w:customStyle="1" w:styleId="68">
    <w:name w:val="批注主题 字符"/>
    <w:basedOn w:val="57"/>
    <w:link w:val="38"/>
    <w:semiHidden/>
    <w:qFormat/>
    <w:uiPriority w:val="99"/>
    <w:rPr>
      <w:rFonts w:ascii="Times New Roman" w:hAnsi="Times New Roman" w:eastAsia="宋体"/>
      <w:b/>
      <w:bCs/>
      <w:sz w:val="24"/>
    </w:rPr>
  </w:style>
  <w:style w:type="character" w:customStyle="1" w:styleId="69">
    <w:name w:val="文档结构图 字符"/>
    <w:basedOn w:val="42"/>
    <w:link w:val="17"/>
    <w:semiHidden/>
    <w:qFormat/>
    <w:uiPriority w:val="99"/>
    <w:rPr>
      <w:rFonts w:ascii="宋体" w:hAnsi="Times New Roman" w:eastAsia="宋体"/>
      <w:sz w:val="18"/>
      <w:szCs w:val="18"/>
    </w:rPr>
  </w:style>
  <w:style w:type="character" w:customStyle="1" w:styleId="70">
    <w:name w:val="正文文本 字符1"/>
    <w:link w:val="19"/>
    <w:qFormat/>
    <w:uiPriority w:val="0"/>
    <w:rPr>
      <w:rFonts w:ascii="Times New Roman" w:hAnsi="Times New Roman" w:eastAsia="宋体" w:cs="Times New Roman"/>
      <w:kern w:val="0"/>
      <w:sz w:val="20"/>
      <w:szCs w:val="24"/>
    </w:rPr>
  </w:style>
  <w:style w:type="character" w:customStyle="1" w:styleId="71">
    <w:name w:val="正文文本 字符"/>
    <w:basedOn w:val="42"/>
    <w:qFormat/>
    <w:uiPriority w:val="99"/>
    <w:rPr>
      <w:rFonts w:ascii="Times New Roman" w:hAnsi="Times New Roman" w:eastAsia="宋体"/>
      <w:sz w:val="24"/>
    </w:rPr>
  </w:style>
  <w:style w:type="character" w:customStyle="1" w:styleId="72">
    <w:name w:val="正文文本 Char"/>
    <w:basedOn w:val="42"/>
    <w:qFormat/>
    <w:uiPriority w:val="1"/>
    <w:rPr>
      <w:rFonts w:ascii="Times New Roman" w:hAnsi="Times New Roman" w:eastAsia="宋体"/>
      <w:kern w:val="2"/>
      <w:sz w:val="24"/>
      <w:szCs w:val="22"/>
    </w:rPr>
  </w:style>
  <w:style w:type="character" w:customStyle="1" w:styleId="73">
    <w:name w:val="页脚 Char6"/>
    <w:qFormat/>
    <w:uiPriority w:val="99"/>
    <w:rPr>
      <w:rFonts w:ascii="Calibri" w:hAnsi="Calibri" w:eastAsia="宋体" w:cs="Times New Roman"/>
      <w:sz w:val="18"/>
      <w:szCs w:val="18"/>
    </w:rPr>
  </w:style>
  <w:style w:type="character" w:customStyle="1" w:styleId="74">
    <w:name w:val="Char Char117"/>
    <w:qFormat/>
    <w:uiPriority w:val="0"/>
    <w:rPr>
      <w:rFonts w:eastAsia="宋体"/>
      <w:kern w:val="2"/>
      <w:sz w:val="21"/>
      <w:szCs w:val="24"/>
      <w:lang w:val="en-US" w:eastAsia="zh-CN" w:bidi="ar-SA"/>
    </w:rPr>
  </w:style>
  <w:style w:type="character" w:customStyle="1" w:styleId="75">
    <w:name w:val="font51"/>
    <w:basedOn w:val="42"/>
    <w:qFormat/>
    <w:uiPriority w:val="0"/>
    <w:rPr>
      <w:rFonts w:hint="eastAsia" w:ascii="宋体" w:hAnsi="宋体" w:eastAsia="宋体" w:cs="宋体"/>
      <w:color w:val="000000"/>
      <w:sz w:val="24"/>
      <w:szCs w:val="24"/>
      <w:u w:val="none"/>
    </w:rPr>
  </w:style>
  <w:style w:type="character" w:customStyle="1" w:styleId="76">
    <w:name w:val="font41"/>
    <w:basedOn w:val="42"/>
    <w:qFormat/>
    <w:uiPriority w:val="0"/>
    <w:rPr>
      <w:rFonts w:hint="default" w:ascii="Times New Roman" w:hAnsi="Times New Roman" w:cs="Times New Roman"/>
      <w:color w:val="000000"/>
      <w:sz w:val="24"/>
      <w:szCs w:val="24"/>
      <w:u w:val="none"/>
    </w:rPr>
  </w:style>
  <w:style w:type="character" w:customStyle="1" w:styleId="77">
    <w:name w:val="font151"/>
    <w:basedOn w:val="42"/>
    <w:qFormat/>
    <w:uiPriority w:val="0"/>
    <w:rPr>
      <w:rFonts w:hint="eastAsia" w:ascii="宋体" w:hAnsi="宋体" w:eastAsia="宋体" w:cs="宋体"/>
      <w:color w:val="000000"/>
      <w:sz w:val="24"/>
      <w:szCs w:val="24"/>
      <w:u w:val="none"/>
      <w:vertAlign w:val="superscript"/>
    </w:rPr>
  </w:style>
  <w:style w:type="character" w:customStyle="1" w:styleId="78">
    <w:name w:val="font71"/>
    <w:basedOn w:val="42"/>
    <w:qFormat/>
    <w:uiPriority w:val="0"/>
    <w:rPr>
      <w:rFonts w:hint="eastAsia" w:ascii="宋体" w:hAnsi="宋体" w:eastAsia="宋体" w:cs="宋体"/>
      <w:color w:val="000000"/>
      <w:sz w:val="24"/>
      <w:szCs w:val="24"/>
      <w:u w:val="none"/>
    </w:rPr>
  </w:style>
  <w:style w:type="character" w:customStyle="1" w:styleId="79">
    <w:name w:val="font81"/>
    <w:basedOn w:val="42"/>
    <w:qFormat/>
    <w:uiPriority w:val="0"/>
    <w:rPr>
      <w:rFonts w:hint="default" w:ascii="Times New Roman" w:hAnsi="Times New Roman" w:cs="Times New Roman"/>
      <w:color w:val="000000"/>
      <w:sz w:val="24"/>
      <w:szCs w:val="24"/>
      <w:u w:val="none"/>
    </w:rPr>
  </w:style>
  <w:style w:type="character" w:customStyle="1" w:styleId="80">
    <w:name w:val="font91"/>
    <w:basedOn w:val="42"/>
    <w:qFormat/>
    <w:uiPriority w:val="0"/>
    <w:rPr>
      <w:rFonts w:hint="default" w:ascii="Times New Roman" w:hAnsi="Times New Roman" w:cs="Times New Roman"/>
      <w:color w:val="000000"/>
      <w:sz w:val="24"/>
      <w:szCs w:val="24"/>
      <w:u w:val="none"/>
      <w:vertAlign w:val="superscript"/>
    </w:rPr>
  </w:style>
  <w:style w:type="character" w:customStyle="1" w:styleId="81">
    <w:name w:val="font101"/>
    <w:basedOn w:val="42"/>
    <w:qFormat/>
    <w:uiPriority w:val="0"/>
    <w:rPr>
      <w:rFonts w:hint="default" w:ascii="Calibri" w:hAnsi="Calibri" w:cs="Calibri"/>
      <w:color w:val="000000"/>
      <w:sz w:val="24"/>
      <w:szCs w:val="24"/>
      <w:u w:val="none"/>
    </w:rPr>
  </w:style>
  <w:style w:type="character" w:customStyle="1" w:styleId="82">
    <w:name w:val="font161"/>
    <w:basedOn w:val="42"/>
    <w:qFormat/>
    <w:uiPriority w:val="0"/>
    <w:rPr>
      <w:rFonts w:hint="eastAsia" w:ascii="宋体" w:hAnsi="宋体" w:eastAsia="宋体" w:cs="宋体"/>
      <w:color w:val="000000"/>
      <w:sz w:val="24"/>
      <w:szCs w:val="24"/>
      <w:u w:val="none"/>
      <w:vertAlign w:val="superscript"/>
    </w:rPr>
  </w:style>
  <w:style w:type="character" w:customStyle="1" w:styleId="83">
    <w:name w:val="font31"/>
    <w:basedOn w:val="42"/>
    <w:qFormat/>
    <w:uiPriority w:val="0"/>
    <w:rPr>
      <w:rFonts w:hint="default" w:ascii="Times New Roman" w:hAnsi="Times New Roman" w:cs="Times New Roman"/>
      <w:color w:val="000000"/>
      <w:sz w:val="24"/>
      <w:szCs w:val="24"/>
      <w:u w:val="none"/>
      <w:vertAlign w:val="superscript"/>
    </w:rPr>
  </w:style>
  <w:style w:type="character" w:customStyle="1" w:styleId="84">
    <w:name w:val="font121"/>
    <w:basedOn w:val="42"/>
    <w:qFormat/>
    <w:uiPriority w:val="0"/>
    <w:rPr>
      <w:rFonts w:hint="eastAsia" w:ascii="宋体" w:hAnsi="宋体" w:eastAsia="宋体" w:cs="宋体"/>
      <w:color w:val="000000"/>
      <w:sz w:val="24"/>
      <w:szCs w:val="24"/>
      <w:u w:val="single"/>
    </w:rPr>
  </w:style>
  <w:style w:type="character" w:customStyle="1" w:styleId="85">
    <w:name w:val="font171"/>
    <w:basedOn w:val="42"/>
    <w:qFormat/>
    <w:uiPriority w:val="0"/>
    <w:rPr>
      <w:rFonts w:hint="default" w:ascii="Times New Roman" w:hAnsi="Times New Roman" w:cs="Times New Roman"/>
      <w:color w:val="000000"/>
      <w:sz w:val="24"/>
      <w:szCs w:val="24"/>
      <w:u w:val="single"/>
    </w:rPr>
  </w:style>
  <w:style w:type="character" w:customStyle="1" w:styleId="86">
    <w:name w:val="font111"/>
    <w:basedOn w:val="42"/>
    <w:qFormat/>
    <w:uiPriority w:val="0"/>
    <w:rPr>
      <w:rFonts w:hint="default" w:ascii="Times New Roman" w:hAnsi="Times New Roman" w:cs="Times New Roman"/>
      <w:color w:val="000000"/>
      <w:sz w:val="24"/>
      <w:szCs w:val="24"/>
      <w:u w:val="single"/>
      <w:vertAlign w:val="superscript"/>
    </w:rPr>
  </w:style>
  <w:style w:type="character" w:customStyle="1" w:styleId="87">
    <w:name w:val="font141"/>
    <w:basedOn w:val="42"/>
    <w:qFormat/>
    <w:uiPriority w:val="0"/>
    <w:rPr>
      <w:rFonts w:hint="eastAsia" w:ascii="宋体" w:hAnsi="宋体" w:eastAsia="宋体" w:cs="宋体"/>
      <w:color w:val="000000"/>
      <w:sz w:val="24"/>
      <w:szCs w:val="24"/>
      <w:u w:val="none"/>
    </w:rPr>
  </w:style>
  <w:style w:type="character" w:customStyle="1" w:styleId="88">
    <w:name w:val="font181"/>
    <w:basedOn w:val="42"/>
    <w:qFormat/>
    <w:uiPriority w:val="0"/>
    <w:rPr>
      <w:rFonts w:hint="default" w:ascii="Times New Roman" w:hAnsi="Times New Roman" w:cs="Times New Roman"/>
      <w:color w:val="000000"/>
      <w:sz w:val="24"/>
      <w:szCs w:val="24"/>
      <w:u w:val="none"/>
    </w:rPr>
  </w:style>
  <w:style w:type="paragraph" w:styleId="89">
    <w:name w:val="List Paragraph"/>
    <w:basedOn w:val="1"/>
    <w:qFormat/>
    <w:uiPriority w:val="34"/>
    <w:pPr>
      <w:ind w:firstLine="420"/>
    </w:pPr>
  </w:style>
  <w:style w:type="paragraph" w:customStyle="1" w:styleId="90">
    <w:name w:val="GH-正文"/>
    <w:basedOn w:val="1"/>
    <w:link w:val="91"/>
    <w:qFormat/>
    <w:uiPriority w:val="0"/>
    <w:pPr>
      <w:ind w:firstLine="480"/>
    </w:pPr>
    <w:rPr>
      <w:rFonts w:cs="Times New Roman"/>
      <w:szCs w:val="20"/>
    </w:rPr>
  </w:style>
  <w:style w:type="character" w:customStyle="1" w:styleId="91">
    <w:name w:val="GH-正文 字符"/>
    <w:basedOn w:val="42"/>
    <w:link w:val="90"/>
    <w:qFormat/>
    <w:uiPriority w:val="0"/>
    <w:rPr>
      <w:rFonts w:ascii="Times New Roman" w:hAnsi="Times New Roman" w:eastAsia="宋体" w:cs="Times New Roman"/>
      <w:sz w:val="24"/>
      <w:szCs w:val="20"/>
    </w:rPr>
  </w:style>
  <w:style w:type="character" w:customStyle="1" w:styleId="92">
    <w:name w:val="正文缩进 字符"/>
    <w:link w:val="15"/>
    <w:qFormat/>
    <w:uiPriority w:val="99"/>
    <w:rPr>
      <w:rFonts w:ascii="Calibri" w:hAnsi="Calibri" w:eastAsia="宋体" w:cs="Times New Roman"/>
      <w:kern w:val="0"/>
      <w:sz w:val="24"/>
      <w:szCs w:val="20"/>
    </w:rPr>
  </w:style>
  <w:style w:type="character" w:customStyle="1" w:styleId="93">
    <w:name w:val="纯文本 字符1"/>
    <w:basedOn w:val="42"/>
    <w:link w:val="23"/>
    <w:qFormat/>
    <w:uiPriority w:val="0"/>
    <w:rPr>
      <w:rFonts w:ascii="宋体" w:hAnsi="Courier New" w:eastAsia="宋体" w:cs="Times New Roman"/>
      <w:szCs w:val="20"/>
    </w:rPr>
  </w:style>
  <w:style w:type="character" w:customStyle="1" w:styleId="94">
    <w:name w:val="纯文本 字符"/>
    <w:basedOn w:val="42"/>
    <w:uiPriority w:val="0"/>
    <w:rPr>
      <w:rFonts w:hAnsi="Courier New" w:cs="Courier New" w:asciiTheme="minorEastAsia"/>
      <w:sz w:val="24"/>
    </w:rPr>
  </w:style>
  <w:style w:type="character" w:customStyle="1" w:styleId="95">
    <w:name w:val="日期 字符"/>
    <w:basedOn w:val="42"/>
    <w:link w:val="25"/>
    <w:semiHidden/>
    <w:qFormat/>
    <w:uiPriority w:val="99"/>
    <w:rPr>
      <w:sz w:val="24"/>
      <w:szCs w:val="24"/>
    </w:rPr>
  </w:style>
  <w:style w:type="character" w:customStyle="1" w:styleId="96">
    <w:name w:val="日期 字符1"/>
    <w:basedOn w:val="42"/>
    <w:semiHidden/>
    <w:qFormat/>
    <w:uiPriority w:val="99"/>
    <w:rPr>
      <w:rFonts w:ascii="Times New Roman" w:hAnsi="Times New Roman" w:eastAsia="宋体"/>
      <w:sz w:val="24"/>
    </w:rPr>
  </w:style>
  <w:style w:type="character" w:customStyle="1" w:styleId="97">
    <w:name w:val="正文文本缩进 2 字符"/>
    <w:basedOn w:val="42"/>
    <w:link w:val="26"/>
    <w:qFormat/>
    <w:uiPriority w:val="0"/>
    <w:rPr>
      <w:rFonts w:ascii="宋体" w:hAnsi="Calibri" w:eastAsia="宋体" w:cs="Times New Roman"/>
      <w:color w:val="000000"/>
      <w:sz w:val="24"/>
      <w:szCs w:val="20"/>
    </w:rPr>
  </w:style>
  <w:style w:type="character" w:customStyle="1" w:styleId="98">
    <w:name w:val="脚注文本 字符"/>
    <w:basedOn w:val="42"/>
    <w:link w:val="32"/>
    <w:qFormat/>
    <w:uiPriority w:val="0"/>
    <w:rPr>
      <w:rFonts w:ascii="Times New Roman" w:hAnsi="Times New Roman" w:eastAsia="宋体" w:cs="Times New Roman"/>
      <w:sz w:val="18"/>
      <w:szCs w:val="20"/>
    </w:rPr>
  </w:style>
  <w:style w:type="character" w:customStyle="1" w:styleId="99">
    <w:name w:val="正文首行缩进 字符"/>
    <w:basedOn w:val="70"/>
    <w:link w:val="39"/>
    <w:semiHidden/>
    <w:qFormat/>
    <w:uiPriority w:val="0"/>
    <w:rPr>
      <w:rFonts w:ascii="Times New Roman" w:hAnsi="Times New Roman" w:eastAsia="宋体" w:cs="Times New Roman"/>
      <w:kern w:val="0"/>
      <w:sz w:val="24"/>
      <w:szCs w:val="24"/>
    </w:rPr>
  </w:style>
  <w:style w:type="character" w:customStyle="1" w:styleId="100">
    <w:name w:val="正文首行缩进 字符1"/>
    <w:basedOn w:val="71"/>
    <w:qFormat/>
    <w:uiPriority w:val="0"/>
    <w:rPr>
      <w:rFonts w:ascii="Times New Roman" w:hAnsi="Times New Roman" w:eastAsia="宋体"/>
      <w:sz w:val="24"/>
    </w:rPr>
  </w:style>
  <w:style w:type="paragraph" w:customStyle="1" w:styleId="101">
    <w:name w:val="报告正文格式"/>
    <w:basedOn w:val="1"/>
    <w:link w:val="102"/>
    <w:qFormat/>
    <w:uiPriority w:val="0"/>
    <w:pPr>
      <w:snapToGrid w:val="0"/>
    </w:pPr>
    <w:rPr>
      <w:rFonts w:asciiTheme="minorHAnsi" w:hAnsiTheme="minorHAnsi"/>
      <w:szCs w:val="24"/>
    </w:rPr>
  </w:style>
  <w:style w:type="character" w:customStyle="1" w:styleId="102">
    <w:name w:val="报告正文格式 Char"/>
    <w:link w:val="101"/>
    <w:qFormat/>
    <w:uiPriority w:val="0"/>
    <w:rPr>
      <w:rFonts w:eastAsia="宋体"/>
      <w:sz w:val="24"/>
      <w:szCs w:val="24"/>
    </w:rPr>
  </w:style>
  <w:style w:type="character" w:customStyle="1" w:styleId="103">
    <w:name w:val="页脚 字符2"/>
    <w:qFormat/>
    <w:uiPriority w:val="99"/>
    <w:rPr>
      <w:kern w:val="2"/>
      <w:sz w:val="18"/>
    </w:rPr>
  </w:style>
  <w:style w:type="character" w:customStyle="1" w:styleId="104">
    <w:name w:val="页眉 字符1"/>
    <w:qFormat/>
    <w:uiPriority w:val="99"/>
    <w:rPr>
      <w:rFonts w:eastAsia="楷体_GB2312"/>
      <w:kern w:val="2"/>
      <w:sz w:val="18"/>
    </w:rPr>
  </w:style>
  <w:style w:type="paragraph" w:customStyle="1" w:styleId="105">
    <w:name w:val="报告正文"/>
    <w:basedOn w:val="1"/>
    <w:link w:val="106"/>
    <w:qFormat/>
    <w:uiPriority w:val="0"/>
    <w:pPr>
      <w:snapToGrid w:val="0"/>
      <w:spacing w:line="240" w:lineRule="auto"/>
    </w:pPr>
    <w:rPr>
      <w:rFonts w:asciiTheme="minorHAnsi" w:hAnsiTheme="minorHAnsi"/>
      <w:szCs w:val="24"/>
    </w:rPr>
  </w:style>
  <w:style w:type="character" w:customStyle="1" w:styleId="106">
    <w:name w:val="报告正文 Char"/>
    <w:link w:val="105"/>
    <w:unhideWhenUsed/>
    <w:qFormat/>
    <w:uiPriority w:val="0"/>
    <w:rPr>
      <w:rFonts w:eastAsia="宋体"/>
      <w:sz w:val="24"/>
      <w:szCs w:val="24"/>
    </w:rPr>
  </w:style>
  <w:style w:type="paragraph" w:customStyle="1" w:styleId="107">
    <w:name w:val="CY图表名"/>
    <w:basedOn w:val="1"/>
    <w:qFormat/>
    <w:uiPriority w:val="0"/>
    <w:pPr>
      <w:snapToGrid w:val="0"/>
      <w:jc w:val="center"/>
    </w:pPr>
    <w:rPr>
      <w:rFonts w:eastAsia="黑体" w:cs="Times New Roman"/>
      <w:sz w:val="21"/>
      <w:szCs w:val="24"/>
      <w:lang w:val="zh-CN"/>
    </w:rPr>
  </w:style>
  <w:style w:type="paragraph" w:customStyle="1" w:styleId="108">
    <w:name w:val="CY bieoge nei 居中"/>
    <w:basedOn w:val="1"/>
    <w:link w:val="109"/>
    <w:qFormat/>
    <w:uiPriority w:val="0"/>
    <w:pPr>
      <w:snapToGrid w:val="0"/>
      <w:spacing w:line="240" w:lineRule="auto"/>
      <w:jc w:val="center"/>
    </w:pPr>
    <w:rPr>
      <w:rFonts w:cs="Times New Roman"/>
      <w:sz w:val="21"/>
      <w:szCs w:val="21"/>
      <w:lang w:val="zh-CN"/>
    </w:rPr>
  </w:style>
  <w:style w:type="character" w:customStyle="1" w:styleId="109">
    <w:name w:val="CY bieoge nei 居中 字符"/>
    <w:basedOn w:val="42"/>
    <w:link w:val="108"/>
    <w:qFormat/>
    <w:uiPriority w:val="0"/>
    <w:rPr>
      <w:rFonts w:ascii="Times New Roman" w:hAnsi="Times New Roman" w:eastAsia="宋体" w:cs="Times New Roman"/>
      <w:szCs w:val="21"/>
      <w:lang w:val="zh-CN"/>
    </w:rPr>
  </w:style>
  <w:style w:type="paragraph" w:customStyle="1" w:styleId="110">
    <w:name w:val="CY表内字不居中"/>
    <w:basedOn w:val="1"/>
    <w:qFormat/>
    <w:uiPriority w:val="0"/>
    <w:pPr>
      <w:snapToGrid w:val="0"/>
      <w:spacing w:line="240" w:lineRule="auto"/>
    </w:pPr>
    <w:rPr>
      <w:rFonts w:cs="Times New Roman"/>
      <w:sz w:val="21"/>
      <w:szCs w:val="24"/>
    </w:rPr>
  </w:style>
  <w:style w:type="paragraph" w:customStyle="1" w:styleId="111">
    <w:name w:val="样式6 正文"/>
    <w:qFormat/>
    <w:uiPriority w:val="0"/>
    <w:pPr>
      <w:spacing w:line="360" w:lineRule="auto"/>
      <w:ind w:firstLine="510"/>
      <w:jc w:val="both"/>
    </w:pPr>
    <w:rPr>
      <w:rFonts w:ascii="Calibri" w:hAnsi="Calibri" w:eastAsia="宋体" w:cs="Times New Roman"/>
      <w:kern w:val="0"/>
      <w:sz w:val="24"/>
      <w:szCs w:val="20"/>
      <w:lang w:val="en-US" w:eastAsia="zh-CN" w:bidi="ar-SA"/>
    </w:rPr>
  </w:style>
  <w:style w:type="character" w:customStyle="1" w:styleId="112">
    <w:name w:val="正文缩进 字符2"/>
    <w:qFormat/>
    <w:uiPriority w:val="0"/>
    <w:rPr>
      <w:sz w:val="24"/>
    </w:rPr>
  </w:style>
  <w:style w:type="paragraph" w:customStyle="1" w:styleId="113">
    <w:name w:val="备注"/>
    <w:basedOn w:val="1"/>
    <w:next w:val="1"/>
    <w:qFormat/>
    <w:uiPriority w:val="0"/>
    <w:pPr>
      <w:keepNext/>
      <w:tabs>
        <w:tab w:val="left" w:pos="0"/>
      </w:tabs>
      <w:adjustRightInd w:val="0"/>
      <w:snapToGrid w:val="0"/>
      <w:spacing w:line="240" w:lineRule="auto"/>
      <w:ind w:firstLine="100" w:firstLineChars="100"/>
      <w:textAlignment w:val="baseline"/>
    </w:pPr>
    <w:rPr>
      <w:rFonts w:cs="Times New Roman"/>
      <w:color w:val="000000"/>
      <w:kern w:val="0"/>
      <w:sz w:val="18"/>
      <w:szCs w:val="20"/>
    </w:rPr>
  </w:style>
  <w:style w:type="paragraph" w:customStyle="1" w:styleId="114">
    <w:name w:val="表格文字"/>
    <w:basedOn w:val="1"/>
    <w:qFormat/>
    <w:uiPriority w:val="0"/>
    <w:pPr>
      <w:snapToGrid w:val="0"/>
      <w:spacing w:line="240" w:lineRule="auto"/>
      <w:jc w:val="center"/>
    </w:pPr>
    <w:rPr>
      <w:rFonts w:ascii="Calibri" w:hAnsi="Calibri" w:eastAsia="方正书宋简体" w:cs="Times New Roman"/>
      <w:w w:val="90"/>
      <w:sz w:val="18"/>
      <w:szCs w:val="20"/>
    </w:rPr>
  </w:style>
  <w:style w:type="paragraph" w:customStyle="1" w:styleId="115">
    <w:name w:val="正文N"/>
    <w:basedOn w:val="1"/>
    <w:link w:val="116"/>
    <w:qFormat/>
    <w:uiPriority w:val="0"/>
    <w:pPr>
      <w:snapToGrid w:val="0"/>
    </w:pPr>
    <w:rPr>
      <w:rFonts w:cs="Times New Roman"/>
      <w:szCs w:val="24"/>
      <w:lang w:val="zh-CN"/>
    </w:rPr>
  </w:style>
  <w:style w:type="character" w:customStyle="1" w:styleId="116">
    <w:name w:val="正文N 字符"/>
    <w:basedOn w:val="42"/>
    <w:link w:val="115"/>
    <w:qFormat/>
    <w:uiPriority w:val="0"/>
    <w:rPr>
      <w:rFonts w:ascii="Times New Roman" w:hAnsi="Times New Roman" w:eastAsia="宋体" w:cs="Times New Roman"/>
      <w:sz w:val="24"/>
      <w:szCs w:val="24"/>
      <w:lang w:val="zh-CN"/>
    </w:rPr>
  </w:style>
  <w:style w:type="paragraph" w:customStyle="1" w:styleId="117">
    <w:name w:val="正文标准报告N"/>
    <w:basedOn w:val="1"/>
    <w:link w:val="118"/>
    <w:qFormat/>
    <w:uiPriority w:val="0"/>
    <w:pPr>
      <w:snapToGrid w:val="0"/>
    </w:pPr>
    <w:rPr>
      <w:rFonts w:cs="Times New Roman"/>
      <w:color w:val="000000"/>
      <w:szCs w:val="24"/>
    </w:rPr>
  </w:style>
  <w:style w:type="character" w:customStyle="1" w:styleId="118">
    <w:name w:val="正文标准报告N 字符"/>
    <w:basedOn w:val="42"/>
    <w:link w:val="117"/>
    <w:qFormat/>
    <w:uiPriority w:val="0"/>
    <w:rPr>
      <w:rFonts w:ascii="Times New Roman" w:hAnsi="Times New Roman" w:eastAsia="宋体" w:cs="Times New Roman"/>
      <w:color w:val="000000"/>
      <w:sz w:val="24"/>
      <w:szCs w:val="24"/>
    </w:rPr>
  </w:style>
  <w:style w:type="paragraph" w:customStyle="1" w:styleId="119">
    <w:name w:val="本文正文"/>
    <w:basedOn w:val="1"/>
    <w:qFormat/>
    <w:uiPriority w:val="0"/>
    <w:pPr>
      <w:tabs>
        <w:tab w:val="left" w:pos="4500"/>
      </w:tabs>
    </w:pPr>
    <w:rPr>
      <w:rFonts w:cs="Times New Roman"/>
      <w:szCs w:val="44"/>
    </w:rPr>
  </w:style>
  <w:style w:type="paragraph" w:customStyle="1" w:styleId="120">
    <w:name w:val="表格内容"/>
    <w:basedOn w:val="1"/>
    <w:link w:val="121"/>
    <w:qFormat/>
    <w:uiPriority w:val="0"/>
    <w:pPr>
      <w:widowControl/>
      <w:spacing w:line="240" w:lineRule="atLeast"/>
      <w:ind w:firstLine="0" w:firstLineChars="0"/>
      <w:jc w:val="center"/>
    </w:pPr>
    <w:rPr>
      <w:rFonts w:cs="Times New Roman"/>
      <w:kern w:val="0"/>
      <w:sz w:val="21"/>
      <w:szCs w:val="21"/>
    </w:rPr>
  </w:style>
  <w:style w:type="character" w:customStyle="1" w:styleId="121">
    <w:name w:val="表格内容 字符"/>
    <w:basedOn w:val="42"/>
    <w:link w:val="120"/>
    <w:qFormat/>
    <w:uiPriority w:val="0"/>
    <w:rPr>
      <w:rFonts w:ascii="Times New Roman" w:hAnsi="Times New Roman" w:eastAsia="宋体" w:cs="Times New Roman"/>
      <w:kern w:val="0"/>
      <w:szCs w:val="21"/>
    </w:rPr>
  </w:style>
  <w:style w:type="character" w:customStyle="1" w:styleId="122">
    <w:name w:val="报告正文 Char1"/>
    <w:qFormat/>
    <w:uiPriority w:val="0"/>
    <w:rPr>
      <w:rFonts w:ascii="Times New Roman" w:hAnsi="Times New Roman" w:eastAsia="宋体" w:cs="Times New Roman"/>
      <w:kern w:val="0"/>
      <w:szCs w:val="20"/>
    </w:rPr>
  </w:style>
  <w:style w:type="paragraph" w:customStyle="1" w:styleId="123">
    <w:name w:val="正文-自定义"/>
    <w:basedOn w:val="1"/>
    <w:link w:val="124"/>
    <w:qFormat/>
    <w:uiPriority w:val="0"/>
    <w:rPr>
      <w:rFonts w:ascii="宋体" w:hAnsi="宋体" w:cs="Times New Roman"/>
      <w:szCs w:val="24"/>
    </w:rPr>
  </w:style>
  <w:style w:type="character" w:customStyle="1" w:styleId="124">
    <w:name w:val="正文-自定义 字符"/>
    <w:link w:val="123"/>
    <w:qFormat/>
    <w:uiPriority w:val="0"/>
    <w:rPr>
      <w:rFonts w:ascii="宋体" w:hAnsi="宋体" w:eastAsia="宋体" w:cs="Times New Roman"/>
      <w:sz w:val="24"/>
      <w:szCs w:val="24"/>
    </w:rPr>
  </w:style>
  <w:style w:type="paragraph" w:customStyle="1" w:styleId="125">
    <w:name w:val="样式 标题 3白鹤滩标题 3标题 3XW条标题1.1.13h33rd levelH3l3CT小标题白鹤滩3..."/>
    <w:basedOn w:val="4"/>
    <w:qFormat/>
    <w:uiPriority w:val="0"/>
    <w:pPr>
      <w:tabs>
        <w:tab w:val="left" w:pos="142"/>
        <w:tab w:val="left" w:pos="2400"/>
      </w:tabs>
      <w:snapToGrid w:val="0"/>
      <w:spacing w:before="62" w:beforeLines="50" w:after="62" w:line="240" w:lineRule="auto"/>
      <w:ind w:left="862" w:hanging="720"/>
    </w:pPr>
    <w:rPr>
      <w:rFonts w:cs="宋体"/>
      <w:bCs w:val="0"/>
      <w:color w:val="000000" w:themeColor="text1"/>
      <w:sz w:val="24"/>
      <w:szCs w:val="20"/>
      <w14:textFill>
        <w14:solidFill>
          <w14:schemeClr w14:val="tx1"/>
        </w14:solidFill>
      </w14:textFill>
    </w:rPr>
  </w:style>
  <w:style w:type="paragraph" w:customStyle="1" w:styleId="126">
    <w:name w:val="样式 标题 2二处标题 2标题 2XW白鹤滩标题 2白鹤滩2A标题2招标题 2二级标题H2一级节名标题 2 ..."/>
    <w:basedOn w:val="3"/>
    <w:qFormat/>
    <w:uiPriority w:val="0"/>
    <w:pPr>
      <w:widowControl w:val="0"/>
      <w:tabs>
        <w:tab w:val="left" w:pos="720"/>
        <w:tab w:val="left" w:pos="2400"/>
      </w:tabs>
      <w:spacing w:before="124" w:beforeLines="50" w:after="120" w:afterLines="50" w:line="415" w:lineRule="auto"/>
      <w:ind w:left="2832"/>
    </w:pPr>
    <w:rPr>
      <w:rFonts w:ascii="宋体" w:hAnsi="宋体" w:eastAsia="宋体" w:cs="宋体"/>
      <w:color w:val="000000" w:themeColor="text1"/>
      <w:kern w:val="0"/>
      <w:sz w:val="32"/>
      <w:szCs w:val="20"/>
      <w14:textFill>
        <w14:solidFill>
          <w14:schemeClr w14:val="tx1"/>
        </w14:solidFill>
      </w14:textFill>
    </w:rPr>
  </w:style>
  <w:style w:type="character" w:customStyle="1" w:styleId="127">
    <w:name w:val="报告正文格式 字符"/>
    <w:qFormat/>
    <w:uiPriority w:val="0"/>
    <w:rPr>
      <w:kern w:val="2"/>
      <w:sz w:val="24"/>
    </w:rPr>
  </w:style>
  <w:style w:type="paragraph" w:customStyle="1" w:styleId="128">
    <w:name w:val="标题 表头"/>
    <w:basedOn w:val="1"/>
    <w:next w:val="1"/>
    <w:qFormat/>
    <w:uiPriority w:val="0"/>
    <w:pPr>
      <w:numPr>
        <w:ilvl w:val="5"/>
        <w:numId w:val="3"/>
      </w:numPr>
      <w:spacing w:line="240" w:lineRule="auto"/>
      <w:ind w:firstLine="0" w:firstLineChars="0"/>
      <w:jc w:val="center"/>
    </w:pPr>
    <w:rPr>
      <w:rFonts w:ascii="黑体" w:hAnsi="黑体" w:eastAsia="黑体" w:cs="Times New Roman"/>
      <w:sz w:val="21"/>
      <w:szCs w:val="24"/>
    </w:rPr>
  </w:style>
  <w:style w:type="character" w:customStyle="1" w:styleId="129">
    <w:name w:val="font61"/>
    <w:basedOn w:val="42"/>
    <w:qFormat/>
    <w:uiPriority w:val="0"/>
    <w:rPr>
      <w:rFonts w:hint="eastAsia" w:ascii="宋体" w:hAnsi="宋体" w:eastAsia="宋体" w:cs="宋体"/>
      <w:color w:val="000000"/>
      <w:sz w:val="22"/>
      <w:szCs w:val="22"/>
      <w:u w:val="none"/>
    </w:rPr>
  </w:style>
  <w:style w:type="paragraph" w:customStyle="1" w:styleId="130">
    <w:name w:val="TOC 标题1"/>
    <w:basedOn w:val="2"/>
    <w:next w:val="1"/>
    <w:unhideWhenUsed/>
    <w:qFormat/>
    <w:uiPriority w:val="39"/>
    <w:pPr>
      <w:spacing w:before="240" w:line="259" w:lineRule="auto"/>
      <w:jc w:val="left"/>
      <w:outlineLvl w:val="9"/>
    </w:pPr>
    <w:rPr>
      <w:rFonts w:asciiTheme="majorHAnsi" w:hAnsiTheme="majorHAnsi" w:eastAsiaTheme="majorEastAsia" w:cstheme="majorBidi"/>
      <w:b/>
      <w:bCs w:val="0"/>
      <w:color w:val="2E75B6" w:themeColor="accent1" w:themeShade="BF"/>
      <w:kern w:val="0"/>
      <w:sz w:val="32"/>
      <w:szCs w:val="32"/>
    </w:rPr>
  </w:style>
  <w:style w:type="paragraph" w:customStyle="1" w:styleId="131">
    <w:name w:val="1223"/>
    <w:basedOn w:val="1"/>
    <w:qFormat/>
    <w:uiPriority w:val="0"/>
    <w:rPr>
      <w:rFonts w:ascii="宋体" w:hAnsi="宋体" w:cs="仿宋_GB2312"/>
      <w:szCs w:val="24"/>
    </w:rPr>
  </w:style>
  <w:style w:type="character" w:customStyle="1" w:styleId="132">
    <w:name w:val="font11"/>
    <w:basedOn w:val="42"/>
    <w:qFormat/>
    <w:uiPriority w:val="0"/>
    <w:rPr>
      <w:rFonts w:hint="eastAsia" w:ascii="宋体" w:hAnsi="宋体" w:eastAsia="宋体" w:cs="宋体"/>
      <w:color w:val="000000"/>
      <w:sz w:val="18"/>
      <w:szCs w:val="18"/>
      <w:u w:val="none"/>
    </w:rPr>
  </w:style>
  <w:style w:type="character" w:customStyle="1" w:styleId="133">
    <w:name w:val="font21"/>
    <w:basedOn w:val="42"/>
    <w:qFormat/>
    <w:uiPriority w:val="0"/>
    <w:rPr>
      <w:rFonts w:hint="eastAsia" w:ascii="宋体" w:hAnsi="宋体" w:eastAsia="宋体" w:cs="宋体"/>
      <w:color w:val="000000"/>
      <w:sz w:val="18"/>
      <w:szCs w:val="18"/>
      <w:u w:val="none"/>
      <w:vertAlign w:val="superscript"/>
    </w:rPr>
  </w:style>
  <w:style w:type="character" w:customStyle="1" w:styleId="134">
    <w:name w:val="font01"/>
    <w:basedOn w:val="42"/>
    <w:qFormat/>
    <w:uiPriority w:val="0"/>
    <w:rPr>
      <w:rFonts w:hint="eastAsia" w:ascii="宋体" w:hAnsi="宋体" w:eastAsia="宋体" w:cs="宋体"/>
      <w:color w:val="000000"/>
      <w:sz w:val="18"/>
      <w:szCs w:val="18"/>
      <w:u w:val="none"/>
    </w:rPr>
  </w:style>
  <w:style w:type="paragraph" w:customStyle="1" w:styleId="135">
    <w:name w:val="题名"/>
    <w:basedOn w:val="1"/>
    <w:next w:val="1"/>
    <w:qFormat/>
    <w:uiPriority w:val="0"/>
    <w:pPr>
      <w:widowControl/>
      <w:spacing w:line="600" w:lineRule="exact"/>
      <w:ind w:firstLine="0" w:firstLineChars="0"/>
      <w:jc w:val="center"/>
    </w:pPr>
    <w:rPr>
      <w:rFonts w:hint="eastAsia" w:cs="宋体"/>
      <w:b/>
      <w:sz w:val="44"/>
      <w:szCs w:val="44"/>
    </w:rPr>
  </w:style>
  <w:style w:type="paragraph" w:customStyle="1" w:styleId="136">
    <w:name w:val="代-表格小五16"/>
    <w:qFormat/>
    <w:uiPriority w:val="0"/>
    <w:pPr>
      <w:snapToGrid w:val="0"/>
      <w:spacing w:line="240" w:lineRule="exact"/>
      <w:jc w:val="center"/>
    </w:pPr>
    <w:rPr>
      <w:rFonts w:ascii="Times New Roman" w:hAnsi="Times New Roman" w:eastAsia="宋体" w:cs="Times New Roman"/>
      <w:spacing w:val="5"/>
      <w:kern w:val="2"/>
      <w:sz w:val="18"/>
      <w:szCs w:val="21"/>
      <w:lang w:val="en-US" w:eastAsia="zh-CN" w:bidi="he-IL"/>
    </w:rPr>
  </w:style>
  <w:style w:type="paragraph" w:customStyle="1" w:styleId="137">
    <w:name w:val="代-表头"/>
    <w:next w:val="64"/>
    <w:qFormat/>
    <w:uiPriority w:val="0"/>
    <w:pPr>
      <w:widowControl w:val="0"/>
      <w:snapToGrid w:val="0"/>
      <w:spacing w:before="20" w:beforeLines="20"/>
      <w:jc w:val="both"/>
      <w:outlineLvl w:val="4"/>
    </w:pPr>
    <w:rPr>
      <w:rFonts w:ascii="Times New Roman" w:hAnsi="Times New Roman" w:eastAsia="黑体" w:cs="Times New Roman"/>
      <w:snapToGrid w:val="0"/>
      <w:kern w:val="0"/>
      <w:sz w:val="24"/>
      <w:szCs w:val="21"/>
      <w:u w:color="000000"/>
      <w:lang w:val="en-US" w:eastAsia="zh-CN" w:bidi="ar-SA"/>
    </w:rPr>
  </w:style>
  <w:style w:type="paragraph" w:customStyle="1" w:styleId="138">
    <w:name w:val="正文 小四 行距: 1.5 倍行距"/>
    <w:basedOn w:val="1"/>
    <w:link w:val="139"/>
    <w:qFormat/>
    <w:uiPriority w:val="0"/>
    <w:pPr>
      <w:ind w:firstLine="480"/>
    </w:pPr>
    <w:rPr>
      <w:rFonts w:cs="Times New Roman"/>
      <w:kern w:val="0"/>
      <w:szCs w:val="20"/>
    </w:rPr>
  </w:style>
  <w:style w:type="character" w:customStyle="1" w:styleId="139">
    <w:name w:val="正文 小四 行距: 1.5 倍行距 Char"/>
    <w:link w:val="138"/>
    <w:qFormat/>
    <w:locked/>
    <w:uiPriority w:val="0"/>
    <w:rPr>
      <w:rFonts w:ascii="Times New Roman" w:hAnsi="Times New Roman" w:eastAsia="宋体" w:cs="Times New Roman"/>
      <w:kern w:val="0"/>
      <w:sz w:val="24"/>
      <w:szCs w:val="20"/>
    </w:rPr>
  </w:style>
  <w:style w:type="paragraph" w:customStyle="1" w:styleId="140">
    <w:name w:val="表头"/>
    <w:basedOn w:val="1"/>
    <w:next w:val="1"/>
    <w:link w:val="141"/>
    <w:qFormat/>
    <w:uiPriority w:val="0"/>
    <w:pPr>
      <w:widowControl/>
      <w:spacing w:line="480" w:lineRule="exact"/>
      <w:ind w:firstLine="0" w:firstLineChars="0"/>
      <w:jc w:val="center"/>
    </w:pPr>
    <w:rPr>
      <w:rFonts w:cs="Times New Roman"/>
      <w:b/>
      <w:color w:val="000000"/>
      <w:kern w:val="0"/>
      <w:szCs w:val="24"/>
    </w:rPr>
  </w:style>
  <w:style w:type="character" w:customStyle="1" w:styleId="141">
    <w:name w:val="表头 Char"/>
    <w:link w:val="140"/>
    <w:qFormat/>
    <w:uiPriority w:val="0"/>
    <w:rPr>
      <w:rFonts w:ascii="Times New Roman" w:hAnsi="Times New Roman" w:eastAsia="宋体" w:cs="Times New Roman"/>
      <w:b/>
      <w:color w:val="000000"/>
      <w:kern w:val="0"/>
      <w:sz w:val="24"/>
      <w:szCs w:val="24"/>
    </w:rPr>
  </w:style>
  <w:style w:type="character" w:customStyle="1" w:styleId="142">
    <w:name w:val="表格内容 Char"/>
    <w:qFormat/>
    <w:uiPriority w:val="0"/>
    <w:rPr>
      <w:rFonts w:ascii="Times New Roman" w:hAnsi="Times New Roman" w:eastAsia="宋体" w:cs="宋体"/>
      <w:color w:val="000000"/>
      <w:kern w:val="0"/>
      <w:szCs w:val="21"/>
    </w:rPr>
  </w:style>
  <w:style w:type="paragraph" w:customStyle="1" w:styleId="143">
    <w:name w:val="表序号"/>
    <w:basedOn w:val="120"/>
    <w:link w:val="144"/>
    <w:qFormat/>
    <w:uiPriority w:val="0"/>
    <w:pPr>
      <w:spacing w:line="240" w:lineRule="auto"/>
      <w:jc w:val="both"/>
    </w:pPr>
  </w:style>
  <w:style w:type="character" w:customStyle="1" w:styleId="144">
    <w:name w:val="表序号 字符"/>
    <w:basedOn w:val="121"/>
    <w:link w:val="143"/>
    <w:qFormat/>
    <w:uiPriority w:val="0"/>
    <w:rPr>
      <w:rFonts w:ascii="Times New Roman" w:hAnsi="Times New Roman" w:eastAsia="宋体" w:cs="Times New Roman"/>
      <w:kern w:val="0"/>
      <w:szCs w:val="21"/>
    </w:rPr>
  </w:style>
  <w:style w:type="paragraph" w:customStyle="1" w:styleId="145">
    <w:name w:val="表格单位"/>
    <w:basedOn w:val="143"/>
    <w:link w:val="146"/>
    <w:qFormat/>
    <w:uiPriority w:val="0"/>
    <w:pPr>
      <w:jc w:val="right"/>
    </w:pPr>
  </w:style>
  <w:style w:type="character" w:customStyle="1" w:styleId="146">
    <w:name w:val="表格单位 字符"/>
    <w:basedOn w:val="144"/>
    <w:link w:val="145"/>
    <w:qFormat/>
    <w:uiPriority w:val="0"/>
    <w:rPr>
      <w:rFonts w:ascii="Times New Roman" w:hAnsi="Times New Roman" w:eastAsia="宋体" w:cs="Times New Roman"/>
      <w:kern w:val="0"/>
      <w:szCs w:val="21"/>
    </w:rPr>
  </w:style>
  <w:style w:type="paragraph" w:customStyle="1" w:styleId="147">
    <w:name w:val="图名"/>
    <w:link w:val="148"/>
    <w:qFormat/>
    <w:uiPriority w:val="0"/>
    <w:pPr>
      <w:spacing w:line="360" w:lineRule="auto"/>
      <w:jc w:val="center"/>
      <w:outlineLvl w:val="5"/>
    </w:pPr>
    <w:rPr>
      <w:rFonts w:ascii="Times New Roman" w:hAnsi="Times New Roman" w:eastAsia="黑体" w:cs="Times New Roman"/>
      <w:kern w:val="0"/>
      <w:sz w:val="24"/>
      <w:szCs w:val="21"/>
      <w:lang w:val="en-US" w:eastAsia="zh-CN" w:bidi="ar-SA"/>
    </w:rPr>
  </w:style>
  <w:style w:type="character" w:customStyle="1" w:styleId="148">
    <w:name w:val="图名 字符"/>
    <w:basedOn w:val="144"/>
    <w:link w:val="147"/>
    <w:qFormat/>
    <w:uiPriority w:val="0"/>
    <w:rPr>
      <w:rFonts w:ascii="Times New Roman" w:hAnsi="Times New Roman" w:eastAsia="黑体" w:cs="Times New Roman"/>
      <w:kern w:val="0"/>
      <w:sz w:val="24"/>
      <w:szCs w:val="21"/>
    </w:rPr>
  </w:style>
  <w:style w:type="paragraph" w:customStyle="1" w:styleId="149">
    <w:name w:val="1"/>
    <w:basedOn w:val="1"/>
    <w:next w:val="1"/>
    <w:qFormat/>
    <w:uiPriority w:val="0"/>
    <w:pPr>
      <w:autoSpaceDE w:val="0"/>
      <w:ind w:firstLine="480"/>
      <w:jc w:val="center"/>
    </w:pPr>
    <w:rPr>
      <w:rFonts w:ascii="宋体" w:cs="Times New Roman"/>
      <w:spacing w:val="-6"/>
      <w:szCs w:val="24"/>
    </w:rPr>
  </w:style>
  <w:style w:type="paragraph" w:customStyle="1" w:styleId="150">
    <w:name w:val="表名"/>
    <w:link w:val="151"/>
    <w:qFormat/>
    <w:uiPriority w:val="0"/>
    <w:rPr>
      <w:rFonts w:ascii="Times New Roman" w:hAnsi="Times New Roman" w:eastAsia="黑体" w:cstheme="minorBidi"/>
      <w:kern w:val="2"/>
      <w:sz w:val="24"/>
      <w:szCs w:val="22"/>
      <w:lang w:val="en-US" w:eastAsia="zh-CN" w:bidi="ar-SA"/>
    </w:rPr>
  </w:style>
  <w:style w:type="character" w:customStyle="1" w:styleId="151">
    <w:name w:val="表名 字符"/>
    <w:basedOn w:val="42"/>
    <w:link w:val="150"/>
    <w:qFormat/>
    <w:uiPriority w:val="0"/>
    <w:rPr>
      <w:rFonts w:ascii="Times New Roman" w:hAnsi="Times New Roman" w:eastAsia="黑体"/>
      <w:sz w:val="24"/>
    </w:rPr>
  </w:style>
  <w:style w:type="table" w:customStyle="1" w:styleId="152">
    <w:name w:val="Table Normal"/>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character" w:customStyle="1" w:styleId="153">
    <w:name w:val="Char表格内容"/>
    <w:qFormat/>
    <w:uiPriority w:val="0"/>
    <w:rPr>
      <w:rFonts w:ascii="Times New Roman" w:hAnsi="Times New Roman" w:eastAsia="宋体" w:cs="宋体"/>
      <w:color w:val="000000"/>
      <w:kern w:val="0"/>
      <w:szCs w:val="21"/>
    </w:rPr>
  </w:style>
  <w:style w:type="paragraph" w:customStyle="1" w:styleId="154">
    <w:name w:val="Table Paragraph"/>
    <w:basedOn w:val="1"/>
    <w:qFormat/>
    <w:uiPriority w:val="1"/>
    <w:pPr>
      <w:autoSpaceDE w:val="0"/>
      <w:autoSpaceDN w:val="0"/>
      <w:adjustRightInd w:val="0"/>
      <w:spacing w:line="240" w:lineRule="auto"/>
      <w:ind w:firstLine="0" w:firstLineChars="0"/>
      <w:jc w:val="left"/>
    </w:pPr>
    <w:rPr>
      <w:rFonts w:cs="Times New Roman" w:eastAsiaTheme="minorEastAsia"/>
      <w:kern w:val="0"/>
      <w:szCs w:val="24"/>
    </w:rPr>
  </w:style>
  <w:style w:type="paragraph" w:customStyle="1" w:styleId="155">
    <w:name w:val="标题4"/>
    <w:link w:val="156"/>
    <w:qFormat/>
    <w:uiPriority w:val="0"/>
    <w:pPr>
      <w:spacing w:line="360" w:lineRule="auto"/>
      <w:outlineLvl w:val="3"/>
    </w:pPr>
    <w:rPr>
      <w:rFonts w:ascii="Times New Roman" w:hAnsi="Times New Roman" w:eastAsia="宋体" w:cstheme="minorBidi"/>
      <w:bCs/>
      <w:kern w:val="2"/>
      <w:sz w:val="24"/>
      <w:szCs w:val="32"/>
      <w:lang w:val="en-US" w:eastAsia="zh-CN" w:bidi="ar-SA"/>
    </w:rPr>
  </w:style>
  <w:style w:type="character" w:customStyle="1" w:styleId="156">
    <w:name w:val="标题4 字符"/>
    <w:basedOn w:val="42"/>
    <w:link w:val="155"/>
    <w:qFormat/>
    <w:uiPriority w:val="0"/>
    <w:rPr>
      <w:rFonts w:ascii="Times New Roman" w:hAnsi="Times New Roman" w:eastAsia="宋体"/>
      <w:bCs/>
      <w:sz w:val="24"/>
      <w:szCs w:val="32"/>
    </w:rPr>
  </w:style>
  <w:style w:type="paragraph" w:customStyle="1" w:styleId="157">
    <w:name w:val="陈正文"/>
    <w:basedOn w:val="1"/>
    <w:link w:val="158"/>
    <w:qFormat/>
    <w:uiPriority w:val="0"/>
    <w:pPr>
      <w:snapToGrid w:val="0"/>
    </w:pPr>
    <w:rPr>
      <w:rFonts w:ascii="宋体" w:hAnsi="宋体" w:cs="Times New Roman"/>
      <w:kern w:val="0"/>
      <w:szCs w:val="24"/>
      <w:lang w:val="zh-CN" w:eastAsia="zh-CN"/>
    </w:rPr>
  </w:style>
  <w:style w:type="character" w:customStyle="1" w:styleId="158">
    <w:name w:val="陈正文 Char"/>
    <w:link w:val="157"/>
    <w:qFormat/>
    <w:uiPriority w:val="0"/>
    <w:rPr>
      <w:rFonts w:ascii="宋体" w:hAnsi="宋体" w:eastAsia="宋体" w:cs="Times New Roman"/>
      <w:kern w:val="0"/>
      <w:sz w:val="24"/>
      <w:szCs w:val="24"/>
      <w:lang w:val="zh-CN" w:eastAsia="zh-CN"/>
    </w:rPr>
  </w:style>
  <w:style w:type="paragraph" w:customStyle="1" w:styleId="159">
    <w:name w:val="表"/>
    <w:basedOn w:val="1"/>
    <w:next w:val="1"/>
    <w:qFormat/>
    <w:uiPriority w:val="0"/>
    <w:pPr>
      <w:keepNext/>
      <w:tabs>
        <w:tab w:val="left" w:pos="0"/>
      </w:tabs>
      <w:adjustRightInd w:val="0"/>
      <w:snapToGrid w:val="0"/>
      <w:spacing w:before="20" w:line="360" w:lineRule="exact"/>
      <w:jc w:val="center"/>
      <w:textAlignment w:val="baseline"/>
    </w:pPr>
    <w:rPr>
      <w:rFonts w:ascii="宋体" w:hAnsi="Calibri" w:cs="Times New Roman"/>
      <w:color w:val="000000"/>
      <w:kern w:val="0"/>
      <w:szCs w:val="20"/>
    </w:rPr>
  </w:style>
  <w:style w:type="paragraph" w:customStyle="1" w:styleId="160">
    <w:name w:val="正文-设计书"/>
    <w:basedOn w:val="1"/>
    <w:qFormat/>
    <w:uiPriority w:val="0"/>
    <w:pPr>
      <w:autoSpaceDE w:val="0"/>
      <w:autoSpaceDN w:val="0"/>
      <w:spacing w:line="500" w:lineRule="exact"/>
    </w:pPr>
    <w:rPr>
      <w:rFonts w:ascii="仿宋_GB2312" w:hAnsi="Calibri" w:eastAsia="仿宋_GB2312" w:cs="Times New Roman"/>
      <w:sz w:val="28"/>
    </w:rPr>
  </w:style>
  <w:style w:type="table" w:customStyle="1" w:styleId="161">
    <w:name w:val="网格型7"/>
    <w:basedOn w:val="40"/>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2">
    <w:name w:val="滚哈正文"/>
    <w:basedOn w:val="1"/>
    <w:link w:val="163"/>
    <w:qFormat/>
    <w:uiPriority w:val="0"/>
    <w:pPr>
      <w:adjustRightInd w:val="0"/>
      <w:snapToGrid w:val="0"/>
    </w:pPr>
    <w:rPr>
      <w:rFonts w:cs="Times New Roman"/>
      <w:szCs w:val="24"/>
    </w:rPr>
  </w:style>
  <w:style w:type="character" w:customStyle="1" w:styleId="163">
    <w:name w:val="滚哈正文 字符"/>
    <w:basedOn w:val="42"/>
    <w:link w:val="162"/>
    <w:qFormat/>
    <w:uiPriority w:val="0"/>
    <w:rPr>
      <w:rFonts w:ascii="Times New Roman" w:hAnsi="Times New Roman" w:eastAsia="宋体" w:cs="Times New Roman"/>
      <w:sz w:val="24"/>
      <w:szCs w:val="24"/>
    </w:rPr>
  </w:style>
  <w:style w:type="character" w:styleId="164">
    <w:name w:val="Placeholder Text"/>
    <w:basedOn w:val="42"/>
    <w:unhideWhenUsed/>
    <w:qFormat/>
    <w:uiPriority w:val="99"/>
    <w:rPr>
      <w:color w:val="808080"/>
    </w:rPr>
  </w:style>
  <w:style w:type="paragraph" w:customStyle="1" w:styleId="165">
    <w:name w:val="表格"/>
    <w:link w:val="166"/>
    <w:qFormat/>
    <w:uiPriority w:val="0"/>
    <w:pPr>
      <w:spacing w:line="240" w:lineRule="exact"/>
      <w:jc w:val="both"/>
    </w:pPr>
    <w:rPr>
      <w:rFonts w:ascii="Times New Roman" w:hAnsi="Times New Roman" w:eastAsia="宋体" w:cstheme="minorBidi"/>
      <w:kern w:val="2"/>
      <w:sz w:val="18"/>
      <w:szCs w:val="22"/>
      <w:lang w:val="en-US" w:eastAsia="zh-CN" w:bidi="ar-SA"/>
    </w:rPr>
  </w:style>
  <w:style w:type="character" w:customStyle="1" w:styleId="166">
    <w:name w:val="表格 字符"/>
    <w:basedOn w:val="42"/>
    <w:link w:val="165"/>
    <w:qFormat/>
    <w:uiPriority w:val="0"/>
    <w:rPr>
      <w:rFonts w:ascii="Times New Roman" w:hAnsi="Times New Roman" w:eastAsia="宋体"/>
      <w:sz w:val="18"/>
    </w:rPr>
  </w:style>
  <w:style w:type="character" w:customStyle="1" w:styleId="167">
    <w:name w:val="LL-正文 Char"/>
    <w:link w:val="168"/>
    <w:qFormat/>
    <w:uiPriority w:val="0"/>
    <w:rPr>
      <w:szCs w:val="24"/>
    </w:rPr>
  </w:style>
  <w:style w:type="paragraph" w:customStyle="1" w:styleId="168">
    <w:name w:val="LL-正文"/>
    <w:link w:val="167"/>
    <w:qFormat/>
    <w:uiPriority w:val="0"/>
    <w:pPr>
      <w:widowControl w:val="0"/>
      <w:adjustRightInd w:val="0"/>
      <w:snapToGrid w:val="0"/>
      <w:spacing w:line="300" w:lineRule="auto"/>
      <w:ind w:firstLine="200" w:firstLineChars="200"/>
      <w:jc w:val="both"/>
    </w:pPr>
    <w:rPr>
      <w:rFonts w:asciiTheme="minorHAnsi" w:hAnsiTheme="minorHAnsi" w:eastAsiaTheme="minorEastAsia" w:cstheme="minorBidi"/>
      <w:kern w:val="2"/>
      <w:sz w:val="21"/>
      <w:szCs w:val="24"/>
      <w:lang w:val="en-US" w:eastAsia="zh-CN" w:bidi="ar-SA"/>
    </w:rPr>
  </w:style>
  <w:style w:type="character" w:customStyle="1" w:styleId="169">
    <w:name w:val="正文缩进 Char2"/>
    <w:qFormat/>
    <w:uiPriority w:val="0"/>
    <w:rPr>
      <w:rFonts w:ascii="Times New Roman" w:hAnsi="Times New Roman" w:eastAsia="宋体" w:cs="Times New Roman"/>
      <w:kern w:val="0"/>
      <w:sz w:val="24"/>
      <w:szCs w:val="24"/>
    </w:rPr>
  </w:style>
  <w:style w:type="paragraph" w:customStyle="1" w:styleId="170">
    <w:name w:val="图标题1"/>
    <w:link w:val="171"/>
    <w:qFormat/>
    <w:uiPriority w:val="0"/>
    <w:pPr>
      <w:jc w:val="center"/>
    </w:pPr>
    <w:rPr>
      <w:rFonts w:ascii="Times New Roman" w:hAnsi="Times New Roman" w:eastAsia="黑体" w:cstheme="majorBidi"/>
      <w:bCs/>
      <w:kern w:val="2"/>
      <w:sz w:val="24"/>
      <w:szCs w:val="24"/>
      <w:lang w:val="en-US" w:eastAsia="zh-CN" w:bidi="ar-SA"/>
    </w:rPr>
  </w:style>
  <w:style w:type="character" w:customStyle="1" w:styleId="171">
    <w:name w:val="图标题1 字符"/>
    <w:basedOn w:val="42"/>
    <w:link w:val="170"/>
    <w:qFormat/>
    <w:uiPriority w:val="0"/>
    <w:rPr>
      <w:rFonts w:ascii="Times New Roman" w:hAnsi="Times New Roman" w:eastAsia="黑体" w:cstheme="majorBidi"/>
      <w:bCs/>
      <w:sz w:val="24"/>
      <w:szCs w:val="24"/>
    </w:rPr>
  </w:style>
  <w:style w:type="paragraph" w:customStyle="1" w:styleId="172">
    <w:name w:val="#1级标题"/>
    <w:basedOn w:val="2"/>
    <w:link w:val="173"/>
    <w:qFormat/>
    <w:uiPriority w:val="0"/>
    <w:pPr>
      <w:widowControl w:val="0"/>
      <w:spacing w:before="120" w:afterLines="50" w:line="300" w:lineRule="auto"/>
      <w:ind w:firstLine="200" w:firstLineChars="200"/>
    </w:pPr>
    <w:rPr>
      <w:rFonts w:cs="Times New Roman"/>
      <w:color w:val="000000"/>
      <w:sz w:val="36"/>
      <w:szCs w:val="36"/>
    </w:rPr>
  </w:style>
  <w:style w:type="character" w:customStyle="1" w:styleId="173">
    <w:name w:val="#1级标题 Char"/>
    <w:basedOn w:val="42"/>
    <w:link w:val="172"/>
    <w:qFormat/>
    <w:uiPriority w:val="0"/>
    <w:rPr>
      <w:rFonts w:ascii="Times New Roman" w:hAnsi="Times New Roman" w:eastAsia="黑体" w:cs="Times New Roman"/>
      <w:b/>
      <w:bCs/>
      <w:color w:val="000000"/>
      <w:kern w:val="44"/>
      <w:sz w:val="36"/>
      <w:szCs w:val="36"/>
    </w:rPr>
  </w:style>
  <w:style w:type="character" w:customStyle="1" w:styleId="174">
    <w:name w:val="目录 1 字符"/>
    <w:link w:val="30"/>
    <w:qFormat/>
    <w:uiPriority w:val="39"/>
    <w:rPr>
      <w:rFonts w:eastAsia="宋体" w:cstheme="minorHAnsi"/>
      <w:b/>
      <w:bCs/>
      <w:sz w:val="20"/>
      <w:szCs w:val="20"/>
    </w:rPr>
  </w:style>
  <w:style w:type="paragraph" w:customStyle="1" w:styleId="175">
    <w:name w:val="#2级标题"/>
    <w:basedOn w:val="172"/>
    <w:link w:val="176"/>
    <w:qFormat/>
    <w:uiPriority w:val="0"/>
    <w:pPr>
      <w:spacing w:before="0" w:afterLines="0" w:line="360" w:lineRule="auto"/>
      <w:jc w:val="left"/>
      <w:outlineLvl w:val="1"/>
    </w:pPr>
    <w:rPr>
      <w:b/>
      <w:sz w:val="32"/>
    </w:rPr>
  </w:style>
  <w:style w:type="character" w:customStyle="1" w:styleId="176">
    <w:name w:val="#2级标题 Char"/>
    <w:basedOn w:val="173"/>
    <w:link w:val="175"/>
    <w:qFormat/>
    <w:uiPriority w:val="0"/>
    <w:rPr>
      <w:rFonts w:ascii="Times New Roman" w:hAnsi="Times New Roman" w:eastAsia="黑体" w:cs="Times New Roman"/>
      <w:b w:val="0"/>
      <w:color w:val="000000"/>
      <w:kern w:val="44"/>
      <w:sz w:val="32"/>
      <w:szCs w:val="36"/>
    </w:rPr>
  </w:style>
  <w:style w:type="paragraph" w:customStyle="1" w:styleId="177">
    <w:name w:val="一级标题"/>
    <w:basedOn w:val="172"/>
    <w:next w:val="1"/>
    <w:qFormat/>
    <w:uiPriority w:val="0"/>
    <w:pPr>
      <w:spacing w:before="0" w:afterLines="0" w:line="360" w:lineRule="auto"/>
      <w:ind w:firstLine="0" w:firstLineChars="0"/>
    </w:pPr>
    <w:rPr>
      <w:b/>
      <w:bCs w:val="0"/>
      <w:color w:val="auto"/>
      <w:kern w:val="2"/>
      <w:sz w:val="44"/>
      <w:szCs w:val="24"/>
    </w:rPr>
  </w:style>
  <w:style w:type="paragraph" w:customStyle="1" w:styleId="178">
    <w:name w:val="二级标题"/>
    <w:basedOn w:val="175"/>
    <w:qFormat/>
    <w:uiPriority w:val="0"/>
    <w:pPr>
      <w:ind w:firstLine="0" w:firstLineChars="0"/>
    </w:pPr>
    <w:rPr>
      <w:color w:val="auto"/>
      <w:sz w:val="36"/>
    </w:rPr>
  </w:style>
  <w:style w:type="paragraph" w:customStyle="1" w:styleId="179">
    <w:name w:val="三级标题"/>
    <w:qFormat/>
    <w:uiPriority w:val="0"/>
    <w:pPr>
      <w:keepNext/>
      <w:keepLines/>
      <w:outlineLvl w:val="2"/>
    </w:pPr>
    <w:rPr>
      <w:rFonts w:ascii="Times New Roman" w:hAnsi="Times New Roman" w:eastAsia="黑体" w:cs="Times New Roman"/>
      <w:kern w:val="0"/>
      <w:sz w:val="28"/>
      <w:szCs w:val="28"/>
      <w:lang w:val="en-US" w:eastAsia="zh-CN" w:bidi="ar-SA"/>
    </w:rPr>
  </w:style>
  <w:style w:type="paragraph" w:customStyle="1" w:styleId="180">
    <w:name w:val="四级标题"/>
    <w:next w:val="1"/>
    <w:qFormat/>
    <w:uiPriority w:val="0"/>
    <w:pPr>
      <w:outlineLvl w:val="3"/>
    </w:pPr>
    <w:rPr>
      <w:rFonts w:ascii="Times New Roman" w:hAnsi="Times New Roman" w:eastAsia="黑体" w:cs="Times New Roman"/>
      <w:kern w:val="2"/>
      <w:sz w:val="24"/>
      <w:szCs w:val="24"/>
      <w:lang w:val="en-US" w:eastAsia="zh-CN" w:bidi="ar-SA"/>
    </w:rPr>
  </w:style>
  <w:style w:type="paragraph" w:customStyle="1" w:styleId="181">
    <w:name w:val="（1）"/>
    <w:basedOn w:val="1"/>
    <w:qFormat/>
    <w:uiPriority w:val="0"/>
    <w:pPr>
      <w:outlineLvl w:val="4"/>
    </w:pPr>
    <w:rPr>
      <w:rFonts w:cs="Times New Roman"/>
      <w:szCs w:val="24"/>
    </w:rPr>
  </w:style>
  <w:style w:type="paragraph" w:customStyle="1" w:styleId="182">
    <w:name w:val="①"/>
    <w:basedOn w:val="1"/>
    <w:qFormat/>
    <w:uiPriority w:val="0"/>
    <w:pPr>
      <w:ind w:firstLine="480"/>
      <w:outlineLvl w:val="5"/>
    </w:pPr>
    <w:rPr>
      <w:rFonts w:cs="宋体"/>
    </w:rPr>
  </w:style>
  <w:style w:type="paragraph" w:customStyle="1" w:styleId="183">
    <w:name w:val="A"/>
    <w:basedOn w:val="1"/>
    <w:qFormat/>
    <w:uiPriority w:val="0"/>
    <w:pPr>
      <w:autoSpaceDE w:val="0"/>
      <w:autoSpaceDN w:val="0"/>
      <w:ind w:firstLine="480"/>
      <w:outlineLvl w:val="6"/>
    </w:pPr>
    <w:rPr>
      <w:rFonts w:cs="Times New Roman"/>
    </w:rPr>
  </w:style>
  <w:style w:type="paragraph" w:customStyle="1" w:styleId="184">
    <w:name w:val="a"/>
    <w:basedOn w:val="1"/>
    <w:qFormat/>
    <w:uiPriority w:val="0"/>
    <w:pPr>
      <w:ind w:firstLine="480"/>
      <w:outlineLvl w:val="7"/>
    </w:pPr>
    <w:rPr>
      <w:rFonts w:cs="Times New Roman"/>
    </w:rPr>
  </w:style>
  <w:style w:type="paragraph" w:customStyle="1" w:styleId="185">
    <w:name w:val="I"/>
    <w:basedOn w:val="1"/>
    <w:qFormat/>
    <w:uiPriority w:val="0"/>
    <w:rPr>
      <w:rFonts w:cs="Times New Roman"/>
      <w:kern w:val="0"/>
    </w:rPr>
  </w:style>
  <w:style w:type="paragraph" w:customStyle="1" w:styleId="186">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7">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88">
    <w:name w:val="font6"/>
    <w:basedOn w:val="1"/>
    <w:uiPriority w:val="0"/>
    <w:pPr>
      <w:widowControl/>
      <w:spacing w:before="100" w:beforeAutospacing="1" w:after="100" w:afterAutospacing="1" w:line="240" w:lineRule="auto"/>
      <w:ind w:firstLine="0" w:firstLineChars="0"/>
      <w:jc w:val="left"/>
    </w:pPr>
    <w:rPr>
      <w:rFonts w:cs="Times New Roman"/>
      <w:color w:val="000000"/>
      <w:kern w:val="0"/>
      <w:sz w:val="21"/>
      <w:szCs w:val="21"/>
    </w:rPr>
  </w:style>
  <w:style w:type="paragraph" w:customStyle="1" w:styleId="189">
    <w:name w:val="font7"/>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190">
    <w:name w:val="font8"/>
    <w:basedOn w:val="1"/>
    <w:uiPriority w:val="0"/>
    <w:pPr>
      <w:widowControl/>
      <w:spacing w:before="100" w:beforeAutospacing="1" w:after="100" w:afterAutospacing="1" w:line="240" w:lineRule="auto"/>
      <w:ind w:firstLine="0" w:firstLineChars="0"/>
      <w:jc w:val="left"/>
    </w:pPr>
    <w:rPr>
      <w:rFonts w:cs="Times New Roman"/>
      <w:color w:val="000000"/>
      <w:kern w:val="0"/>
      <w:sz w:val="21"/>
      <w:szCs w:val="21"/>
    </w:rPr>
  </w:style>
  <w:style w:type="paragraph" w:customStyle="1" w:styleId="191">
    <w:name w:val="font9"/>
    <w:basedOn w:val="1"/>
    <w:uiPriority w:val="0"/>
    <w:pPr>
      <w:widowControl/>
      <w:spacing w:before="100" w:beforeAutospacing="1" w:after="100" w:afterAutospacing="1" w:line="240" w:lineRule="auto"/>
      <w:ind w:firstLine="0" w:firstLineChars="0"/>
      <w:jc w:val="left"/>
    </w:pPr>
    <w:rPr>
      <w:rFonts w:cs="Times New Roman"/>
      <w:color w:val="FF0000"/>
      <w:kern w:val="0"/>
      <w:sz w:val="21"/>
      <w:szCs w:val="21"/>
    </w:rPr>
  </w:style>
  <w:style w:type="paragraph" w:customStyle="1" w:styleId="192">
    <w:name w:val="xl63"/>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kern w:val="0"/>
      <w:sz w:val="21"/>
      <w:szCs w:val="21"/>
    </w:rPr>
  </w:style>
  <w:style w:type="paragraph" w:customStyle="1" w:styleId="193">
    <w:name w:val="xl64"/>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kern w:val="0"/>
      <w:sz w:val="21"/>
      <w:szCs w:val="21"/>
    </w:rPr>
  </w:style>
  <w:style w:type="paragraph" w:customStyle="1" w:styleId="194">
    <w:name w:val="xl65"/>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cs="Times New Roman"/>
      <w:kern w:val="0"/>
      <w:sz w:val="21"/>
      <w:szCs w:val="21"/>
    </w:rPr>
  </w:style>
  <w:style w:type="paragraph" w:customStyle="1" w:styleId="195">
    <w:name w:val="xl66"/>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196">
    <w:name w:val="xl67"/>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197">
    <w:name w:val="xl68"/>
    <w:basedOn w:val="1"/>
    <w:qFormat/>
    <w:uiPriority w:val="0"/>
    <w:pPr>
      <w:widowControl/>
      <w:pBdr>
        <w:top w:val="single" w:color="000000" w:sz="8" w:space="0"/>
        <w:left w:val="single" w:color="000000" w:sz="8" w:space="0"/>
        <w:bottom w:val="single" w:color="000000"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198">
    <w:name w:val="xl69"/>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199">
    <w:name w:val="xl70"/>
    <w:basedOn w:val="1"/>
    <w:qFormat/>
    <w:uiPriority w:val="0"/>
    <w:pPr>
      <w:widowControl/>
      <w:pBdr>
        <w:top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200">
    <w:name w:val="xl71"/>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201">
    <w:name w:val="xl72"/>
    <w:basedOn w:val="1"/>
    <w:qFormat/>
    <w:uiPriority w:val="0"/>
    <w:pPr>
      <w:widowControl/>
      <w:pBdr>
        <w:top w:val="single" w:color="000000" w:sz="8" w:space="0"/>
        <w:left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202">
    <w:name w:val="xl73"/>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color w:val="FF0000"/>
      <w:kern w:val="0"/>
      <w:sz w:val="21"/>
      <w:szCs w:val="21"/>
    </w:rPr>
  </w:style>
  <w:style w:type="paragraph" w:customStyle="1" w:styleId="203">
    <w:name w:val="xl74"/>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kern w:val="0"/>
      <w:sz w:val="21"/>
      <w:szCs w:val="21"/>
    </w:rPr>
  </w:style>
  <w:style w:type="paragraph" w:customStyle="1" w:styleId="204">
    <w:name w:val="xl75"/>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color w:val="FF0000"/>
      <w:kern w:val="0"/>
      <w:sz w:val="21"/>
      <w:szCs w:val="21"/>
    </w:rPr>
  </w:style>
  <w:style w:type="paragraph" w:customStyle="1" w:styleId="205">
    <w:name w:val="xl76"/>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kern w:val="0"/>
      <w:sz w:val="21"/>
      <w:szCs w:val="21"/>
    </w:rPr>
  </w:style>
  <w:style w:type="paragraph" w:customStyle="1" w:styleId="206">
    <w:name w:val="xl77"/>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color w:val="0070C0"/>
      <w:kern w:val="0"/>
      <w:sz w:val="21"/>
      <w:szCs w:val="21"/>
    </w:rPr>
  </w:style>
  <w:style w:type="paragraph" w:customStyle="1" w:styleId="207">
    <w:name w:val="xl78"/>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color w:val="0070C0"/>
      <w:kern w:val="0"/>
      <w:sz w:val="21"/>
      <w:szCs w:val="21"/>
    </w:rPr>
  </w:style>
  <w:style w:type="paragraph" w:customStyle="1" w:styleId="208">
    <w:name w:val="xl79"/>
    <w:basedOn w:val="1"/>
    <w:qFormat/>
    <w:uiPriority w:val="0"/>
    <w:pPr>
      <w:widowControl/>
      <w:pBdr>
        <w:left w:val="single" w:color="000000" w:sz="8" w:space="0"/>
        <w:bottom w:val="single" w:color="000000" w:sz="8" w:space="0"/>
        <w:right w:val="single" w:color="000000" w:sz="8" w:space="0"/>
      </w:pBdr>
      <w:shd w:val="clear" w:color="000000" w:fill="C5D9F1"/>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209">
    <w:name w:val="xl80"/>
    <w:basedOn w:val="1"/>
    <w:qFormat/>
    <w:uiPriority w:val="0"/>
    <w:pPr>
      <w:widowControl/>
      <w:pBdr>
        <w:bottom w:val="single" w:color="000000" w:sz="8" w:space="0"/>
        <w:right w:val="single" w:color="000000" w:sz="8" w:space="0"/>
      </w:pBdr>
      <w:shd w:val="clear" w:color="000000" w:fill="C5D9F1"/>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210">
    <w:name w:val="xl81"/>
    <w:basedOn w:val="1"/>
    <w:qFormat/>
    <w:uiPriority w:val="0"/>
    <w:pPr>
      <w:widowControl/>
      <w:pBdr>
        <w:bottom w:val="single" w:color="000000" w:sz="8" w:space="0"/>
        <w:right w:val="single" w:color="000000" w:sz="8" w:space="0"/>
      </w:pBdr>
      <w:shd w:val="clear" w:color="000000" w:fill="C5D9F1"/>
      <w:spacing w:before="100" w:beforeAutospacing="1" w:after="100" w:afterAutospacing="1" w:line="240" w:lineRule="auto"/>
      <w:ind w:firstLine="0" w:firstLineChars="0"/>
      <w:jc w:val="center"/>
    </w:pPr>
    <w:rPr>
      <w:rFonts w:cs="Times New Roman"/>
      <w:kern w:val="0"/>
      <w:sz w:val="21"/>
      <w:szCs w:val="21"/>
    </w:rPr>
  </w:style>
  <w:style w:type="paragraph" w:customStyle="1" w:styleId="211">
    <w:name w:val="xl82"/>
    <w:basedOn w:val="1"/>
    <w:qFormat/>
    <w:uiPriority w:val="0"/>
    <w:pPr>
      <w:widowControl/>
      <w:pBdr>
        <w:bottom w:val="single" w:color="000000" w:sz="8" w:space="0"/>
        <w:right w:val="single" w:color="000000" w:sz="8" w:space="0"/>
      </w:pBdr>
      <w:shd w:val="clear" w:color="000000" w:fill="C5D9F1"/>
      <w:spacing w:before="100" w:beforeAutospacing="1" w:after="100" w:afterAutospacing="1" w:line="240" w:lineRule="auto"/>
      <w:ind w:firstLine="0" w:firstLineChars="0"/>
      <w:jc w:val="center"/>
    </w:pPr>
    <w:rPr>
      <w:rFonts w:cs="Times New Roman"/>
      <w:b/>
      <w:bCs/>
      <w:color w:val="C00000"/>
      <w:kern w:val="0"/>
      <w:sz w:val="21"/>
      <w:szCs w:val="21"/>
    </w:rPr>
  </w:style>
  <w:style w:type="paragraph" w:customStyle="1" w:styleId="212">
    <w:name w:val="xl83"/>
    <w:basedOn w:val="1"/>
    <w:qFormat/>
    <w:uiPriority w:val="0"/>
    <w:pPr>
      <w:widowControl/>
      <w:pBdr>
        <w:bottom w:val="single" w:color="000000" w:sz="8" w:space="0"/>
        <w:right w:val="single" w:color="000000" w:sz="8" w:space="0"/>
      </w:pBdr>
      <w:shd w:val="clear" w:color="000000" w:fill="C5D9F1"/>
      <w:spacing w:before="100" w:beforeAutospacing="1" w:after="100" w:afterAutospacing="1" w:line="240" w:lineRule="auto"/>
      <w:ind w:firstLine="0" w:firstLineChars="0"/>
      <w:jc w:val="center"/>
    </w:pPr>
    <w:rPr>
      <w:rFonts w:cs="Times New Roman"/>
      <w:kern w:val="0"/>
      <w:sz w:val="21"/>
      <w:szCs w:val="21"/>
    </w:rPr>
  </w:style>
  <w:style w:type="paragraph" w:customStyle="1" w:styleId="213">
    <w:name w:val="xl84"/>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color w:val="E26B0A"/>
      <w:kern w:val="0"/>
      <w:sz w:val="21"/>
      <w:szCs w:val="21"/>
    </w:rPr>
  </w:style>
  <w:style w:type="paragraph" w:customStyle="1" w:styleId="214">
    <w:name w:val="xl85"/>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color w:val="00B050"/>
      <w:kern w:val="0"/>
      <w:sz w:val="21"/>
      <w:szCs w:val="21"/>
    </w:rPr>
  </w:style>
  <w:style w:type="paragraph" w:customStyle="1" w:styleId="215">
    <w:name w:val="xl86"/>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color w:val="E26B0A"/>
      <w:kern w:val="0"/>
      <w:sz w:val="21"/>
      <w:szCs w:val="21"/>
    </w:rPr>
  </w:style>
  <w:style w:type="paragraph" w:customStyle="1" w:styleId="216">
    <w:name w:val="xl87"/>
    <w:basedOn w:val="1"/>
    <w:qFormat/>
    <w:uiPriority w:val="0"/>
    <w:pPr>
      <w:widowControl/>
      <w:pBdr>
        <w:bottom w:val="single" w:color="000000" w:sz="8" w:space="0"/>
        <w:right w:val="single" w:color="000000" w:sz="8" w:space="0"/>
      </w:pBdr>
      <w:shd w:val="clear" w:color="000000" w:fill="C5D9F1"/>
      <w:spacing w:before="100" w:beforeAutospacing="1" w:after="100" w:afterAutospacing="1" w:line="240" w:lineRule="auto"/>
      <w:ind w:firstLine="0" w:firstLineChars="0"/>
      <w:jc w:val="center"/>
    </w:pPr>
    <w:rPr>
      <w:rFonts w:cs="Times New Roman"/>
      <w:b/>
      <w:bCs/>
      <w:color w:val="C00000"/>
      <w:kern w:val="0"/>
      <w:sz w:val="21"/>
      <w:szCs w:val="21"/>
    </w:rPr>
  </w:style>
  <w:style w:type="paragraph" w:customStyle="1" w:styleId="217">
    <w:name w:val="xl88"/>
    <w:basedOn w:val="1"/>
    <w:qFormat/>
    <w:uiPriority w:val="0"/>
    <w:pPr>
      <w:widowControl/>
      <w:pBdr>
        <w:top w:val="single" w:color="000000" w:sz="8" w:space="0"/>
        <w:left w:val="single" w:color="000000" w:sz="8" w:space="0"/>
        <w:bottom w:val="single" w:color="000000" w:sz="8" w:space="0"/>
      </w:pBdr>
      <w:spacing w:before="100" w:beforeAutospacing="1" w:after="100" w:afterAutospacing="1" w:line="240" w:lineRule="auto"/>
      <w:ind w:firstLine="0" w:firstLineChars="0"/>
      <w:jc w:val="center"/>
    </w:pPr>
    <w:rPr>
      <w:rFonts w:cs="Times New Roman"/>
      <w:kern w:val="0"/>
      <w:sz w:val="21"/>
      <w:szCs w:val="21"/>
    </w:rPr>
  </w:style>
  <w:style w:type="paragraph" w:customStyle="1" w:styleId="218">
    <w:name w:val="xl89"/>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cs="Times New Roman"/>
      <w:kern w:val="0"/>
      <w:sz w:val="21"/>
      <w:szCs w:val="21"/>
    </w:rPr>
  </w:style>
  <w:style w:type="paragraph" w:customStyle="1" w:styleId="219">
    <w:name w:val="xl90"/>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b/>
      <w:bCs/>
      <w:color w:val="C00000"/>
      <w:kern w:val="0"/>
      <w:sz w:val="21"/>
      <w:szCs w:val="21"/>
    </w:rPr>
  </w:style>
  <w:style w:type="paragraph" w:customStyle="1" w:styleId="220">
    <w:name w:val="xl91"/>
    <w:basedOn w:val="1"/>
    <w:qFormat/>
    <w:uiPriority w:val="0"/>
    <w:pPr>
      <w:widowControl/>
      <w:pBdr>
        <w:top w:val="single" w:color="000000" w:sz="8" w:space="0"/>
        <w:bottom w:val="single" w:color="000000" w:sz="8" w:space="0"/>
      </w:pBdr>
      <w:spacing w:before="100" w:beforeAutospacing="1" w:after="100" w:afterAutospacing="1" w:line="240" w:lineRule="auto"/>
      <w:ind w:firstLine="0" w:firstLineChars="0"/>
      <w:jc w:val="center"/>
    </w:pPr>
    <w:rPr>
      <w:rFonts w:cs="Times New Roman"/>
      <w:kern w:val="0"/>
      <w:sz w:val="21"/>
      <w:szCs w:val="21"/>
    </w:rPr>
  </w:style>
  <w:style w:type="paragraph" w:customStyle="1" w:styleId="221">
    <w:name w:val="TOC Heading"/>
    <w:basedOn w:val="2"/>
    <w:next w:val="1"/>
    <w:unhideWhenUsed/>
    <w:qFormat/>
    <w:uiPriority w:val="39"/>
    <w:pPr>
      <w:spacing w:before="240" w:line="259" w:lineRule="auto"/>
      <w:jc w:val="left"/>
      <w:outlineLvl w:val="9"/>
    </w:pPr>
    <w:rPr>
      <w:rFonts w:asciiTheme="majorHAnsi" w:hAnsiTheme="majorHAnsi" w:eastAsiaTheme="majorEastAsia" w:cstheme="majorBidi"/>
      <w:b/>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footer" Target="footer2.xml"/><Relationship Id="rId89" Type="http://schemas.openxmlformats.org/officeDocument/2006/relationships/customXml" Target="../customXml/item1.xml"/><Relationship Id="rId88" Type="http://schemas.openxmlformats.org/officeDocument/2006/relationships/numbering" Target="numbering.xml"/><Relationship Id="rId87" Type="http://schemas.openxmlformats.org/officeDocument/2006/relationships/image" Target="media/image46.png"/><Relationship Id="rId86" Type="http://schemas.openxmlformats.org/officeDocument/2006/relationships/image" Target="media/image45.png"/><Relationship Id="rId85" Type="http://schemas.openxmlformats.org/officeDocument/2006/relationships/image" Target="media/image44.png"/><Relationship Id="rId84" Type="http://schemas.openxmlformats.org/officeDocument/2006/relationships/image" Target="media/image43.png"/><Relationship Id="rId83" Type="http://schemas.openxmlformats.org/officeDocument/2006/relationships/image" Target="media/image42.png"/><Relationship Id="rId82" Type="http://schemas.openxmlformats.org/officeDocument/2006/relationships/image" Target="media/image41.png"/><Relationship Id="rId81" Type="http://schemas.openxmlformats.org/officeDocument/2006/relationships/image" Target="media/image40.png"/><Relationship Id="rId80" Type="http://schemas.openxmlformats.org/officeDocument/2006/relationships/image" Target="media/image39.png"/><Relationship Id="rId8" Type="http://schemas.openxmlformats.org/officeDocument/2006/relationships/footer" Target="footer1.xml"/><Relationship Id="rId79" Type="http://schemas.openxmlformats.org/officeDocument/2006/relationships/image" Target="media/image38.png"/><Relationship Id="rId78" Type="http://schemas.openxmlformats.org/officeDocument/2006/relationships/image" Target="media/image37.png"/><Relationship Id="rId77" Type="http://schemas.openxmlformats.org/officeDocument/2006/relationships/image" Target="media/image36.png"/><Relationship Id="rId76" Type="http://schemas.openxmlformats.org/officeDocument/2006/relationships/image" Target="media/image35.jpeg"/><Relationship Id="rId75" Type="http://schemas.openxmlformats.org/officeDocument/2006/relationships/image" Target="media/image34.jpeg"/><Relationship Id="rId74" Type="http://schemas.openxmlformats.org/officeDocument/2006/relationships/image" Target="media/image33.jpeg"/><Relationship Id="rId73" Type="http://schemas.openxmlformats.org/officeDocument/2006/relationships/image" Target="media/image32.jpeg"/><Relationship Id="rId72" Type="http://schemas.openxmlformats.org/officeDocument/2006/relationships/image" Target="media/image31.jpeg"/><Relationship Id="rId71" Type="http://schemas.openxmlformats.org/officeDocument/2006/relationships/image" Target="media/image30.jpeg"/><Relationship Id="rId70" Type="http://schemas.openxmlformats.org/officeDocument/2006/relationships/image" Target="media/image29.jpeg"/><Relationship Id="rId7" Type="http://schemas.openxmlformats.org/officeDocument/2006/relationships/header" Target="header3.xml"/><Relationship Id="rId69" Type="http://schemas.openxmlformats.org/officeDocument/2006/relationships/image" Target="media/image28.wmf"/><Relationship Id="rId68" Type="http://schemas.openxmlformats.org/officeDocument/2006/relationships/image" Target="media/image27.jpeg"/><Relationship Id="rId67" Type="http://schemas.openxmlformats.org/officeDocument/2006/relationships/image" Target="media/image26.jpeg"/><Relationship Id="rId66" Type="http://schemas.openxmlformats.org/officeDocument/2006/relationships/image" Target="media/image25.jpeg"/><Relationship Id="rId65" Type="http://schemas.openxmlformats.org/officeDocument/2006/relationships/image" Target="media/image24.jpeg"/><Relationship Id="rId64" Type="http://schemas.openxmlformats.org/officeDocument/2006/relationships/image" Target="media/image23.jpeg"/><Relationship Id="rId63" Type="http://schemas.openxmlformats.org/officeDocument/2006/relationships/image" Target="media/image22.jpeg"/><Relationship Id="rId62" Type="http://schemas.openxmlformats.org/officeDocument/2006/relationships/image" Target="media/image21.jpeg"/><Relationship Id="rId61" Type="http://schemas.openxmlformats.org/officeDocument/2006/relationships/image" Target="media/image20.jpeg"/><Relationship Id="rId60" Type="http://schemas.openxmlformats.org/officeDocument/2006/relationships/image" Target="media/image19.jpeg"/><Relationship Id="rId6" Type="http://schemas.openxmlformats.org/officeDocument/2006/relationships/header" Target="header2.xml"/><Relationship Id="rId59" Type="http://schemas.openxmlformats.org/officeDocument/2006/relationships/image" Target="media/image18.jpeg"/><Relationship Id="rId58" Type="http://schemas.openxmlformats.org/officeDocument/2006/relationships/image" Target="media/image17.jpeg"/><Relationship Id="rId57" Type="http://schemas.openxmlformats.org/officeDocument/2006/relationships/image" Target="media/image16.jpeg"/><Relationship Id="rId56" Type="http://schemas.openxmlformats.org/officeDocument/2006/relationships/image" Target="media/image15.jpeg"/><Relationship Id="rId55" Type="http://schemas.openxmlformats.org/officeDocument/2006/relationships/image" Target="media/image14.jpeg"/><Relationship Id="rId54" Type="http://schemas.openxmlformats.org/officeDocument/2006/relationships/image" Target="media/image13.jpeg"/><Relationship Id="rId53" Type="http://schemas.openxmlformats.org/officeDocument/2006/relationships/image" Target="media/image12.jpeg"/><Relationship Id="rId52" Type="http://schemas.openxmlformats.org/officeDocument/2006/relationships/image" Target="media/image11.jpeg"/><Relationship Id="rId51" Type="http://schemas.openxmlformats.org/officeDocument/2006/relationships/image" Target="media/image10.jpeg"/><Relationship Id="rId50" Type="http://schemas.openxmlformats.org/officeDocument/2006/relationships/image" Target="media/image9.jpeg"/><Relationship Id="rId5" Type="http://schemas.openxmlformats.org/officeDocument/2006/relationships/header" Target="header1.xml"/><Relationship Id="rId49" Type="http://schemas.openxmlformats.org/officeDocument/2006/relationships/image" Target="media/image8.jpeg"/><Relationship Id="rId48" Type="http://schemas.openxmlformats.org/officeDocument/2006/relationships/image" Target="media/image7.jpeg"/><Relationship Id="rId47" Type="http://schemas.openxmlformats.org/officeDocument/2006/relationships/image" Target="media/image6.jpeg"/><Relationship Id="rId46" Type="http://schemas.openxmlformats.org/officeDocument/2006/relationships/image" Target="media/image5.emf"/><Relationship Id="rId45" Type="http://schemas.openxmlformats.org/officeDocument/2006/relationships/image" Target="media/image4.jpeg"/><Relationship Id="rId44" Type="http://schemas.openxmlformats.org/officeDocument/2006/relationships/image" Target="media/image3.jpeg"/><Relationship Id="rId43" Type="http://schemas.openxmlformats.org/officeDocument/2006/relationships/image" Target="media/image2.jpeg"/><Relationship Id="rId42" Type="http://schemas.openxmlformats.org/officeDocument/2006/relationships/image" Target="media/image1.jpeg"/><Relationship Id="rId41" Type="http://schemas.openxmlformats.org/officeDocument/2006/relationships/theme" Target="theme/theme1.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header" Target="header17.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03E260D5-B190-4EFA-A3D9-D29E73896156}">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260</Pages>
  <Words>33541</Words>
  <Characters>191187</Characters>
  <Lines>1593</Lines>
  <Paragraphs>448</Paragraphs>
  <TotalTime>14</TotalTime>
  <ScaleCrop>false</ScaleCrop>
  <LinksUpToDate>false</LinksUpToDate>
  <CharactersWithSpaces>224280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2024-11-04T10:19:00Z</dcterms:created>
  <dc:creator>Windows User</dc:creator>
  <cp:lastModifiedBy>Administrator</cp:lastModifiedBy>
  <dcterms:modified xsi:type="dcterms:W3CDTF">2026-04-13T08:37:13Z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9B022A17C85643F6A557820878708911</vt:lpwstr>
  </property>
</Properties>
</file>