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A7ACD">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5C9ACD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141B88D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683FC2A9">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17C7186B">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6C92CD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320CE5EC">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3EBAB10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4D88B92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BA0384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4A4AFA7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EE9C4CD">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CAE215E">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2393C24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7581119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DF175F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0722C4B4">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78D843EE">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93A8C19">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3076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哈密市伊吾县盐池镇骆驼养殖示范园配套设施项目</w:t>
      </w:r>
    </w:p>
    <w:p w14:paraId="4CD739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伊吾县盐池镇人民政府</w:t>
      </w:r>
    </w:p>
    <w:p w14:paraId="0334F9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w:t>
      </w:r>
      <w:r>
        <w:rPr>
          <w:rFonts w:hint="eastAsia" w:ascii="仿宋_GB2312" w:hAnsi="仿宋_GB2312" w:eastAsia="仿宋_GB2312" w:cs="仿宋_GB2312"/>
          <w:sz w:val="32"/>
          <w:szCs w:val="32"/>
          <w:lang w:val="en-US" w:eastAsia="zh-CN"/>
        </w:rPr>
        <w:t>伊吾县农业农村局</w:t>
      </w:r>
    </w:p>
    <w:p w14:paraId="7A032B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尚文杰</w:t>
      </w:r>
    </w:p>
    <w:p w14:paraId="23F151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2A82E78B">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715B4C11">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0EC165D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4934563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476869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2025年4月11日下发的《关于哈密市伊吾县盐池镇骆驼养殖示范园配套设施项目建议书的批复》（伊发改投资〔2025〕27号）文件，确定安排并实施哈密市伊吾县盐池镇骆驼养殖示范园配套设施项目。</w:t>
      </w:r>
    </w:p>
    <w:p w14:paraId="1E6945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项目预算金额为500.00万元，其中专项衔接资金298.40万元，县财政配套资金201.60万元。</w:t>
      </w:r>
      <w:bookmarkEnd w:id="3"/>
    </w:p>
    <w:p w14:paraId="7152683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0FB991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盐池镇人民政府负责实施，项目实施期限2025年4月—12月，项目主要内容为新建2米高围墙约2000米，8米宽沥青道路约670米，6米宽沥青道路约630米,200立方米粪污收集池一座，12米大门1个，10米大门两个，新建PE100级DN125供水管2230米，阀门井10个，室外消火栓10个，新增250KVA变压器8台，新增10KV线路约1400米。</w:t>
      </w:r>
    </w:p>
    <w:p w14:paraId="451CC7D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bookmarkStart w:id="15" w:name="_GoBack"/>
      <w:bookmarkEnd w:id="15"/>
    </w:p>
    <w:p w14:paraId="3AA82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2FD8422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0D401F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目标1：新建2米高围墙约2000米，8米宽沥青道路约670米，6米宽沥青道路约630米,200立方米粪污收集池一座，12米大门1个，10米大门两个。</w:t>
      </w:r>
    </w:p>
    <w:p w14:paraId="3E1C6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目标2：新建PE100级DN125供水管2230米，阀门井10个，室外消火栓10个。</w:t>
      </w:r>
    </w:p>
    <w:p w14:paraId="1E84DA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目标3：新增250KVA变压器8台，新增10KV线路约1400米。</w:t>
      </w:r>
    </w:p>
    <w:p w14:paraId="316337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项目实施预期受益脱贫户167户502人，受益一般户471户1273人，项目实施过程中预计带动本地就业人数60人，预期受益农户满意度达到95%及以上。</w:t>
      </w:r>
    </w:p>
    <w:p w14:paraId="7346F0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骆驼养殖作为当地的特色产业，具有独特的优势，通过本项目的实施，能够更好地整合和利用这些现有的产业优势，进一步优化资源配置，为骆驼养殖产业提供更加完善的发展环境，通过项目的建设，推动骆驼养殖产业向规模化、专业化、标准化方向发展，提高产业的整体竞争力，使当地的产业优势得到充分发挥，从而带动区域经济的增长。</w:t>
      </w:r>
    </w:p>
    <w:p w14:paraId="441F08E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7B2F82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7F6A5E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4F2CE7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254B85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指标1“新建2米高围墙长度”年度指标值为“2000米”；</w:t>
      </w:r>
    </w:p>
    <w:p w14:paraId="28264A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指标2“新建8米宽沥青道路长度”年度指标值为“670米”；</w:t>
      </w:r>
    </w:p>
    <w:p w14:paraId="4694FA29">
      <w:pPr>
        <w:pStyle w:val="2"/>
        <w:keepNext w:val="0"/>
        <w:keepLines w:val="0"/>
        <w:pageBreakBefore w:val="0"/>
        <w:widowControl w:val="0"/>
        <w:kinsoku/>
        <w:wordWrap/>
        <w:overflowPunct/>
        <w:topLinePunct w:val="0"/>
        <w:autoSpaceDE/>
        <w:autoSpaceDN/>
        <w:bidi w:val="0"/>
        <w:adjustRightInd/>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指标3“新建6米宽沥青道路长度”年度指标值为“630米”；</w:t>
      </w:r>
    </w:p>
    <w:p w14:paraId="26D7EF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指标4“新建200立方米粪污收集池数量”年度指标值为“1座”；</w:t>
      </w:r>
    </w:p>
    <w:p w14:paraId="6CC2BC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指标5“新建12米大门数量”年度指标值为“1个”；</w:t>
      </w:r>
    </w:p>
    <w:p w14:paraId="58BC26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指标6“新建10米大门数量”年度指标值为“2个”；</w:t>
      </w:r>
    </w:p>
    <w:p w14:paraId="218E80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指标7“新建供水管网长度”年度指标值为“2230米”；</w:t>
      </w:r>
    </w:p>
    <w:p w14:paraId="2B6345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指标8“配套阀门井数量”年度指标值为“10个”；</w:t>
      </w:r>
    </w:p>
    <w:p w14:paraId="3536AC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指标9“配套室外消火栓数量”年度指标值为“10个”；</w:t>
      </w:r>
    </w:p>
    <w:p w14:paraId="7D5683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指标10“新增250KVA变压器数量”年度指标值为“8台”；</w:t>
      </w:r>
    </w:p>
    <w:p w14:paraId="7DEAD8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指标11“新增10KV线路长度”年度指标值为“1400米”。</w:t>
      </w:r>
    </w:p>
    <w:p w14:paraId="0F4949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508D4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02B73C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47DF42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0EBD2A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w:t>
      </w:r>
    </w:p>
    <w:p w14:paraId="2E38F2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指标2“项目（工程）完工时间”年度指标值为“2025年12月”。</w:t>
      </w:r>
    </w:p>
    <w:p w14:paraId="491D15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4F631E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指标1“工程费用”年度指标值为“小于等于422.36万元”；</w:t>
      </w:r>
    </w:p>
    <w:p w14:paraId="03BB78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指标2“工程建设其他费用”年度指标值为“小于等于60.73万元”；</w:t>
      </w:r>
    </w:p>
    <w:p w14:paraId="6888F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指标3“预备费”年度指标值为“小于等于16.91万元”。</w:t>
      </w:r>
    </w:p>
    <w:p w14:paraId="6E350A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54FE36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599D69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cs="仿宋_GB2312" w:eastAsiaTheme="minorEastAsia"/>
          <w:sz w:val="32"/>
          <w:szCs w:val="32"/>
          <w:lang w:val="en-US" w:eastAsia="zh-CN"/>
        </w:rPr>
      </w:pPr>
      <w:r>
        <w:rPr>
          <w:rFonts w:hint="eastAsia" w:ascii="仿宋_GB2312" w:hAnsi="仿宋_GB2312" w:eastAsia="仿宋_GB2312" w:cs="仿宋_GB2312"/>
          <w:sz w:val="32"/>
          <w:szCs w:val="32"/>
          <w:lang w:val="en-US" w:eastAsia="zh-CN"/>
        </w:rPr>
        <w:t>无。</w:t>
      </w:r>
    </w:p>
    <w:p w14:paraId="6B54A8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2A6DA1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指标1“受益脱贫户户数”年度指标值为“167户”；</w:t>
      </w:r>
    </w:p>
    <w:p w14:paraId="21E82A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指标2“受益脱贫户人数”年度指标值为“502人”；</w:t>
      </w:r>
    </w:p>
    <w:p w14:paraId="4EC44A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指标3“受益一般户户数”年度指标值为“471户”；</w:t>
      </w:r>
    </w:p>
    <w:p w14:paraId="68FD4C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指标4“受益一般户人数”年度指标值为“1273人”；</w:t>
      </w:r>
    </w:p>
    <w:p w14:paraId="293ED2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指标5“项目实施过程中带动当地就业人数”年度指标值为“大于等于60人”。</w:t>
      </w:r>
    </w:p>
    <w:p w14:paraId="28A486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43E635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322E3E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3C19D7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DD5E8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4B1F4B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515196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指标1：“受益农户满意度”年度指标值为“大于等于95%”。</w:t>
      </w:r>
    </w:p>
    <w:p w14:paraId="1C87F673">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5BFB335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77C426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14FDE01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35E45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伊吾县盐池镇人民政府2025年实施的哈密市伊吾县盐池镇骆驼养殖示范园配套设施项目及其所涉及的财政资金500.00万元。</w:t>
      </w:r>
    </w:p>
    <w:p w14:paraId="28FF1349">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216F7A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Hans"/>
        </w:rPr>
        <w:t>年</w:t>
      </w: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Hans"/>
        </w:rPr>
        <w:t>2</w:t>
      </w:r>
      <w:r>
        <w:rPr>
          <w:rFonts w:hint="eastAsia" w:ascii="仿宋_GB2312" w:hAnsi="仿宋_GB2312" w:eastAsia="仿宋_GB2312" w:cs="仿宋_GB2312"/>
          <w:sz w:val="32"/>
          <w:szCs w:val="32"/>
          <w:highlight w:val="none"/>
          <w:lang w:val="en-US" w:eastAsia="zh-Hans"/>
        </w:rPr>
        <w:t>月</w:t>
      </w:r>
      <w:r>
        <w:rPr>
          <w:rFonts w:hint="eastAsia" w:ascii="仿宋_GB2312" w:hAnsi="仿宋_GB2312" w:eastAsia="仿宋_GB2312" w:cs="仿宋_GB2312"/>
          <w:sz w:val="32"/>
          <w:szCs w:val="32"/>
          <w:highlight w:val="none"/>
          <w:lang w:val="en-US" w:eastAsia="zh-CN"/>
        </w:rPr>
        <w:t>25</w:t>
      </w:r>
      <w:r>
        <w:rPr>
          <w:rFonts w:hint="eastAsia" w:ascii="仿宋_GB2312" w:hAnsi="仿宋_GB2312" w:eastAsia="仿宋_GB2312" w:cs="仿宋_GB2312"/>
          <w:sz w:val="32"/>
          <w:szCs w:val="32"/>
          <w:highlight w:val="none"/>
          <w:lang w:val="en-US" w:eastAsia="zh-Hans"/>
        </w:rPr>
        <w:t>日</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Hans"/>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Hans"/>
        </w:rPr>
        <w:t>年</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Hans"/>
        </w:rPr>
        <w:t>月</w:t>
      </w:r>
      <w:r>
        <w:rPr>
          <w:rFonts w:hint="eastAsia" w:ascii="仿宋_GB2312" w:hAnsi="仿宋_GB2312" w:eastAsia="仿宋_GB2312" w:cs="仿宋_GB2312"/>
          <w:sz w:val="32"/>
          <w:szCs w:val="32"/>
          <w:highlight w:val="none"/>
          <w:lang w:val="en-US" w:eastAsia="zh-CN"/>
        </w:rPr>
        <w:t>28</w:t>
      </w:r>
      <w:r>
        <w:rPr>
          <w:rFonts w:hint="eastAsia" w:ascii="仿宋_GB2312" w:hAnsi="仿宋_GB2312" w:eastAsia="仿宋_GB2312" w:cs="仿宋_GB2312"/>
          <w:sz w:val="32"/>
          <w:szCs w:val="32"/>
          <w:highlight w:val="none"/>
          <w:lang w:val="en-US" w:eastAsia="zh-Hans"/>
        </w:rPr>
        <w:t>日</w:t>
      </w:r>
      <w:r>
        <w:rPr>
          <w:rFonts w:hint="eastAsia" w:ascii="仿宋_GB2312" w:hAnsi="仿宋_GB2312" w:eastAsia="仿宋_GB2312" w:cs="仿宋_GB2312"/>
          <w:sz w:val="32"/>
          <w:szCs w:val="32"/>
          <w:highlight w:val="none"/>
          <w:lang w:val="en-US" w:eastAsia="zh-CN"/>
        </w:rPr>
        <w:t>。</w:t>
      </w:r>
    </w:p>
    <w:p w14:paraId="1A591F0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7C351C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46A832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1C7E35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62FB92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尚文杰任评价组组长，主要负责评价任务安排落实，整体协调推进，总体把控评价工作进度和质量。</w:t>
      </w:r>
    </w:p>
    <w:p w14:paraId="595279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评价组成员牛丽丽，主要负责项目资料收集、整理，完成绩效评价项目部分内容。</w:t>
      </w:r>
    </w:p>
    <w:p w14:paraId="7B5FC7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评价组成员章亚玲，主要负责财务资料收集、整理，完成绩效评价财务部分内容。</w:t>
      </w:r>
    </w:p>
    <w:bookmarkEnd w:id="4"/>
    <w:p w14:paraId="2B8BAD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5E7E0F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8FA8AB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3EE1DF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p w14:paraId="59A07F95">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3D158955">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1E1485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5597C0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项目预算安排资金500.00万元，其中专项衔接资金298.40万元</w:t>
      </w:r>
      <w:bookmarkStart w:id="8" w:name="_Hlk55842207"/>
      <w:r>
        <w:rPr>
          <w:rFonts w:hint="eastAsia" w:ascii="仿宋_GB2312" w:hAnsi="仿宋_GB2312" w:eastAsia="仿宋_GB2312" w:cs="仿宋_GB2312"/>
          <w:sz w:val="32"/>
          <w:szCs w:val="32"/>
          <w:lang w:val="en-US" w:eastAsia="zh-CN"/>
        </w:rPr>
        <w:t>，县财政配套资金201.60万元。全年实际到位资金500.00万元，预算资金到位率100%。</w:t>
      </w:r>
    </w:p>
    <w:bookmarkEnd w:id="7"/>
    <w:bookmarkEnd w:id="8"/>
    <w:p w14:paraId="235273B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5388C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截至2025年12月底，该项目实际支出483.30万元，预算执行率96.66%。项目资金主要用于项目工程款420.14万元、前期费63.16万元。</w:t>
      </w:r>
    </w:p>
    <w:p w14:paraId="22860D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结余资金16.7万元已全额上缴财政，后续根据质保情况按合同约定申请并安排支付。</w:t>
      </w:r>
    </w:p>
    <w:p w14:paraId="6FB30D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520065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56C383D6">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49110E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本项目共设一级指标3个，二级指标6个，三级指标24个，已完成年度绩效指标22个，指标完成率91.67%。</w:t>
      </w:r>
    </w:p>
    <w:p w14:paraId="4030FB7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6328A6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05E40D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指标1“新建2米高围墙长度”年度指标值为“2000米”，指标全年实际完成2000米，指标完成率100%；</w:t>
      </w:r>
    </w:p>
    <w:p w14:paraId="270D4F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指标2“新建8米宽沥青道路长度”年度指标值为“670米”，指标全年实际完成670米，指标完成率100%；</w:t>
      </w:r>
    </w:p>
    <w:p w14:paraId="066124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指标3“新建6米宽沥青道路长度”年度指标值为“630米”，指标全年实际完成630米，指标完成率100%；</w:t>
      </w:r>
    </w:p>
    <w:p w14:paraId="247492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指标4“新建200立方米粪污收集池数量”年度指标值为“1座”，指标全年实际完成1座，指标完成率100%；</w:t>
      </w:r>
    </w:p>
    <w:p w14:paraId="650693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指标5“新建12米大门数量”年度指标值为“1个”，指标全年实际完成1个，指标完成率100%；</w:t>
      </w:r>
    </w:p>
    <w:p w14:paraId="54C427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指标6“新建10米大门数量”年度指标值为“2个”，指标全年实际完成2个，指标完成率100%；</w:t>
      </w:r>
    </w:p>
    <w:p w14:paraId="4A833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指标7“新建供水管网长度”年度指标值为“2230米”，指标全年实际完成2230米，指标完成率100%；</w:t>
      </w:r>
    </w:p>
    <w:p w14:paraId="20AEBF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指标8“配套阀门井数量”年度指标值为“10个”，指标全年实际完成10个，指标完成率100%；</w:t>
      </w:r>
    </w:p>
    <w:p w14:paraId="315D05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指标9“配套室外消火栓数量”年度指标值为“10个”，指标全年实际完成10个，指标完成率100%；</w:t>
      </w:r>
    </w:p>
    <w:p w14:paraId="56CE46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指标10“新增250KVA变压器数量”年度指标值为“8台”，指标全年实际完成8台，指标完成率100%；</w:t>
      </w:r>
    </w:p>
    <w:p w14:paraId="5B695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指标11“新增10KV线路长度”年度指标值为“1400米”，指标全年实际完成1400米，指标完成率100%。</w:t>
      </w:r>
    </w:p>
    <w:p w14:paraId="50CA63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74BAF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指标1“项目（工程）验收合格率”年度指标值为“100%”，指标全年实际完成100%，指标完成率100%；</w:t>
      </w:r>
    </w:p>
    <w:p w14:paraId="753DA8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指标2“项目（工程）量完工率”年度指标值为“100%”，指标全年实际完成100%，指标完成率100%。</w:t>
      </w:r>
    </w:p>
    <w:p w14:paraId="549CA4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54FBC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指标1“项目（工程）开工时间”年度指标值为“2025年4月”，指标全年实际完成2025年4月，指标完成率100%；</w:t>
      </w:r>
    </w:p>
    <w:p w14:paraId="074E49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指标2“项目（工程）完工时间”年度指标值为“2025年12月”，指标全年实际完成2025年10月，指标完成率100%。</w:t>
      </w:r>
    </w:p>
    <w:p w14:paraId="41C5FC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7E8B6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指标1“工程费用”年度指标值为“小于等于422.36万元”，指标全年实际完成420.14万元，指标完成率99.47%；</w:t>
      </w:r>
    </w:p>
    <w:p w14:paraId="533BCB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指标2“工程建设其他费用”年度指标值为“小于等于60.73万元”，指标全年实际完成63.16万元，指标完成率104.00%；</w:t>
      </w:r>
    </w:p>
    <w:p w14:paraId="16A06D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16.91万元，指标全年实际完成0万元，预备费是行业对预算编制要求，项目合同额足以覆盖发生变更、不可抗力或不可预料事项导致发生的费用，因此该指标认定完成率100%，不予扣分。</w:t>
      </w:r>
    </w:p>
    <w:p w14:paraId="5689BD3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007E66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0903D7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8D5F9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2372A8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指标1“受益脱贫户户数”年度指标值为“167户”，指标全年实际完成167户，指标完成率100%；</w:t>
      </w:r>
    </w:p>
    <w:p w14:paraId="7CE217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指标2“受益脱贫户人数”年度指标值为“502人”，指标全年实际完成502人，指标完成率100%；</w:t>
      </w:r>
    </w:p>
    <w:p w14:paraId="756431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指标3“受益一般户户数”年度指标值为“471户”，指标全年实际完成471户，指标完成率100%；</w:t>
      </w:r>
    </w:p>
    <w:p w14:paraId="6BCFFE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指标4“受益一般户人数”年度指标值为“1273人”，指标全年实际完成1273人，指标完成率100%；</w:t>
      </w:r>
    </w:p>
    <w:p w14:paraId="5F6B31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指标5“项目实施过程中带动当地就业人数”年度指标值为“大于等于60人”，指标全年实际完成0人，指标完成率0%。</w:t>
      </w:r>
    </w:p>
    <w:p w14:paraId="3E7092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1FD9DC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18BA7D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3E5385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0AE747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1FAAFB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02E80F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受益农户满意度”年度指标值为“大于等于95%”，指标全年实际完成95%，指标完成率100%。</w:t>
      </w:r>
    </w:p>
    <w:p w14:paraId="05FFFD93">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037F4E69">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时效指标中的“项目（工程）完工时间”预期指标值“2025年12月”，实际完成值2025年10月，提前完成原因是按批复时间设定绩效目标，项目实际施工条件好，进度快，提前完工。</w:t>
      </w:r>
    </w:p>
    <w:p w14:paraId="09C698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成本指标中的“工程建设其他费用”预期指标值“小于等于60.73万元”，实际完成值63.16万元，未完成原因是前期费设计不够准确。</w:t>
      </w:r>
    </w:p>
    <w:p w14:paraId="7EF129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预备费”预期指标值“小于等于16.91万元”，实际完成值0万元，偏差原因预备费是行业对预算编制要求，项目实际未发生设计变更、不可抗力或不可预料事项导致发生的费用，因此该指标认定全部完成。</w:t>
      </w:r>
    </w:p>
    <w:p w14:paraId="7295D5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社会效益指标中的“项目实施过程中带动当地就业人数”预期指标值“大于等于60人”，实际完成值0人，未完成原因：一是前期用工计划计划设定过高，二是项目所在地人员不足。</w:t>
      </w:r>
    </w:p>
    <w:p w14:paraId="7DCBAF9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574837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一是，做好前期调研和工作进度计划，合理申报和确定工期。</w:t>
      </w:r>
    </w:p>
    <w:p w14:paraId="0BA91C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二是，做好项目前期调研论证，择优选择咨询单位，精准编制概预算。</w:t>
      </w:r>
    </w:p>
    <w:p w14:paraId="1B707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三是，按项目实际情况核定用工，做好本地用工计划，同时加大招工宣传力度。</w:t>
      </w:r>
    </w:p>
    <w:bookmarkEnd w:id="13"/>
    <w:p w14:paraId="24481593">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007DDF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本单位通过项目资金执行情况、项目绩效指标完成情况等进行绩效自评，自评得分90.35分，评价等级优。</w:t>
      </w:r>
    </w:p>
    <w:p w14:paraId="05B121AE">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448128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为安排以后年度预算提供重要依据。</w:t>
      </w:r>
    </w:p>
    <w:p w14:paraId="0A1BBC10">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64D8A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r>
        <w:rPr>
          <w:rFonts w:hint="eastAsia" w:ascii="仿宋_GB2312" w:hAnsi="仿宋_GB2312" w:eastAsia="仿宋_GB2312" w:cs="仿宋_GB2312"/>
          <w:sz w:val="32"/>
          <w:szCs w:val="32"/>
          <w:lang w:val="en-US" w:eastAsia="zh-CN"/>
        </w:rPr>
        <w:t>。</w:t>
      </w:r>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B686EB-0141-4C7B-BDC5-608F406ED5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BBC09F7-3DDD-4878-BC4C-C7EFC7CF5129}"/>
  </w:font>
  <w:font w:name="华文中宋">
    <w:panose1 w:val="02010600040101010101"/>
    <w:charset w:val="86"/>
    <w:family w:val="auto"/>
    <w:pitch w:val="default"/>
    <w:sig w:usb0="00000287" w:usb1="080F0000" w:usb2="00000000" w:usb3="00000000" w:csb0="0004009F" w:csb1="DFD70000"/>
    <w:embedRegular r:id="rId3" w:fontKey="{D860C84B-BF06-4B32-9238-2050978B55C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67C32">
    <w:pPr>
      <w:pStyle w:val="10"/>
      <w:jc w:val="center"/>
      <w:rPr>
        <w:rFonts w:asciiTheme="minorEastAsia" w:hAnsiTheme="minorEastAsia"/>
        <w:sz w:val="28"/>
        <w:szCs w:val="28"/>
      </w:rPr>
    </w:pPr>
  </w:p>
  <w:p w14:paraId="3F0A1F48">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459FF">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0167E"/>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3F5610"/>
    <w:rsid w:val="0F460B5B"/>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235F91"/>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7449FC"/>
    <w:rsid w:val="1CB0008A"/>
    <w:rsid w:val="1CD32B18"/>
    <w:rsid w:val="1CF81F2F"/>
    <w:rsid w:val="1D0C7C1D"/>
    <w:rsid w:val="1D2F2AD1"/>
    <w:rsid w:val="1DC75B78"/>
    <w:rsid w:val="1E2933F2"/>
    <w:rsid w:val="1E6B5E64"/>
    <w:rsid w:val="1EA10BC8"/>
    <w:rsid w:val="1EA40698"/>
    <w:rsid w:val="1EBC53FA"/>
    <w:rsid w:val="1EE7203A"/>
    <w:rsid w:val="1EED1DFF"/>
    <w:rsid w:val="1F0D3112"/>
    <w:rsid w:val="1F5D05A2"/>
    <w:rsid w:val="1F8029FC"/>
    <w:rsid w:val="1F951411"/>
    <w:rsid w:val="1FAA7256"/>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3EE4F14"/>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38003B"/>
    <w:rsid w:val="2A4D12B4"/>
    <w:rsid w:val="2A706629"/>
    <w:rsid w:val="2AC476F7"/>
    <w:rsid w:val="2AD37377"/>
    <w:rsid w:val="2B0D6540"/>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BA484A"/>
    <w:rsid w:val="2EC5737D"/>
    <w:rsid w:val="2ED17B6C"/>
    <w:rsid w:val="2EDE609F"/>
    <w:rsid w:val="2EE76251"/>
    <w:rsid w:val="2F1706C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BE20D5"/>
    <w:rsid w:val="37C81DBD"/>
    <w:rsid w:val="37C81E89"/>
    <w:rsid w:val="3807391A"/>
    <w:rsid w:val="382944D3"/>
    <w:rsid w:val="38412EA7"/>
    <w:rsid w:val="3881742D"/>
    <w:rsid w:val="38891E78"/>
    <w:rsid w:val="38902FA0"/>
    <w:rsid w:val="38A31D44"/>
    <w:rsid w:val="39141C1C"/>
    <w:rsid w:val="3921228E"/>
    <w:rsid w:val="3966130E"/>
    <w:rsid w:val="399B46B3"/>
    <w:rsid w:val="399C4492"/>
    <w:rsid w:val="39DD62B6"/>
    <w:rsid w:val="3ACB7F90"/>
    <w:rsid w:val="3B072F57"/>
    <w:rsid w:val="3B20012B"/>
    <w:rsid w:val="3B2F61DB"/>
    <w:rsid w:val="3B384589"/>
    <w:rsid w:val="3B621A3E"/>
    <w:rsid w:val="3B754164"/>
    <w:rsid w:val="3BBF4364"/>
    <w:rsid w:val="3BD80AAE"/>
    <w:rsid w:val="3BF771A8"/>
    <w:rsid w:val="3C485278"/>
    <w:rsid w:val="3CBC3660"/>
    <w:rsid w:val="3CD10823"/>
    <w:rsid w:val="3CF046DC"/>
    <w:rsid w:val="3D204617"/>
    <w:rsid w:val="3D314871"/>
    <w:rsid w:val="3D88478B"/>
    <w:rsid w:val="3D9B52CD"/>
    <w:rsid w:val="3DC348D7"/>
    <w:rsid w:val="3E1D32D4"/>
    <w:rsid w:val="3E355DFF"/>
    <w:rsid w:val="3E443946"/>
    <w:rsid w:val="3E54262A"/>
    <w:rsid w:val="3E87353D"/>
    <w:rsid w:val="3EA0625E"/>
    <w:rsid w:val="3F9B25E0"/>
    <w:rsid w:val="3FE80D6B"/>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390767"/>
    <w:rsid w:val="45E078D7"/>
    <w:rsid w:val="45EF1C1D"/>
    <w:rsid w:val="45FA2555"/>
    <w:rsid w:val="465E7D59"/>
    <w:rsid w:val="46E52575"/>
    <w:rsid w:val="48372E95"/>
    <w:rsid w:val="483F2C5B"/>
    <w:rsid w:val="48BE603A"/>
    <w:rsid w:val="48F13107"/>
    <w:rsid w:val="49155288"/>
    <w:rsid w:val="49333CC6"/>
    <w:rsid w:val="49471AEB"/>
    <w:rsid w:val="498B586D"/>
    <w:rsid w:val="49D9751A"/>
    <w:rsid w:val="49E4496C"/>
    <w:rsid w:val="49EB1918"/>
    <w:rsid w:val="49F15EEE"/>
    <w:rsid w:val="4A0137C3"/>
    <w:rsid w:val="4A554619"/>
    <w:rsid w:val="4A592368"/>
    <w:rsid w:val="4A690A38"/>
    <w:rsid w:val="4BD26F87"/>
    <w:rsid w:val="4BDE2BEC"/>
    <w:rsid w:val="4C067AEC"/>
    <w:rsid w:val="4C541529"/>
    <w:rsid w:val="4C900B45"/>
    <w:rsid w:val="4C9973EF"/>
    <w:rsid w:val="4CBE3B8B"/>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0C41F70"/>
    <w:rsid w:val="51BA4584"/>
    <w:rsid w:val="523532B8"/>
    <w:rsid w:val="52440A67"/>
    <w:rsid w:val="524C0784"/>
    <w:rsid w:val="525E7A5F"/>
    <w:rsid w:val="52672B1C"/>
    <w:rsid w:val="527E7E4D"/>
    <w:rsid w:val="52A70535"/>
    <w:rsid w:val="52CA2E5D"/>
    <w:rsid w:val="530F24FD"/>
    <w:rsid w:val="534758B1"/>
    <w:rsid w:val="537F47E5"/>
    <w:rsid w:val="53A02362"/>
    <w:rsid w:val="53A7353E"/>
    <w:rsid w:val="53A95AF3"/>
    <w:rsid w:val="53E42914"/>
    <w:rsid w:val="5405395E"/>
    <w:rsid w:val="54282C3B"/>
    <w:rsid w:val="54A47857"/>
    <w:rsid w:val="54BB76DE"/>
    <w:rsid w:val="54E92BF7"/>
    <w:rsid w:val="55075963"/>
    <w:rsid w:val="552D158F"/>
    <w:rsid w:val="553F1591"/>
    <w:rsid w:val="554F61AB"/>
    <w:rsid w:val="55637CCD"/>
    <w:rsid w:val="559169F5"/>
    <w:rsid w:val="55E6356A"/>
    <w:rsid w:val="560403F4"/>
    <w:rsid w:val="56094AFF"/>
    <w:rsid w:val="56382140"/>
    <w:rsid w:val="564978E2"/>
    <w:rsid w:val="567C27AF"/>
    <w:rsid w:val="56831CA4"/>
    <w:rsid w:val="56B516A3"/>
    <w:rsid w:val="56D86634"/>
    <w:rsid w:val="56DA58D8"/>
    <w:rsid w:val="56DA617E"/>
    <w:rsid w:val="573004A9"/>
    <w:rsid w:val="57321E92"/>
    <w:rsid w:val="574B0546"/>
    <w:rsid w:val="583E6F58"/>
    <w:rsid w:val="58452A2A"/>
    <w:rsid w:val="5867797B"/>
    <w:rsid w:val="58D75E75"/>
    <w:rsid w:val="5901452A"/>
    <w:rsid w:val="591E3D66"/>
    <w:rsid w:val="59596B49"/>
    <w:rsid w:val="597277B7"/>
    <w:rsid w:val="59946640"/>
    <w:rsid w:val="59C10549"/>
    <w:rsid w:val="5A1A210E"/>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1A12D7"/>
    <w:rsid w:val="652C6BB4"/>
    <w:rsid w:val="65300F0B"/>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8197E0C"/>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ADE5782"/>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74955"/>
    <w:rsid w:val="6DEF229A"/>
    <w:rsid w:val="6DFA37E0"/>
    <w:rsid w:val="6E062848"/>
    <w:rsid w:val="6EA52E0F"/>
    <w:rsid w:val="6ED94E6A"/>
    <w:rsid w:val="6EFC3AD2"/>
    <w:rsid w:val="6F20257D"/>
    <w:rsid w:val="6F27023E"/>
    <w:rsid w:val="6F5A036D"/>
    <w:rsid w:val="6F7E6BFA"/>
    <w:rsid w:val="6FF244EE"/>
    <w:rsid w:val="70722970"/>
    <w:rsid w:val="70BC3D1C"/>
    <w:rsid w:val="70CD5DF8"/>
    <w:rsid w:val="70D867D7"/>
    <w:rsid w:val="70E00B3A"/>
    <w:rsid w:val="711E1822"/>
    <w:rsid w:val="714E0847"/>
    <w:rsid w:val="71AD1A11"/>
    <w:rsid w:val="71CE3292"/>
    <w:rsid w:val="7246101E"/>
    <w:rsid w:val="73047586"/>
    <w:rsid w:val="73324D3B"/>
    <w:rsid w:val="7367330D"/>
    <w:rsid w:val="73ED481B"/>
    <w:rsid w:val="73F6610F"/>
    <w:rsid w:val="73F875E0"/>
    <w:rsid w:val="744523D5"/>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96037E3"/>
    <w:rsid w:val="798716FB"/>
    <w:rsid w:val="7A350C3F"/>
    <w:rsid w:val="7A5F008E"/>
    <w:rsid w:val="7A787C58"/>
    <w:rsid w:val="7A877BEA"/>
    <w:rsid w:val="7AC23598"/>
    <w:rsid w:val="7AD5685D"/>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E640205"/>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f7ec58ae-97b1-4d98-8bf4-4d2fefed5ef7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FB99154</paraID>
      <start>32</start>
      <end>33</end>
      <status>modified</status>
      <modifiedWord>—</modifiedWord>
      <trackRevisions>false</trackRevisions>
    </reviewItem>
    <reviewItem>
      <errorID>4402634b-b7b4-44da-88ab-cfefbce3e51e</errorID>
      <errorWord>,</errorWord>
      <group>L1_Format</group>
      <groupName>格式问题</groupName>
      <ability>L2_HalfPunc</ability>
      <abilityName>全半角检查</abilityName>
      <candidateList>
        <item>，</item>
      </candidateList>
      <explain>文本全半角错误。</explain>
      <paraID> FB99154</paraID>
      <start>83</start>
      <end>84</end>
      <status>ignored</status>
      <modifiedWord/>
      <trackRevisions>false</trackRevisions>
    </reviewItem>
    <reviewItem>
      <errorID>bda53d71-61da-4447-bd2a-a2e2554d09a3</errorID>
      <errorWord>,</errorWord>
      <group>L1_Format</group>
      <groupName>格式问题</groupName>
      <ability>L2_HalfPunc</ability>
      <abilityName>全半角检查</abilityName>
      <candidateList>
        <item>，</item>
      </candidateList>
      <explain>文本全半角错误。</explain>
      <paraID> D401FF7</paraID>
      <start>43</start>
      <end>44</end>
      <status>ignored</status>
      <modifiedWord/>
      <trackRevisions>false</trackRevisions>
    </reviewItem>
    <reviewItem>
      <errorID>f5d4fe77-1bc0-4042-8f9c-0afb1d87e25a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216F7AF1</paraID>
      <start>11</start>
      <end>12</end>
      <status>modified</status>
      <modifiedWord>—</modifiedWord>
      <trackRevisions>false</trackRevisions>
    </reviewItem>
    <reviewItem>
      <errorID>c26f1478-d9ec-4cbe-b4c8-07f2ca8e997d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372BD8CA</paraID>
      <start>11</start>
      <end>12</end>
      <status>modified</status>
      <modifiedWord>—</modifiedWord>
      <trackRevisions>false</trackRevisions>
    </reviewItem>
    <reviewItem>
      <errorID>0501e8d2-3970-4fa1-867a-34a7e59e1e9f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704C073E</paraID>
      <start>10</start>
      <end>11</end>
      <status>modified</status>
      <modifiedWord>—</modifiedWord>
      <trackRevisions>false</trackRevisions>
    </reviewItem>
    <reviewItem>
      <errorID>ed8374c2-a2a4-4abd-97ce-0893882a3fe2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3EE1DF8B</paraID>
      <start>10</start>
      <end>11</end>
      <status>modified</status>
      <modifiedWord>—</modifiedWord>
      <trackRevisions>false</trackRevisions>
    </reviewItem>
    <reviewItem>
      <errorID>3d3a9a54-9a5c-4ead-93cf-a9dfa57568c2</errorID>
      <errorWord>截止</errorWord>
      <group>L1_Word</group>
      <groupName>字词问题</groupName>
      <ability>L2_Typo</ability>
      <abilityName>字词错误</abilityName>
      <candidateList>
        <item>截至</item>
      </candidateList>
      <explain>存在发音相同字词的误用。</explain>
      <paraID>5388C1F8</paraID>
      <start>0</start>
      <end>2</end>
      <status>ignored</status>
      <modifiedWord/>
      <trackRevisions>false</trackRevisions>
    </reviewItem>
    <reviewItem>
      <errorID>3090d1e7-4509-4271-a29d-f0bf6fb68f0b</errorID>
      <errorWord>；；</errorWord>
      <group>L1_Punc</group>
      <groupName>标点问题</groupName>
      <ability>L2_Punc</ability>
      <abilityName>标点符号检查</abilityName>
      <candidateList>
        <item>；</item>
      </candidateList>
      <explain/>
      <paraID> 74E49A0</paraID>
      <start>58</start>
      <end>59</end>
      <status>modified</status>
      <modifiedWord>；</modifiedWord>
      <trackRevisions>false</trackRevisions>
    </reviewItem>
    <reviewItem>
      <errorID>8b506366-eb4c-445f-9de9-6853dfdf7f3d</errorID>
      <errorWord>、</errorWord>
      <group>L1_Word</group>
      <groupName>字词问题</groupName>
      <ability>L2_Typo</ability>
      <abilityName>字词错误</abilityName>
      <candidateList>
        <item>、县</item>
      </candidateList>
      <explain/>
      <paraID>44812820</paraID>
      <start>90</start>
      <end>91</end>
      <status>ignored</status>
      <modifiedWord/>
      <trackRevisions>false</trackRevisions>
    </reviewItem>
    <reviewItem>
      <errorID>0419d928-d521-4a4c-a026-64e2ad1736f0</errorID>
      <errorWord>[2019]170号</errorWord>
      <group>L1_Knowledge</group>
      <groupName>知识性问题</groupName>
      <ability>L2_Knowledge</ability>
      <abilityName>其他知识</abilityName>
      <candidateList>
        <item>〔2019〕170号</item>
      </candidateList>
      <explain>发文字号格式错误。</explain>
      <paraID>54833902</paraID>
      <start>26</start>
      <end>36</end>
      <status>modified</status>
      <modifiedWord>〔2019〕170号</modifiedWord>
      <trackRevisions>false</trackRevisions>
    </reviewItem>
  </reviewItems>
  <config/>
</contractReview>
</file>

<file path=customXml/itemProps1.xml><?xml version="1.0" encoding="utf-8"?>
<ds:datastoreItem xmlns:ds="http://schemas.openxmlformats.org/officeDocument/2006/customXml" ds:itemID="{1c94723f-b8d0-4131-b674-c3300832b3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4866</Words>
  <Characters>5387</Characters>
  <Lines>21</Lines>
  <Paragraphs>6</Paragraphs>
  <TotalTime>7</TotalTime>
  <ScaleCrop>false</ScaleCrop>
  <LinksUpToDate>false</LinksUpToDate>
  <CharactersWithSpaces>5387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2026-02-28T09:41:56Z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