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148E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5025A1C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7DB53B73">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1B83D465">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华文中宋" w:cs="Times New Roman"/>
          <w:b/>
          <w:kern w:val="0"/>
          <w:sz w:val="52"/>
          <w:szCs w:val="52"/>
        </w:rPr>
      </w:pPr>
    </w:p>
    <w:p w14:paraId="7CD7E88B">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rPr>
      </w:pPr>
    </w:p>
    <w:p w14:paraId="58A8C95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lang w:val="en-US" w:eastAsia="zh-CN"/>
        </w:rPr>
      </w:pPr>
      <w:r>
        <w:rPr>
          <w:rFonts w:hint="eastAsia" w:ascii="黑体" w:hAnsi="黑体" w:eastAsia="黑体" w:cs="黑体"/>
          <w:b/>
          <w:kern w:val="0"/>
          <w:sz w:val="48"/>
          <w:szCs w:val="48"/>
          <w:lang w:val="en-US" w:eastAsia="zh-CN"/>
        </w:rPr>
        <w:t>伊吾县财政衔接推进乡村振兴补助资金绩效自评报告</w:t>
      </w:r>
    </w:p>
    <w:p w14:paraId="5CE9D93A">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lang w:val="en-US" w:eastAsia="zh-CN"/>
        </w:rPr>
      </w:pPr>
    </w:p>
    <w:p w14:paraId="680EE49A">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（20</w:t>
      </w:r>
      <w:r>
        <w:rPr>
          <w:rFonts w:hint="eastAsia" w:ascii="Times New Roman" w:hAnsi="Times New Roman" w:eastAsia="仿宋_GB2312" w:cs="Times New Roman"/>
          <w:kern w:val="0"/>
          <w:sz w:val="36"/>
          <w:szCs w:val="36"/>
        </w:rPr>
        <w:t>2</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年度）</w:t>
      </w:r>
    </w:p>
    <w:p w14:paraId="3C69621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757A2149">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50B9DB66">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4C24DA7C">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6C7312B0">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1B036D9">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3BB29C0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605A486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rPr>
      </w:pPr>
    </w:p>
    <w:p w14:paraId="4429367A">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rPr>
      </w:pPr>
    </w:p>
    <w:p w14:paraId="74BB8D06">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52F71BFD">
      <w:pPr>
        <w:pStyle w:val="2"/>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rPr>
      </w:pPr>
    </w:p>
    <w:p w14:paraId="2BA209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项目名称：</w:t>
      </w:r>
      <w:r>
        <w:rPr>
          <w:rFonts w:hint="eastAsia" w:ascii="仿宋_GB2312" w:hAnsi="仿宋_GB2312" w:eastAsia="仿宋_GB2312" w:cs="仿宋_GB2312"/>
          <w:sz w:val="32"/>
          <w:szCs w:val="32"/>
          <w:lang w:val="en-US" w:eastAsia="zh-CN"/>
        </w:rPr>
        <w:t>哈密市伊吾县驼奶加工厂扩产提升设备购置项目</w:t>
      </w:r>
    </w:p>
    <w:p w14:paraId="206A5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实施单位：</w:t>
      </w:r>
      <w:r>
        <w:rPr>
          <w:rFonts w:hint="eastAsia" w:ascii="仿宋_GB2312" w:hAnsi="仿宋_GB2312" w:eastAsia="仿宋_GB2312" w:cs="仿宋_GB2312"/>
          <w:sz w:val="32"/>
          <w:szCs w:val="32"/>
          <w:lang w:val="en-US" w:eastAsia="zh-CN"/>
        </w:rPr>
        <w:t>伊吾县前山哈萨克民族乡人民政府</w:t>
      </w:r>
    </w:p>
    <w:p w14:paraId="26BD60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主管部门：伊吾县农业农村局、伊吾县统战部</w:t>
      </w:r>
    </w:p>
    <w:p w14:paraId="08E389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项目负责人：</w:t>
      </w:r>
      <w:r>
        <w:rPr>
          <w:rFonts w:hint="eastAsia" w:ascii="仿宋_GB2312" w:hAnsi="仿宋_GB2312" w:eastAsia="仿宋_GB2312" w:cs="仿宋_GB2312"/>
          <w:sz w:val="32"/>
          <w:szCs w:val="32"/>
          <w:lang w:val="en-US" w:eastAsia="zh-CN"/>
        </w:rPr>
        <w:t>石冰江</w:t>
      </w:r>
    </w:p>
    <w:p w14:paraId="2148F0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填报时间：20</w:t>
      </w:r>
      <w:r>
        <w:rPr>
          <w:rFonts w:hint="eastAsia" w:ascii="仿宋_GB2312" w:hAnsi="仿宋_GB2312" w:eastAsia="仿宋_GB2312" w:cs="仿宋_GB2312"/>
          <w:sz w:val="32"/>
          <w:szCs w:val="32"/>
          <w:lang w:val="en-US" w:eastAsia="zh-CN"/>
        </w:rPr>
        <w:t>26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w:t>
      </w:r>
    </w:p>
    <w:p w14:paraId="106E321E">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br w:type="page"/>
      </w:r>
    </w:p>
    <w:p w14:paraId="0707A782">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lang w:val="en-US" w:eastAsia="zh-CN"/>
        </w:rPr>
      </w:pPr>
      <w:bookmarkStart w:id="0" w:name="_Hlk55841787"/>
      <w:bookmarkStart w:id="1" w:name="_Hlk55839583"/>
      <w:r>
        <w:rPr>
          <w:rFonts w:hint="eastAsia"/>
          <w:lang w:val="en-US" w:eastAsia="zh-CN"/>
        </w:rPr>
        <w:t>一、</w:t>
      </w:r>
      <w:bookmarkStart w:id="2" w:name="_Hlk55812536"/>
      <w:r>
        <w:rPr>
          <w:rFonts w:hint="eastAsia"/>
          <w:lang w:val="en-US" w:eastAsia="zh-CN"/>
        </w:rPr>
        <w:t>绩效目标分解下达情况</w:t>
      </w:r>
    </w:p>
    <w:bookmarkEnd w:id="2"/>
    <w:p w14:paraId="69A8811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（一）财政专项衔接资金下达预算及项目情况</w:t>
      </w:r>
    </w:p>
    <w:bookmarkEnd w:id="0"/>
    <w:bookmarkEnd w:id="1"/>
    <w:p w14:paraId="4484DB5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3" w:name="_Hlk55839643"/>
      <w:r>
        <w:rPr>
          <w:rFonts w:hint="eastAsia" w:ascii="仿宋_GB2312" w:hAnsi="仿宋_GB2312" w:eastAsia="仿宋_GB2312" w:cs="仿宋_GB2312"/>
          <w:b/>
          <w:bCs/>
          <w:sz w:val="32"/>
          <w:szCs w:val="32"/>
          <w:lang w:val="en-US" w:eastAsia="zh-CN"/>
        </w:rPr>
        <w:t>1.下达预算情况</w:t>
      </w:r>
    </w:p>
    <w:p w14:paraId="4C29AA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央和自治区财政衔接推进乡村振兴补助资金（巩固拓展脱贫攻坚成果和乡村振兴任务）管理、使用、工作等文件规定，经县乡村振兴领导小组研究确定，2025年3月7日下发的《关于下达伊吾县2025年度财政衔接推进乡村振兴补助资金新增实施项目计划的通知》（伊党农领字〔2025〕2号）文件，确定安排并实施哈密市伊吾县驼奶加工厂扩产提升设备购置项目。</w:t>
      </w:r>
    </w:p>
    <w:p w14:paraId="13A702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项目预算金额为1700.00万元，其中专项衔接资金1002.90万元，其他资金697.10万元。</w:t>
      </w:r>
      <w:bookmarkEnd w:id="3"/>
    </w:p>
    <w:p w14:paraId="29301E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2.项目情况</w:t>
      </w:r>
    </w:p>
    <w:p w14:paraId="5C6370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伊吾县前山哈萨克民族乡人民政府负责实施，项目实施期限2025年5月-12月，项目主要内容为购置60吨驼奶生产加工生产线1条，含全自动喷雾干燥塔、中储罐、蒸发器、净乳机、反渗透系统、浓缩控制系统及生产线配套设备等。</w:t>
      </w:r>
    </w:p>
    <w:p w14:paraId="094D61E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（二）财政专项衔接资金项目绩效目标设定情况</w:t>
      </w:r>
    </w:p>
    <w:p w14:paraId="13DA68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为保障2025年度财政专项衔接资金项目顺利实施并达到预期目标，我单位根据项目实际情况设置了项目年度总体目标和具体绩效指标。</w:t>
      </w:r>
    </w:p>
    <w:p w14:paraId="0347CF0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1.年度总体目标</w:t>
      </w:r>
    </w:p>
    <w:p w14:paraId="577B7C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项目建设规模及内容：购置60吨驼奶生产加工生产线1条，含全自动喷雾干燥塔、中储罐、蒸发器、净乳机、反渗透系统、浓缩控制系统及生产线配套设备等。</w:t>
      </w:r>
    </w:p>
    <w:p w14:paraId="736E2A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项目实施预期受益监测户数316户、1028人，项目实施过程中预计带动本地就业人数10人，预期受益群众满意度达到95%及以上。</w:t>
      </w:r>
    </w:p>
    <w:p w14:paraId="3FF7BE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通过本项目的建设，将在项目区经济发展、农民增收建设上取得新成绩，创造一个舒适、充满活力的乡村经济环境，真正让乡村富起来、强起来，不断增强群众的获得感、幸福感、安全感。</w:t>
      </w:r>
    </w:p>
    <w:p w14:paraId="257708D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2.具体绩效指标</w:t>
      </w:r>
    </w:p>
    <w:p w14:paraId="35617A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按照《自治区财政专项扶贫资金绩效管理操作指南》（新财预〔2019〕170号）文件规定，结合项目实际，对项目绩效目标设定如下：</w:t>
      </w:r>
    </w:p>
    <w:p w14:paraId="08B17F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w:t>
      </w:r>
    </w:p>
    <w:p w14:paraId="4C210A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①数量指标</w:t>
      </w:r>
    </w:p>
    <w:p w14:paraId="01F72F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指标1“购置60吨驼奶生产加工生产线条数”年度指标值为“1条”。</w:t>
      </w:r>
    </w:p>
    <w:p w14:paraId="445421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②质量指标</w:t>
      </w:r>
    </w:p>
    <w:p w14:paraId="0B8904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指标1“项目（工程）验收合格率”年度指标值为“100%”；</w:t>
      </w:r>
    </w:p>
    <w:p w14:paraId="4C5A10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指标2“项目（工程）量完工率”年度指标值为“100%”。</w:t>
      </w:r>
    </w:p>
    <w:p w14:paraId="45224D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③时效指标</w:t>
      </w:r>
    </w:p>
    <w:p w14:paraId="2267A9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指标1“项目（工程）开工时间”年度指标值为“2025年5月”；</w:t>
      </w:r>
    </w:p>
    <w:p w14:paraId="27AF08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指标2“项目（工程）完工时间”年度指标值为“2025年12</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月”。</w:t>
      </w:r>
    </w:p>
    <w:p w14:paraId="548C75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④成本指标</w:t>
      </w:r>
    </w:p>
    <w:p w14:paraId="58BF69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指标1“工程费用”年度指标值为“小于等于1607.84万元”；</w:t>
      </w:r>
    </w:p>
    <w:p w14:paraId="1FC8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指标2“工程建设其他费用”年度指标值为“小于等于73.55万元”；</w:t>
      </w:r>
    </w:p>
    <w:p w14:paraId="68077A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指标3“预备费”年度指标值为“小于等于18.61万元”。</w:t>
      </w:r>
    </w:p>
    <w:p w14:paraId="653212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w:t>
      </w:r>
    </w:p>
    <w:p w14:paraId="5E5FA1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①经济效益指标</w:t>
      </w:r>
    </w:p>
    <w:p w14:paraId="3464D9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指标1“村集体经济收入收益率”年度指标值为“8%”。</w:t>
      </w:r>
    </w:p>
    <w:p w14:paraId="5CD6FD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②社会效益指标</w:t>
      </w:r>
    </w:p>
    <w:p w14:paraId="4DD195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指标1“受益监测户数”年度指标值为“大于等于</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316户”；</w:t>
      </w:r>
    </w:p>
    <w:p w14:paraId="25315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指标2“受益监测户人数”年度指标值为“大于等于1028人”；</w:t>
      </w:r>
    </w:p>
    <w:p w14:paraId="0F4A5A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指标3“项目建设期带动本地就业人数”年度指标值为“大于等于10人”。</w:t>
      </w:r>
    </w:p>
    <w:p w14:paraId="0185E0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③生态效益指标</w:t>
      </w:r>
    </w:p>
    <w:p w14:paraId="16DC8A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753C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④可持续影响指标</w:t>
      </w:r>
    </w:p>
    <w:p w14:paraId="523AEE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8DFD1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w:t>
      </w:r>
    </w:p>
    <w:p w14:paraId="0B5620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①服务对象满意度指标</w:t>
      </w:r>
    </w:p>
    <w:p w14:paraId="080A30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指标1“受益监测户满意度”年度指标值为“大于等于95%”。</w:t>
      </w:r>
    </w:p>
    <w:p w14:paraId="639C9876">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二、绩效自评工作开展情况</w:t>
      </w:r>
    </w:p>
    <w:p w14:paraId="1EB02BF0">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4" w:name="_Hlk55901364"/>
      <w:r>
        <w:rPr>
          <w:rFonts w:hint="eastAsia" w:asciiTheme="majorEastAsia" w:hAnsiTheme="majorEastAsia" w:eastAsiaTheme="majorEastAsia" w:cstheme="majorEastAsia"/>
          <w:b/>
          <w:lang w:val="en-US" w:eastAsia="zh-CN"/>
        </w:rPr>
        <w:t>（一）自评开展范围</w:t>
      </w:r>
    </w:p>
    <w:p w14:paraId="78982E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本次绩效自评从项目资金、项目产出、项目效益、服务对象满意度四个层面进行绩效评价。</w:t>
      </w:r>
    </w:p>
    <w:p w14:paraId="072371FF">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（二）自评开展对象</w:t>
      </w:r>
    </w:p>
    <w:p w14:paraId="57EB42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伊吾县前山哈萨克民族乡人民政府2025年实施的哈密市伊吾县驼奶加工厂扩产提升设备购置项目及其所涉及的财政资金1700.00万元。</w:t>
      </w:r>
    </w:p>
    <w:p w14:paraId="39E276D0">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（三）自评开展时间</w:t>
      </w:r>
    </w:p>
    <w:p w14:paraId="18C822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Hans"/>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US" w:eastAsia="zh-Hans"/>
        </w:rPr>
        <w:t>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Hans"/>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Hans"/>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val="en-US" w:eastAsia="zh-Hans"/>
        </w:rPr>
        <w:t>日</w:t>
      </w:r>
      <w:r>
        <w:rPr>
          <w:rFonts w:hint="eastAsia" w:ascii="仿宋_GB2312" w:hAnsi="仿宋_GB2312" w:eastAsia="仿宋_GB2312" w:cs="仿宋_GB2312"/>
          <w:sz w:val="32"/>
          <w:szCs w:val="32"/>
          <w:lang w:val="en-US" w:eastAsia="zh-CN"/>
        </w:rPr>
        <w:t>。</w:t>
      </w:r>
    </w:p>
    <w:p w14:paraId="4323EFBA">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（四）自评开展方式</w:t>
      </w:r>
    </w:p>
    <w:p w14:paraId="177D0A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6591AD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1.前期准备</w:t>
      </w:r>
    </w:p>
    <w:p w14:paraId="3AF97A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18B95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宝尔江·杰恩斯任评价组组长，主要负责评价任务安排落实，整体协调推进，总体把控评价工作进度和质量。</w:t>
      </w:r>
    </w:p>
    <w:p w14:paraId="468D29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评价组成员李开星，主要负责项目资料收集、整理，完成绩效评价项目部分内容。</w:t>
      </w:r>
    </w:p>
    <w:p w14:paraId="6C5F8D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评价组成员李亚君，主要负责财务资料收集、整理，完成绩效评价财务部分内容。</w:t>
      </w:r>
    </w:p>
    <w:p w14:paraId="391FB6B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72BD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2025年12月25日—2026年1月11日，自评工作进入实施阶段，评价组成员完成项目资料、财务资料的收集整理工作。</w:t>
      </w:r>
    </w:p>
    <w:p w14:paraId="66F32F7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w:t>
      </w:r>
    </w:p>
    <w:p w14:paraId="704C0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38098D5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4.审核、评审、报送</w:t>
      </w:r>
    </w:p>
    <w:bookmarkEnd w:id="4"/>
    <w:p w14:paraId="38684F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2026年1月26日—2月28日，经主管部门和财政部门初审后，提交由县财政局、主管部门、实施单位指定专人组成的联合评审工作组，评审通过后，按要求进行报送。</w:t>
      </w:r>
    </w:p>
    <w:p w14:paraId="18165120">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三、绩效目标自评完成情况分析</w:t>
      </w:r>
    </w:p>
    <w:p w14:paraId="3CE5984C">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5" w:name="_Hlk55906161"/>
      <w:r>
        <w:rPr>
          <w:rFonts w:hint="eastAsia" w:asciiTheme="majorEastAsia" w:hAnsiTheme="majorEastAsia" w:eastAsiaTheme="majorEastAsia" w:cstheme="majorEastAsia"/>
          <w:b/>
          <w:lang w:val="en-US" w:eastAsia="zh-CN"/>
        </w:rPr>
        <w:t>（一）</w:t>
      </w:r>
      <w:bookmarkEnd w:id="5"/>
      <w:r>
        <w:rPr>
          <w:rFonts w:hint="eastAsia" w:asciiTheme="majorEastAsia" w:hAnsiTheme="majorEastAsia" w:eastAsiaTheme="majorEastAsia" w:cstheme="majorEastAsia"/>
          <w:b/>
          <w:lang w:val="en-US" w:eastAsia="zh-CN"/>
        </w:rPr>
        <w:t>资金投入情况分析</w:t>
      </w:r>
    </w:p>
    <w:p w14:paraId="3620AB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6" w:name="_Hlk55906315"/>
      <w:r>
        <w:rPr>
          <w:rFonts w:hint="eastAsia" w:ascii="仿宋_GB2312" w:hAnsi="仿宋_GB2312" w:eastAsia="仿宋_GB2312" w:cs="仿宋_GB2312"/>
          <w:b/>
          <w:bCs/>
          <w:sz w:val="32"/>
          <w:szCs w:val="32"/>
          <w:lang w:val="en-US" w:eastAsia="zh-CN"/>
        </w:rPr>
        <w:t>1.项目资金到位情况分析</w:t>
      </w:r>
    </w:p>
    <w:bookmarkEnd w:id="6"/>
    <w:p w14:paraId="6E2E4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7" w:name="_Hlk55839916"/>
      <w:r>
        <w:rPr>
          <w:rFonts w:hint="eastAsia" w:ascii="仿宋_GB2312" w:hAnsi="仿宋_GB2312" w:eastAsia="仿宋_GB2312" w:cs="仿宋_GB2312"/>
          <w:sz w:val="32"/>
          <w:szCs w:val="32"/>
          <w:lang w:val="en-US" w:eastAsia="zh-CN"/>
        </w:rPr>
        <w:t>项目预算安排资金1700.00万元，其中专项衔接资金1002.90万元</w:t>
      </w:r>
      <w:bookmarkStart w:id="8" w:name="_Hlk55842207"/>
      <w:r>
        <w:rPr>
          <w:rFonts w:hint="eastAsia" w:ascii="仿宋_GB2312" w:hAnsi="仿宋_GB2312" w:eastAsia="仿宋_GB2312" w:cs="仿宋_GB2312"/>
          <w:sz w:val="32"/>
          <w:szCs w:val="32"/>
          <w:lang w:val="en-US" w:eastAsia="zh-CN"/>
        </w:rPr>
        <w:t>，县财政配套资金697.1万元。全年实际到位资金1700.00万元，预算资金到位率100%。</w:t>
      </w:r>
    </w:p>
    <w:bookmarkEnd w:id="7"/>
    <w:bookmarkEnd w:id="8"/>
    <w:p w14:paraId="6507E68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2.项目资金执行情况分析</w:t>
      </w:r>
    </w:p>
    <w:p w14:paraId="21F2B8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截至2025年12月底，该项目实际支出1047.68万元，预算执行率61.63%。项目资金主要用于工程费用1040万元、工程建设其他费用7.68万元。</w:t>
      </w:r>
    </w:p>
    <w:p w14:paraId="09DD7C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项目结转资金635.32万元，将根据后续工程进度向县财政申请资金并安排支付。</w:t>
      </w:r>
    </w:p>
    <w:p w14:paraId="4B9F6CA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bookmarkStart w:id="9" w:name="_Hlk55906628"/>
      <w:r>
        <w:rPr>
          <w:rFonts w:hint="eastAsia" w:ascii="仿宋_GB2312" w:hAnsi="仿宋_GB2312" w:eastAsia="仿宋_GB2312" w:cs="仿宋_GB2312"/>
          <w:b/>
          <w:bCs/>
          <w:sz w:val="32"/>
          <w:szCs w:val="32"/>
          <w:lang w:val="en-US" w:eastAsia="zh-CN"/>
        </w:rPr>
        <w:t>3.项目资金管理情况分析</w:t>
      </w:r>
    </w:p>
    <w:bookmarkEnd w:id="9"/>
    <w:p w14:paraId="34849E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0" w:name="_Hlk55842335"/>
      <w:r>
        <w:rPr>
          <w:rFonts w:hint="eastAsia" w:ascii="仿宋_GB2312" w:hAnsi="仿宋_GB2312" w:eastAsia="仿宋_GB2312" w:cs="仿宋_GB2312"/>
          <w:sz w:val="32"/>
          <w:szCs w:val="32"/>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lang w:val="en-US" w:eastAsia="zh-CN"/>
        </w:rPr>
        <w:t>新财规〔2021〕11号</w:t>
      </w:r>
      <w:bookmarkEnd w:id="11"/>
      <w:r>
        <w:rPr>
          <w:rFonts w:hint="eastAsia" w:ascii="仿宋_GB2312" w:hAnsi="仿宋_GB2312" w:eastAsia="仿宋_GB2312" w:cs="仿宋_GB2312"/>
          <w:sz w:val="32"/>
          <w:szCs w:val="32"/>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468B3AA7">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（二）绩效目标完成情况分析</w:t>
      </w:r>
    </w:p>
    <w:p w14:paraId="543003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本项目共设一级指标3个，二级指标7个，三级指标13个，已完成年度绩效指标1个，指标完成率7.7%。</w:t>
      </w:r>
    </w:p>
    <w:p w14:paraId="7AA151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1.产出指标完成情况分析</w:t>
      </w:r>
    </w:p>
    <w:p w14:paraId="4D9D24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（1）数量指标完成情况</w:t>
      </w:r>
    </w:p>
    <w:p w14:paraId="7B5209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指标1：购置60吨驼奶生产加工生产线条数，年度指标值1条，指标全年实际完成0条，指标完成率0%。</w:t>
      </w:r>
    </w:p>
    <w:p w14:paraId="3B3B2D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（2）质量指标完成情况</w:t>
      </w:r>
    </w:p>
    <w:p w14:paraId="486C46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指标1：项目（工程）验收合格率，年度指标值100%，指标全年实际完成0%，指标完成率0%；</w:t>
      </w:r>
    </w:p>
    <w:p w14:paraId="48E9FF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指标2：项目（工程）量完工率，年度指标值100%，指标全年实际完成50%，指标完成率50%。</w:t>
      </w:r>
    </w:p>
    <w:p w14:paraId="22B9A5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（3）时效指标完成情况</w:t>
      </w:r>
    </w:p>
    <w:p w14:paraId="47D87D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指标1：项目（工程）开工时间，年度指标值2025年5月，指标全年实际完成2025年6月，指标完成率87.5%；</w:t>
      </w:r>
    </w:p>
    <w:p w14:paraId="6F2119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指标2：项目（工程）完工时间，年度指标值2025年12月，指标全年实际完成为项目未完工，指标完成率0%。</w:t>
      </w:r>
    </w:p>
    <w:p w14:paraId="627082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（4）成本指标完成情况</w:t>
      </w:r>
    </w:p>
    <w:p w14:paraId="17A347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指标1：工程费用，年度指标值小于等于1607.84万元，指标全年实际完成1040万元，指标完成率64.7%；</w:t>
      </w:r>
    </w:p>
    <w:p w14:paraId="4D7A0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指标2：工程建设其他费用，年度指标值小于等于73.55万元，指标全年实际完成7.68万元，指标完成率10.4%；</w:t>
      </w:r>
    </w:p>
    <w:p w14:paraId="0BA564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预备费，年度指标值小于等于18.61万元，指标全年实际完成0万元，预备费是行业对预算编制要求，项目合同额足以覆盖发生变更、不可抗力或不可预料事项导致发生的费用，因此该指标认定完成率100%，不予扣分指标完成率100%。</w:t>
      </w:r>
    </w:p>
    <w:p w14:paraId="507469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2.效益指标完成情况分析</w:t>
      </w:r>
    </w:p>
    <w:p w14:paraId="404E1F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（1）经济效益指标完成情况</w:t>
      </w:r>
    </w:p>
    <w:p w14:paraId="5A5574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指标1：村集体经济收入收益率，年度指标值8%，指标全年实际完成0%，指标完成率0%。</w:t>
      </w:r>
    </w:p>
    <w:p w14:paraId="0E8199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（2）社会效益指标完成情况</w:t>
      </w:r>
    </w:p>
    <w:p w14:paraId="5382B6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指标1：受益监测户数，年度指标值大于等于316户，指标全年实际完成0户，指标完成率0%；</w:t>
      </w:r>
    </w:p>
    <w:p w14:paraId="434638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指标2：受益监测户人数，年度指标值大于等于1028人，指标全年实际完成0人，指标完成率0%；</w:t>
      </w:r>
    </w:p>
    <w:p w14:paraId="57FAD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指标3：项目建设期带动本地就业人数，年度指标值大于等于10人，指标全年实际完成0人，指标完成率0%。</w:t>
      </w:r>
    </w:p>
    <w:p w14:paraId="53FE2A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（3）生态效益指标完成情况</w:t>
      </w:r>
    </w:p>
    <w:p w14:paraId="5D738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92374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（4）可持续影响指标完成情况</w:t>
      </w:r>
    </w:p>
    <w:p w14:paraId="0990E3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6D15E7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3.满意度指标完成情况分析</w:t>
      </w:r>
    </w:p>
    <w:p w14:paraId="5C14E6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服务对象满意度指标：</w:t>
      </w:r>
    </w:p>
    <w:p w14:paraId="0B0DE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指标1：受益监测户满意度，年度指标值大于等于95%，指标全年实际完成0%，指标完成率0%。</w:t>
      </w:r>
    </w:p>
    <w:p w14:paraId="35D8207D">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bookmarkStart w:id="12" w:name="_Hlk55917311"/>
      <w:r>
        <w:rPr>
          <w:rFonts w:hint="eastAsia"/>
          <w:b/>
          <w:lang w:val="en-US" w:eastAsia="zh-CN"/>
        </w:rPr>
        <w:t>四、</w:t>
      </w:r>
      <w:bookmarkEnd w:id="12"/>
      <w:r>
        <w:rPr>
          <w:rFonts w:hint="eastAsia"/>
          <w:b/>
          <w:lang w:val="en-US" w:eastAsia="zh-CN"/>
        </w:rPr>
        <w:t>偏离绩效目标的原因和下一步措施</w:t>
      </w:r>
    </w:p>
    <w:p w14:paraId="51EC6350">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lang w:val="en-US" w:eastAsia="zh-CN"/>
        </w:rPr>
      </w:pPr>
      <w:bookmarkStart w:id="13" w:name="_Hlk55900722"/>
      <w:r>
        <w:rPr>
          <w:rFonts w:hint="eastAsia" w:asciiTheme="majorEastAsia" w:hAnsiTheme="majorEastAsia" w:eastAsiaTheme="majorEastAsia" w:cstheme="majorEastAsia"/>
          <w:b/>
          <w:lang w:val="en-US" w:eastAsia="zh-CN"/>
        </w:rPr>
        <w:t>（一）偏离绩效目标的原因</w:t>
      </w:r>
    </w:p>
    <w:p w14:paraId="618AF3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指标中的指标1“购置60吨驼奶生产加工生产线条数”、质量指标中的指标1“项目（工程）验收合格率”和指标2“项目（工程）量完工率”、时效指标中的指标1“项目（工程）开工时间”和指标2“项目（工程）完工时间”，该5条三级指标均未完成，未完成原因是，承建企业人员和物料准备不充分，导致厂房未建成，设备无法进场及安装。</w:t>
      </w:r>
    </w:p>
    <w:p w14:paraId="134299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成本指标中的指标1“工程费用”和指标2“工程建设其他费用”均未完成，未完成原因是，项目未完工，按工程报送进度支付款项。</w:t>
      </w:r>
    </w:p>
    <w:p w14:paraId="2E278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中的指标3“预备费”预期指标值小于等于18.61万元，实际完成0万元，偏差原因预备费是行业对预算编制要求，项目实际未发生设计变更、不可抗力或不可预料事项导致发生的费用，因此该指标认定全部完成。</w:t>
      </w:r>
    </w:p>
    <w:p w14:paraId="2AB9B7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经济效益指标中的指标1“村集体经济收入收益率”预期指标值“8%”，实际完成值0%，未完成原因是，项目结算审计后，按投资情况签订框架分红协议，项目未完工，不符合条件。</w:t>
      </w:r>
    </w:p>
    <w:p w14:paraId="4B64F9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社会效益指标中的指标1“受益监测户数”和指标2“受益监测户人数”均未完成，未完成原因是，项目未完工，暂无受益户数和人数。</w:t>
      </w:r>
    </w:p>
    <w:p w14:paraId="24FBAD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社会效益指标中的指标3“项目建设期带动本地就业人数”预期指标值“大于等于10人”，实际完成值0人，未完成原因是，项目所在地人员不足。</w:t>
      </w:r>
    </w:p>
    <w:p w14:paraId="2F7C1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服务对象满意指标中的指标1“受益监测户满意度”预期指标值“大于等于95%”，实际完成值0%，未完成原因是，项目未完工，暂未开展满意度调查。</w:t>
      </w:r>
    </w:p>
    <w:p w14:paraId="065754A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（二）下一步改进措施</w:t>
      </w:r>
    </w:p>
    <w:bookmarkEnd w:id="13"/>
    <w:p w14:paraId="313DD8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一是，已督促承建企业新疆中驼生物科技有限公司加快推进厂房建设，预计2026年8月前完工。</w:t>
      </w:r>
    </w:p>
    <w:p w14:paraId="1AD005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二是，项目复工后，按工程报送进度支付款项，提高资金执行率。</w:t>
      </w:r>
    </w:p>
    <w:p w14:paraId="7C6F76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三是，加快施工进度，并根据审计和资产移交情况及时签订分红协议。</w:t>
      </w:r>
    </w:p>
    <w:p w14:paraId="408EAC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四是，已督促加快进度，保证项目质量同时，在完工验收后实现预期效益。</w:t>
      </w:r>
    </w:p>
    <w:p w14:paraId="221528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五是，按实际情况核定用工，做好本地用工计划，同时加大招工宣传力度。</w:t>
      </w:r>
    </w:p>
    <w:p w14:paraId="0C3AE7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六是，项目完工后补充开展满意度调查，完善形成项目全过程档案。</w:t>
      </w:r>
    </w:p>
    <w:p w14:paraId="5205F436">
      <w:pPr>
        <w:pStyle w:val="4"/>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lang w:val="en-US" w:eastAsia="zh-CN"/>
        </w:rPr>
      </w:pPr>
      <w:r>
        <w:rPr>
          <w:rFonts w:hint="eastAsia"/>
          <w:b/>
          <w:lang w:val="en-US" w:eastAsia="zh-CN"/>
        </w:rPr>
        <w:t>五、绩效自评结果拟应用和公开情况</w:t>
      </w:r>
    </w:p>
    <w:p w14:paraId="7E0AD9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4" w:name="_Hlk55837615"/>
      <w:r>
        <w:rPr>
          <w:rFonts w:hint="eastAsia" w:ascii="仿宋_GB2312" w:hAnsi="仿宋_GB2312" w:eastAsia="仿宋_GB2312" w:cs="仿宋_GB2312"/>
          <w:sz w:val="32"/>
          <w:szCs w:val="32"/>
          <w:lang w:val="en-US" w:eastAsia="zh-CN"/>
        </w:rPr>
        <w:t>本单位通过项目资金执行情况、项目绩效指标完成情况等进行绩效自评，自评得分25.7分，评价等级差。</w:t>
      </w:r>
    </w:p>
    <w:p w14:paraId="1419D6FD">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（一）自评结果拟应用情况</w:t>
      </w:r>
    </w:p>
    <w:p w14:paraId="56983E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w:t>
      </w:r>
      <w:bookmarkStart w:id="15" w:name="_GoBack"/>
      <w:bookmarkEnd w:id="15"/>
      <w:r>
        <w:rPr>
          <w:rFonts w:hint="eastAsia" w:ascii="仿宋_GB2312" w:hAnsi="仿宋_GB2312" w:eastAsia="仿宋_GB2312" w:cs="仿宋_GB2312"/>
          <w:sz w:val="32"/>
          <w:szCs w:val="32"/>
          <w:lang w:val="en-US" w:eastAsia="zh-CN"/>
        </w:rPr>
        <w:t>攻坚决策和分配财政专项衔接资金提供决策依据。同时由财政局纳入预算资金申请、调整财政支出方向、安排以后年度预算的重要参考因素。</w:t>
      </w:r>
    </w:p>
    <w:p w14:paraId="0EE32A8B">
      <w:pPr>
        <w:pStyle w:val="5"/>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lang w:val="en-US" w:eastAsia="zh-CN"/>
        </w:rPr>
      </w:pPr>
      <w:r>
        <w:rPr>
          <w:rFonts w:hint="eastAsia" w:asciiTheme="majorEastAsia" w:hAnsiTheme="majorEastAsia" w:eastAsiaTheme="majorEastAsia" w:cstheme="majorEastAsia"/>
          <w:b/>
          <w:lang w:val="en-US" w:eastAsia="zh-CN"/>
        </w:rPr>
        <w:t>（二）自评结果公开情况</w:t>
      </w:r>
    </w:p>
    <w:p w14:paraId="38FD3B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yellow"/>
          <w:lang w:val="en-US" w:eastAsia="zh-CN"/>
        </w:rPr>
      </w:pPr>
      <w:r>
        <w:rPr>
          <w:rFonts w:hint="eastAsia" w:ascii="仿宋_GB2312" w:hAnsi="仿宋_GB2312" w:eastAsia="仿宋_GB2312" w:cs="仿宋_GB2312"/>
          <w:sz w:val="32"/>
          <w:szCs w:val="32"/>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82827F-A7B4-4B6E-9967-DF8AAF136C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EC19CC6-FA8B-477F-B6A3-3F5062F37A05}"/>
  </w:font>
  <w:font w:name="华文中宋">
    <w:panose1 w:val="02010600040101010101"/>
    <w:charset w:val="86"/>
    <w:family w:val="auto"/>
    <w:pitch w:val="default"/>
    <w:sig w:usb0="00000287" w:usb1="080F0000" w:usb2="00000000" w:usb3="00000000" w:csb0="0004009F" w:csb1="DFD70000"/>
    <w:embedRegular r:id="rId3" w:fontKey="{A9870C4F-8E44-4F44-B85E-C4076456E4E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0707B">
    <w:pPr>
      <w:pStyle w:val="10"/>
      <w:jc w:val="center"/>
      <w:rPr>
        <w:rFonts w:asciiTheme="minorEastAsia" w:hAnsiTheme="minorEastAsia"/>
        <w:sz w:val="28"/>
        <w:szCs w:val="28"/>
      </w:rPr>
    </w:pPr>
  </w:p>
  <w:p w14:paraId="17E97BA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20F">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B24F3F"/>
    <w:rsid w:val="02DA7952"/>
    <w:rsid w:val="03197B61"/>
    <w:rsid w:val="03477AC0"/>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57036"/>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7C5542"/>
    <w:rsid w:val="399B46B3"/>
    <w:rsid w:val="39B822CE"/>
    <w:rsid w:val="39DD62B6"/>
    <w:rsid w:val="3A611832"/>
    <w:rsid w:val="3ACB7F90"/>
    <w:rsid w:val="3B072F57"/>
    <w:rsid w:val="3B20012B"/>
    <w:rsid w:val="3B2F61DB"/>
    <w:rsid w:val="3B384589"/>
    <w:rsid w:val="3B621A3E"/>
    <w:rsid w:val="3B754164"/>
    <w:rsid w:val="3BBF4364"/>
    <w:rsid w:val="3BD80AAE"/>
    <w:rsid w:val="3BF771A8"/>
    <w:rsid w:val="3C485278"/>
    <w:rsid w:val="3CBC3660"/>
    <w:rsid w:val="3CD10823"/>
    <w:rsid w:val="3CF046DC"/>
    <w:rsid w:val="3D204617"/>
    <w:rsid w:val="3D88478B"/>
    <w:rsid w:val="3D9B52CD"/>
    <w:rsid w:val="3DC348D7"/>
    <w:rsid w:val="3E1D32D4"/>
    <w:rsid w:val="3E355DFF"/>
    <w:rsid w:val="3E443946"/>
    <w:rsid w:val="3E87353D"/>
    <w:rsid w:val="3EA0625E"/>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5E7D59"/>
    <w:rsid w:val="46E52575"/>
    <w:rsid w:val="48372E95"/>
    <w:rsid w:val="483F2C5B"/>
    <w:rsid w:val="48515B17"/>
    <w:rsid w:val="48B254E6"/>
    <w:rsid w:val="48BE603A"/>
    <w:rsid w:val="48F13107"/>
    <w:rsid w:val="49155288"/>
    <w:rsid w:val="49333CC6"/>
    <w:rsid w:val="49471AEB"/>
    <w:rsid w:val="498B586D"/>
    <w:rsid w:val="49D9751A"/>
    <w:rsid w:val="49EB1918"/>
    <w:rsid w:val="49F15EEE"/>
    <w:rsid w:val="4A0137C3"/>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B67005"/>
    <w:rsid w:val="5EE15267"/>
    <w:rsid w:val="5F0F31F2"/>
    <w:rsid w:val="5F340010"/>
    <w:rsid w:val="5FDF00F2"/>
    <w:rsid w:val="5FF000B6"/>
    <w:rsid w:val="5FF374B8"/>
    <w:rsid w:val="60012AE3"/>
    <w:rsid w:val="603C42B1"/>
    <w:rsid w:val="603E20F5"/>
    <w:rsid w:val="60414D1E"/>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654809"/>
    <w:rsid w:val="658D5DBC"/>
    <w:rsid w:val="65BB7AE3"/>
    <w:rsid w:val="65F84CBD"/>
    <w:rsid w:val="66070380"/>
    <w:rsid w:val="6644035E"/>
    <w:rsid w:val="666F2DBD"/>
    <w:rsid w:val="66E06999"/>
    <w:rsid w:val="67181F6F"/>
    <w:rsid w:val="673E7D38"/>
    <w:rsid w:val="677D5E3A"/>
    <w:rsid w:val="67A34553"/>
    <w:rsid w:val="67B74170"/>
    <w:rsid w:val="67BC191A"/>
    <w:rsid w:val="67C5544E"/>
    <w:rsid w:val="67C96A31"/>
    <w:rsid w:val="682A78AE"/>
    <w:rsid w:val="68740A81"/>
    <w:rsid w:val="689F1CEF"/>
    <w:rsid w:val="68A1755B"/>
    <w:rsid w:val="68A74303"/>
    <w:rsid w:val="68C832B8"/>
    <w:rsid w:val="68D43854"/>
    <w:rsid w:val="68D649F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962FBC"/>
    <w:rsid w:val="6FF244EE"/>
    <w:rsid w:val="706C6A24"/>
    <w:rsid w:val="70722970"/>
    <w:rsid w:val="70BC3D1C"/>
    <w:rsid w:val="70CD5DF8"/>
    <w:rsid w:val="70D867D7"/>
    <w:rsid w:val="70E00B3A"/>
    <w:rsid w:val="711E1822"/>
    <w:rsid w:val="71AD1A11"/>
    <w:rsid w:val="71CE3292"/>
    <w:rsid w:val="7246101E"/>
    <w:rsid w:val="73047586"/>
    <w:rsid w:val="73324D3B"/>
    <w:rsid w:val="7367330D"/>
    <w:rsid w:val="73ED481B"/>
    <w:rsid w:val="73F6610F"/>
    <w:rsid w:val="73F875E0"/>
    <w:rsid w:val="745B15A5"/>
    <w:rsid w:val="749554B1"/>
    <w:rsid w:val="74B538E2"/>
    <w:rsid w:val="74C1388B"/>
    <w:rsid w:val="74E96D2E"/>
    <w:rsid w:val="74F50EE5"/>
    <w:rsid w:val="752C11BA"/>
    <w:rsid w:val="753A5360"/>
    <w:rsid w:val="755D4A76"/>
    <w:rsid w:val="75654726"/>
    <w:rsid w:val="756E35C3"/>
    <w:rsid w:val="758D06F9"/>
    <w:rsid w:val="759F2489"/>
    <w:rsid w:val="75D83568"/>
    <w:rsid w:val="763A233F"/>
    <w:rsid w:val="76514B2D"/>
    <w:rsid w:val="766B0FCA"/>
    <w:rsid w:val="767315CE"/>
    <w:rsid w:val="768C2B9E"/>
    <w:rsid w:val="769314D7"/>
    <w:rsid w:val="76AF3153"/>
    <w:rsid w:val="76EF3015"/>
    <w:rsid w:val="770A22BD"/>
    <w:rsid w:val="77206712"/>
    <w:rsid w:val="78880AE2"/>
    <w:rsid w:val="78B21BAD"/>
    <w:rsid w:val="796037E3"/>
    <w:rsid w:val="798716FB"/>
    <w:rsid w:val="7A350C3F"/>
    <w:rsid w:val="7A5F008E"/>
    <w:rsid w:val="7A787C58"/>
    <w:rsid w:val="7A877BEA"/>
    <w:rsid w:val="7AD5685D"/>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EDB17B0"/>
    <w:rsid w:val="7F837C3B"/>
    <w:rsid w:val="7F855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6">
    <w:name w:val="annotation text"/>
    <w:basedOn w:val="1"/>
    <w:semiHidden/>
    <w:unhideWhenUsed/>
    <w:qFormat/>
    <w:uiPriority w:val="99"/>
    <w:pPr>
      <w:jc w:val="left"/>
    </w:pPr>
  </w:style>
  <w:style w:type="paragraph" w:styleId="7">
    <w:name w:val="Body Text"/>
    <w:basedOn w:val="1"/>
    <w:next w:val="8"/>
    <w:qFormat/>
    <w:uiPriority w:val="0"/>
  </w:style>
  <w:style w:type="paragraph" w:styleId="8">
    <w:name w:val="Body Text 2"/>
    <w:basedOn w:val="1"/>
    <w:qFormat/>
    <w:uiPriority w:val="99"/>
    <w:pPr>
      <w:spacing w:after="120" w:line="480" w:lineRule="auto"/>
    </w:p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1"/>
    <w:qFormat/>
    <w:uiPriority w:val="99"/>
    <w:rPr>
      <w:sz w:val="18"/>
      <w:szCs w:val="18"/>
    </w:rPr>
  </w:style>
  <w:style w:type="character" w:customStyle="1" w:styleId="20">
    <w:name w:val="页脚 字符"/>
    <w:basedOn w:val="13"/>
    <w:link w:val="10"/>
    <w:qFormat/>
    <w:uiPriority w:val="99"/>
    <w:rPr>
      <w:sz w:val="18"/>
      <w:szCs w:val="18"/>
    </w:rPr>
  </w:style>
  <w:style w:type="character" w:customStyle="1" w:styleId="21">
    <w:name w:val="批注框文本 字符"/>
    <w:basedOn w:val="13"/>
    <w:link w:val="9"/>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4249</Words>
  <Characters>4544</Characters>
  <Lines>21</Lines>
  <Paragraphs>6</Paragraphs>
  <TotalTime>4</TotalTime>
  <ScaleCrop>false</ScaleCrop>
  <LinksUpToDate>false</LinksUpToDate>
  <CharactersWithSpaces>4708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2019-02-13T02:15:00Z</cp:lastPrinted>
  <dcterms:modified xsi:type="dcterms:W3CDTF">2026-02-28T10:03:11Z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90AB5CE4C32842479A46B817C0ADBCD3</vt:lpwstr>
  </property>
  <property fmtid="{D5CDD505-2E9C-101B-9397-08002B2CF9AE}" pid="4" name="KSOTemplateDocerSaveRecord">
    <vt:lpwstr>eyJoZGlkIjoiNTg3NzA1MzM2MzBiNzQwMzFiMjE0NjdhN2Y5ODNjMGUiLCJ1c2VySWQiOiI0NDQzMjQ2MTIifQ==</vt:lpwstr>
  </property>
</Properties>
</file>