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4EBD8">
      <w:pPr>
        <w:keepNext w:val="0"/>
        <w:keepLines w:val="0"/>
        <w:pageBreakBefore w:val="0"/>
        <w:widowControl w:val="0"/>
        <w:kinsoku/>
        <w:wordWrap/>
        <w:overflowPunct/>
        <w:topLinePunct w:val="0"/>
        <w:autoSpaceDE/>
        <w:autoSpaceDN/>
        <w:bidi w:val="0"/>
        <w:adjustRightInd/>
        <w:spacing w:line="540" w:lineRule="exact"/>
        <w:jc w:val="both"/>
        <w:textAlignment w:val="auto"/>
        <w:rPr>
          <w:rFonts w:ascii="Times New Roman" w:hAnsi="Times New Roman" w:eastAsia="华文中宋" w:cs="Times New Roman"/>
          <w:b/>
          <w:kern w:val="0"/>
          <w:sz w:val="52"/>
          <w:szCs w:val="52"/>
        </w:rPr>
      </w:pPr>
    </w:p>
    <w:p w14:paraId="6B6E75A8">
      <w:pPr>
        <w:keepNext w:val="0"/>
        <w:keepLines w:val="0"/>
        <w:pageBreakBefore w:val="0"/>
        <w:widowControl w:val="0"/>
        <w:kinsoku/>
        <w:wordWrap/>
        <w:overflowPunct/>
        <w:topLinePunct w:val="0"/>
        <w:autoSpaceDE/>
        <w:autoSpaceDN/>
        <w:bidi w:val="0"/>
        <w:adjustRightInd/>
        <w:spacing w:line="540" w:lineRule="exact"/>
        <w:jc w:val="both"/>
        <w:textAlignment w:val="auto"/>
        <w:rPr>
          <w:rFonts w:ascii="Times New Roman" w:hAnsi="Times New Roman" w:eastAsia="华文中宋" w:cs="Times New Roman"/>
          <w:b/>
          <w:kern w:val="0"/>
          <w:sz w:val="52"/>
          <w:szCs w:val="52"/>
        </w:rPr>
      </w:pPr>
    </w:p>
    <w:p w14:paraId="2E1EFB88">
      <w:pPr>
        <w:keepNext w:val="0"/>
        <w:keepLines w:val="0"/>
        <w:pageBreakBefore w:val="0"/>
        <w:widowControl w:val="0"/>
        <w:kinsoku/>
        <w:wordWrap/>
        <w:overflowPunct/>
        <w:topLinePunct w:val="0"/>
        <w:autoSpaceDE/>
        <w:autoSpaceDN/>
        <w:bidi w:val="0"/>
        <w:adjustRightInd/>
        <w:spacing w:line="540" w:lineRule="exact"/>
        <w:jc w:val="both"/>
        <w:textAlignment w:val="auto"/>
        <w:rPr>
          <w:rFonts w:ascii="Times New Roman" w:hAnsi="Times New Roman" w:eastAsia="华文中宋" w:cs="Times New Roman"/>
          <w:b/>
          <w:kern w:val="0"/>
          <w:sz w:val="52"/>
          <w:szCs w:val="52"/>
        </w:rPr>
      </w:pPr>
    </w:p>
    <w:p w14:paraId="649EB58A">
      <w:pPr>
        <w:pStyle w:val="2"/>
        <w:pageBreakBefore w:val="0"/>
        <w:widowControl w:val="0"/>
        <w:kinsoku/>
        <w:wordWrap/>
        <w:overflowPunct/>
        <w:topLinePunct w:val="0"/>
        <w:autoSpaceDE/>
        <w:autoSpaceDN/>
        <w:bidi w:val="0"/>
        <w:adjustRightInd/>
        <w:jc w:val="both"/>
        <w:textAlignment w:val="auto"/>
        <w:rPr>
          <w:rFonts w:ascii="Times New Roman" w:hAnsi="Times New Roman" w:eastAsia="华文中宋" w:cs="Times New Roman"/>
          <w:b/>
          <w:kern w:val="0"/>
          <w:sz w:val="52"/>
          <w:szCs w:val="52"/>
        </w:rPr>
      </w:pPr>
    </w:p>
    <w:p w14:paraId="7132B9FB">
      <w:pPr>
        <w:keepNext w:val="0"/>
        <w:keepLines w:val="0"/>
        <w:pageBreakBefore w:val="0"/>
        <w:widowControl w:val="0"/>
        <w:kinsoku/>
        <w:wordWrap/>
        <w:overflowPunct/>
        <w:topLinePunct w:val="0"/>
        <w:autoSpaceDE/>
        <w:autoSpaceDN/>
        <w:bidi w:val="0"/>
        <w:adjustRightInd/>
        <w:spacing w:line="540" w:lineRule="exact"/>
        <w:jc w:val="both"/>
        <w:textAlignment w:val="auto"/>
        <w:rPr>
          <w:rFonts w:ascii="Times New Roman" w:hAnsi="Times New Roman" w:eastAsia="华文中宋" w:cs="Times New Roman"/>
          <w:b/>
          <w:kern w:val="0"/>
          <w:sz w:val="52"/>
          <w:szCs w:val="52"/>
        </w:rPr>
      </w:pPr>
    </w:p>
    <w:p w14:paraId="45CFFE6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lang w:val="en-US" w:eastAsia="zh-CN"/>
        </w:rPr>
      </w:pPr>
      <w:r>
        <w:rPr>
          <w:rFonts w:hint="eastAsia" w:ascii="黑体" w:hAnsi="黑体" w:eastAsia="黑体" w:cs="黑体"/>
          <w:b/>
          <w:kern w:val="0"/>
          <w:sz w:val="48"/>
          <w:szCs w:val="48"/>
          <w:lang w:val="en-US" w:eastAsia="zh-CN"/>
        </w:rPr>
        <w:t>伊吾县财政衔接推进乡村振兴补助资金绩效自评报告</w:t>
      </w:r>
    </w:p>
    <w:p w14:paraId="0BF513D0">
      <w:pPr>
        <w:keepNext w:val="0"/>
        <w:keepLines w:val="0"/>
        <w:pageBreakBefore w:val="0"/>
        <w:widowControl w:val="0"/>
        <w:kinsoku/>
        <w:wordWrap/>
        <w:overflowPunct/>
        <w:topLinePunct w:val="0"/>
        <w:autoSpaceDE/>
        <w:autoSpaceDN/>
        <w:bidi w:val="0"/>
        <w:adjustRightInd/>
        <w:spacing w:line="540" w:lineRule="exact"/>
        <w:jc w:val="both"/>
        <w:textAlignment w:val="auto"/>
        <w:rPr>
          <w:rFonts w:hint="eastAsia" w:ascii="Times New Roman" w:hAnsi="Times New Roman" w:eastAsia="华文中宋" w:cs="Times New Roman"/>
          <w:b/>
          <w:kern w:val="0"/>
          <w:sz w:val="52"/>
          <w:szCs w:val="52"/>
          <w:lang w:val="en-US" w:eastAsia="zh-CN"/>
        </w:rPr>
      </w:pPr>
    </w:p>
    <w:p w14:paraId="4C727BFB">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（20</w:t>
      </w:r>
      <w:r>
        <w:rPr>
          <w:rFonts w:hint="eastAsia" w:ascii="Times New Roman" w:hAnsi="Times New Roman" w:eastAsia="仿宋_GB2312" w:cs="Times New Roman"/>
          <w:kern w:val="0"/>
          <w:sz w:val="36"/>
          <w:szCs w:val="36"/>
        </w:rPr>
        <w:t>2</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年度）</w:t>
      </w:r>
    </w:p>
    <w:p w14:paraId="6B79BE09">
      <w:pPr>
        <w:keepNext w:val="0"/>
        <w:keepLines w:val="0"/>
        <w:pageBreakBefore w:val="0"/>
        <w:widowControl w:val="0"/>
        <w:kinsoku/>
        <w:wordWrap/>
        <w:overflowPunct/>
        <w:topLinePunct w:val="0"/>
        <w:autoSpaceDE/>
        <w:autoSpaceDN/>
        <w:bidi w:val="0"/>
        <w:adjustRightInd/>
        <w:spacing w:line="540" w:lineRule="exact"/>
        <w:jc w:val="both"/>
        <w:textAlignment w:val="auto"/>
        <w:rPr>
          <w:rFonts w:ascii="Times New Roman" w:hAnsi="Times New Roman" w:eastAsia="仿宋_GB2312" w:cs="Times New Roman"/>
          <w:kern w:val="0"/>
          <w:sz w:val="30"/>
          <w:szCs w:val="30"/>
        </w:rPr>
      </w:pPr>
    </w:p>
    <w:p w14:paraId="474A7CE0">
      <w:pPr>
        <w:keepNext w:val="0"/>
        <w:keepLines w:val="0"/>
        <w:pageBreakBefore w:val="0"/>
        <w:widowControl w:val="0"/>
        <w:kinsoku/>
        <w:wordWrap/>
        <w:overflowPunct/>
        <w:topLinePunct w:val="0"/>
        <w:autoSpaceDE/>
        <w:autoSpaceDN/>
        <w:bidi w:val="0"/>
        <w:adjustRightInd/>
        <w:spacing w:line="540" w:lineRule="exact"/>
        <w:jc w:val="both"/>
        <w:textAlignment w:val="auto"/>
        <w:rPr>
          <w:rFonts w:ascii="Times New Roman" w:hAnsi="Times New Roman" w:eastAsia="仿宋_GB2312" w:cs="Times New Roman"/>
          <w:kern w:val="0"/>
          <w:sz w:val="30"/>
          <w:szCs w:val="30"/>
        </w:rPr>
      </w:pPr>
    </w:p>
    <w:p w14:paraId="14B474E6">
      <w:pPr>
        <w:pStyle w:val="2"/>
        <w:pageBreakBefore w:val="0"/>
        <w:widowControl w:val="0"/>
        <w:kinsoku/>
        <w:wordWrap/>
        <w:overflowPunct/>
        <w:topLinePunct w:val="0"/>
        <w:autoSpaceDE/>
        <w:autoSpaceDN/>
        <w:bidi w:val="0"/>
        <w:adjustRightInd/>
        <w:jc w:val="both"/>
        <w:textAlignment w:val="auto"/>
        <w:rPr>
          <w:rFonts w:ascii="Times New Roman" w:hAnsi="Times New Roman" w:eastAsia="仿宋_GB2312" w:cs="Times New Roman"/>
          <w:kern w:val="0"/>
          <w:sz w:val="30"/>
          <w:szCs w:val="30"/>
        </w:rPr>
      </w:pPr>
    </w:p>
    <w:p w14:paraId="6E25F3EB">
      <w:pPr>
        <w:pStyle w:val="2"/>
        <w:pageBreakBefore w:val="0"/>
        <w:widowControl w:val="0"/>
        <w:kinsoku/>
        <w:wordWrap/>
        <w:overflowPunct/>
        <w:topLinePunct w:val="0"/>
        <w:autoSpaceDE/>
        <w:autoSpaceDN/>
        <w:bidi w:val="0"/>
        <w:adjustRightInd/>
        <w:jc w:val="both"/>
        <w:textAlignment w:val="auto"/>
        <w:rPr>
          <w:rFonts w:ascii="Times New Roman" w:hAnsi="Times New Roman" w:eastAsia="仿宋_GB2312" w:cs="Times New Roman"/>
          <w:kern w:val="0"/>
          <w:sz w:val="30"/>
          <w:szCs w:val="30"/>
        </w:rPr>
      </w:pPr>
    </w:p>
    <w:p w14:paraId="78772A18">
      <w:pPr>
        <w:pStyle w:val="2"/>
        <w:pageBreakBefore w:val="0"/>
        <w:widowControl w:val="0"/>
        <w:kinsoku/>
        <w:wordWrap/>
        <w:overflowPunct/>
        <w:topLinePunct w:val="0"/>
        <w:autoSpaceDE/>
        <w:autoSpaceDN/>
        <w:bidi w:val="0"/>
        <w:adjustRightInd/>
        <w:jc w:val="both"/>
        <w:textAlignment w:val="auto"/>
        <w:rPr>
          <w:rFonts w:ascii="Times New Roman" w:hAnsi="Times New Roman" w:eastAsia="仿宋_GB2312" w:cs="Times New Roman"/>
          <w:kern w:val="0"/>
          <w:sz w:val="30"/>
          <w:szCs w:val="30"/>
        </w:rPr>
      </w:pPr>
    </w:p>
    <w:p w14:paraId="5F63FFAA">
      <w:pPr>
        <w:pStyle w:val="2"/>
        <w:pageBreakBefore w:val="0"/>
        <w:widowControl w:val="0"/>
        <w:kinsoku/>
        <w:wordWrap/>
        <w:overflowPunct/>
        <w:topLinePunct w:val="0"/>
        <w:autoSpaceDE/>
        <w:autoSpaceDN/>
        <w:bidi w:val="0"/>
        <w:adjustRightInd/>
        <w:jc w:val="both"/>
        <w:textAlignment w:val="auto"/>
        <w:rPr>
          <w:rFonts w:ascii="Times New Roman" w:hAnsi="Times New Roman" w:eastAsia="仿宋_GB2312" w:cs="Times New Roman"/>
          <w:kern w:val="0"/>
          <w:sz w:val="30"/>
          <w:szCs w:val="30"/>
        </w:rPr>
      </w:pPr>
    </w:p>
    <w:p w14:paraId="3A31AC4C">
      <w:pPr>
        <w:keepNext w:val="0"/>
        <w:keepLines w:val="0"/>
        <w:pageBreakBefore w:val="0"/>
        <w:widowControl w:val="0"/>
        <w:kinsoku/>
        <w:wordWrap/>
        <w:overflowPunct/>
        <w:topLinePunct w:val="0"/>
        <w:autoSpaceDE/>
        <w:autoSpaceDN/>
        <w:bidi w:val="0"/>
        <w:adjustRightInd/>
        <w:spacing w:line="540" w:lineRule="exact"/>
        <w:jc w:val="both"/>
        <w:textAlignment w:val="auto"/>
        <w:rPr>
          <w:rFonts w:ascii="Times New Roman" w:hAnsi="Times New Roman" w:eastAsia="仿宋_GB2312" w:cs="Times New Roman"/>
          <w:kern w:val="0"/>
          <w:sz w:val="30"/>
          <w:szCs w:val="30"/>
        </w:rPr>
      </w:pPr>
    </w:p>
    <w:p w14:paraId="1DC33A79">
      <w:pPr>
        <w:keepNext w:val="0"/>
        <w:keepLines w:val="0"/>
        <w:pageBreakBefore w:val="0"/>
        <w:widowControl w:val="0"/>
        <w:kinsoku/>
        <w:wordWrap/>
        <w:overflowPunct/>
        <w:topLinePunct w:val="0"/>
        <w:autoSpaceDE/>
        <w:autoSpaceDN/>
        <w:bidi w:val="0"/>
        <w:adjustRightInd/>
        <w:spacing w:line="540" w:lineRule="exact"/>
        <w:jc w:val="both"/>
        <w:textAlignment w:val="auto"/>
        <w:rPr>
          <w:rFonts w:ascii="Times New Roman" w:hAnsi="Times New Roman" w:eastAsia="仿宋_GB2312" w:cs="Times New Roman"/>
          <w:kern w:val="0"/>
          <w:sz w:val="30"/>
          <w:szCs w:val="30"/>
        </w:rPr>
      </w:pPr>
    </w:p>
    <w:p w14:paraId="3C4467E2">
      <w:pPr>
        <w:keepNext w:val="0"/>
        <w:keepLines w:val="0"/>
        <w:pageBreakBefore w:val="0"/>
        <w:widowControl w:val="0"/>
        <w:kinsoku/>
        <w:wordWrap/>
        <w:overflowPunct/>
        <w:topLinePunct w:val="0"/>
        <w:autoSpaceDE/>
        <w:autoSpaceDN/>
        <w:bidi w:val="0"/>
        <w:adjustRightInd/>
        <w:spacing w:line="540" w:lineRule="exact"/>
        <w:jc w:val="both"/>
        <w:textAlignment w:val="auto"/>
        <w:rPr>
          <w:rFonts w:ascii="Times New Roman" w:hAnsi="Times New Roman" w:eastAsia="仿宋_GB2312" w:cs="Times New Roman"/>
          <w:kern w:val="0"/>
          <w:sz w:val="30"/>
          <w:szCs w:val="30"/>
        </w:rPr>
      </w:pPr>
    </w:p>
    <w:p w14:paraId="3ABC540A">
      <w:pPr>
        <w:pStyle w:val="2"/>
        <w:keepNext w:val="0"/>
        <w:keepLines w:val="0"/>
        <w:pageBreakBefore w:val="0"/>
        <w:widowControl w:val="0"/>
        <w:kinsoku/>
        <w:wordWrap/>
        <w:overflowPunct/>
        <w:topLinePunct w:val="0"/>
        <w:autoSpaceDE/>
        <w:autoSpaceDN/>
        <w:bidi w:val="0"/>
        <w:adjustRightInd/>
        <w:jc w:val="both"/>
        <w:textAlignment w:val="auto"/>
        <w:rPr>
          <w:rFonts w:ascii="Times New Roman" w:hAnsi="Times New Roman" w:eastAsia="仿宋_GB2312" w:cs="Times New Roman"/>
          <w:kern w:val="0"/>
          <w:sz w:val="30"/>
          <w:szCs w:val="30"/>
        </w:rPr>
      </w:pPr>
    </w:p>
    <w:p w14:paraId="5D938778">
      <w:pPr>
        <w:pStyle w:val="2"/>
        <w:keepNext w:val="0"/>
        <w:keepLines w:val="0"/>
        <w:pageBreakBefore w:val="0"/>
        <w:widowControl w:val="0"/>
        <w:kinsoku/>
        <w:wordWrap/>
        <w:overflowPunct/>
        <w:topLinePunct w:val="0"/>
        <w:autoSpaceDE/>
        <w:autoSpaceDN/>
        <w:bidi w:val="0"/>
        <w:adjustRightInd/>
        <w:jc w:val="both"/>
        <w:textAlignment w:val="auto"/>
        <w:rPr>
          <w:rFonts w:ascii="Times New Roman" w:hAnsi="Times New Roman" w:eastAsia="仿宋_GB2312" w:cs="Times New Roman"/>
          <w:kern w:val="0"/>
          <w:sz w:val="30"/>
          <w:szCs w:val="30"/>
        </w:rPr>
      </w:pPr>
    </w:p>
    <w:p w14:paraId="15ADCBD4">
      <w:pPr>
        <w:keepNext w:val="0"/>
        <w:keepLines w:val="0"/>
        <w:pageBreakBefore w:val="0"/>
        <w:widowControl w:val="0"/>
        <w:kinsoku/>
        <w:wordWrap/>
        <w:overflowPunct/>
        <w:topLinePunct w:val="0"/>
        <w:autoSpaceDE/>
        <w:autoSpaceDN/>
        <w:bidi w:val="0"/>
        <w:adjustRightInd/>
        <w:snapToGrid/>
        <w:spacing w:line="560" w:lineRule="exact"/>
        <w:ind w:left="2238" w:leftChars="304" w:hanging="1600" w:hangingChars="500"/>
        <w:jc w:val="both"/>
        <w:textAlignment w:val="auto"/>
        <w:rPr>
          <w:rFonts w:hint="default" w:ascii="仿宋_GB2312" w:hAnsi="仿宋_GB2312" w:eastAsia="仿宋_GB2312" w:cs="仿宋_GB2312"/>
          <w:sz w:val="32"/>
          <w:szCs w:val="32"/>
          <w:lang w:val="en-US" w:eastAsia="zh-CN"/>
        </w:rPr>
      </w:pPr>
    </w:p>
    <w:p w14:paraId="1C313B45">
      <w:pPr>
        <w:keepNext w:val="0"/>
        <w:keepLines w:val="0"/>
        <w:pageBreakBefore w:val="0"/>
        <w:widowControl w:val="0"/>
        <w:kinsoku/>
        <w:wordWrap/>
        <w:overflowPunct/>
        <w:topLinePunct w:val="0"/>
        <w:autoSpaceDE/>
        <w:autoSpaceDN/>
        <w:bidi w:val="0"/>
        <w:adjustRightInd/>
        <w:snapToGrid/>
        <w:spacing w:line="560" w:lineRule="exact"/>
        <w:ind w:left="2238" w:leftChars="304" w:hanging="1600" w:hangingChars="5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项目名称：</w:t>
      </w:r>
      <w:r>
        <w:rPr>
          <w:rFonts w:hint="eastAsia" w:ascii="仿宋_GB2312" w:hAnsi="仿宋_GB2312" w:eastAsia="仿宋_GB2312" w:cs="仿宋_GB2312"/>
          <w:sz w:val="32"/>
          <w:szCs w:val="32"/>
          <w:lang w:val="en-US" w:eastAsia="zh-CN"/>
        </w:rPr>
        <w:t>哈密市伊吾县耕地提质增效补贴项目</w:t>
      </w:r>
    </w:p>
    <w:p w14:paraId="46E0A0E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w:t>
      </w:r>
      <w:r>
        <w:rPr>
          <w:rFonts w:hint="eastAsia" w:ascii="仿宋_GB2312" w:hAnsi="仿宋_GB2312" w:eastAsia="仿宋_GB2312" w:cs="仿宋_GB2312"/>
          <w:sz w:val="32"/>
          <w:szCs w:val="32"/>
          <w:lang w:val="en-US" w:eastAsia="zh-CN"/>
        </w:rPr>
        <w:t>伊吾县农业农村局</w:t>
      </w:r>
    </w:p>
    <w:p w14:paraId="3086AC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w:t>
      </w:r>
      <w:r>
        <w:rPr>
          <w:rFonts w:hint="eastAsia" w:ascii="仿宋_GB2312" w:hAnsi="仿宋_GB2312" w:eastAsia="仿宋_GB2312" w:cs="仿宋_GB2312"/>
          <w:sz w:val="32"/>
          <w:szCs w:val="32"/>
          <w:lang w:val="en-US" w:eastAsia="zh-CN"/>
        </w:rPr>
        <w:t>伊吾县农业农村局</w:t>
      </w:r>
    </w:p>
    <w:p w14:paraId="4FA69BF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w:t>
      </w:r>
      <w:r>
        <w:rPr>
          <w:rFonts w:hint="eastAsia" w:ascii="仿宋_GB2312" w:hAnsi="仿宋_GB2312" w:eastAsia="仿宋_GB2312" w:cs="仿宋_GB2312"/>
          <w:sz w:val="32"/>
          <w:szCs w:val="32"/>
          <w:lang w:val="en-US" w:eastAsia="zh-CN"/>
        </w:rPr>
        <w:t>杜世浩</w:t>
      </w:r>
    </w:p>
    <w:p w14:paraId="3AE572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填报时间：20</w:t>
      </w:r>
      <w:r>
        <w:rPr>
          <w:rFonts w:hint="eastAsia" w:ascii="仿宋_GB2312" w:hAnsi="仿宋_GB2312" w:eastAsia="仿宋_GB2312" w:cs="仿宋_GB2312"/>
          <w:sz w:val="32"/>
          <w:szCs w:val="32"/>
          <w:lang w:val="en-US" w:eastAsia="zh-CN"/>
        </w:rPr>
        <w:t>26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w:t>
      </w:r>
    </w:p>
    <w:p w14:paraId="399D74E8">
      <w:pPr>
        <w:keepNext w:val="0"/>
        <w:keepLines w:val="0"/>
        <w:pageBreakBefore w:val="0"/>
        <w:widowControl w:val="0"/>
        <w:kinsoku/>
        <w:wordWrap/>
        <w:overflowPunct/>
        <w:topLinePunct w:val="0"/>
        <w:autoSpaceDE/>
        <w:autoSpaceDN/>
        <w:bidi w:val="0"/>
        <w:adjustRightInd/>
        <w:jc w:val="both"/>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br w:type="page"/>
      </w:r>
    </w:p>
    <w:p w14:paraId="49C8A080">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lang w:val="en-US" w:eastAsia="zh-CN"/>
        </w:rPr>
      </w:pPr>
      <w:bookmarkStart w:id="0" w:name="_Hlk55841787"/>
      <w:bookmarkStart w:id="1" w:name="_Hlk55839583"/>
      <w:r>
        <w:rPr>
          <w:rFonts w:hint="eastAsia"/>
          <w:lang w:val="en-US" w:eastAsia="zh-CN"/>
        </w:rPr>
        <w:t>一、</w:t>
      </w:r>
      <w:bookmarkStart w:id="2" w:name="_Hlk55812536"/>
      <w:r>
        <w:rPr>
          <w:rFonts w:hint="eastAsia"/>
          <w:lang w:val="en-US" w:eastAsia="zh-CN"/>
        </w:rPr>
        <w:t>绩效目标分解下达情况</w:t>
      </w:r>
    </w:p>
    <w:bookmarkEnd w:id="2"/>
    <w:p w14:paraId="1CC98BA4">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（一）财政专项衔接资金下达预算及项目情况</w:t>
      </w:r>
    </w:p>
    <w:bookmarkEnd w:id="0"/>
    <w:bookmarkEnd w:id="1"/>
    <w:p w14:paraId="41C6A8D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bookmarkStart w:id="3" w:name="_Hlk55839643"/>
      <w:r>
        <w:rPr>
          <w:rFonts w:hint="eastAsia" w:ascii="仿宋_GB2312" w:hAnsi="仿宋_GB2312" w:eastAsia="仿宋_GB2312" w:cs="仿宋_GB2312"/>
          <w:b/>
          <w:bCs/>
          <w:sz w:val="32"/>
          <w:szCs w:val="32"/>
          <w:lang w:val="en-US" w:eastAsia="zh-CN"/>
        </w:rPr>
        <w:t>1.下达预算情况</w:t>
      </w:r>
    </w:p>
    <w:p w14:paraId="03BE29F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央和自治区财政衔接推进乡村振兴补助资金（巩固拓展脱贫攻坚成果和乡村振兴任务）管理、使用、工作等文件规定，经县乡村振兴领导小组研究确定，2024年12月24日下发的《2024年伊吾县委农村工作领导小组第五次会议纪要》（伊党农领会字〔2024〕5号）文件，确定安排并实施哈密市伊吾县耕地提质增效补贴项目。</w:t>
      </w:r>
    </w:p>
    <w:p w14:paraId="341C5A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项目预算金额为5.00万元，其中专项衔接资金4.00万元，其他资金1.00万元。</w:t>
      </w:r>
      <w:bookmarkEnd w:id="3"/>
    </w:p>
    <w:p w14:paraId="4E949B3B">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2.项目情况</w:t>
      </w:r>
    </w:p>
    <w:p w14:paraId="3A5375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该项目由伊吾县农业农村局负责实施，项目计划2025年12月完成，项目主要内容为</w:t>
      </w:r>
      <w:r>
        <w:rPr>
          <w:rFonts w:hint="eastAsia" w:ascii="仿宋_GB2312" w:hAnsi="仿宋_GB2312" w:eastAsia="仿宋_GB2312" w:cs="仿宋_GB2312"/>
          <w:b w:val="0"/>
          <w:bCs w:val="0"/>
          <w:spacing w:val="0"/>
          <w:sz w:val="32"/>
          <w:szCs w:val="32"/>
          <w:lang w:val="en-US" w:eastAsia="zh-CN"/>
        </w:rPr>
        <w:t>对运用“良田、良法、良制”，种植粮油、蔬菜及经济作物等面积在1亩以上，其中：种植小麦、玉米实现单产提升2%以上的，补贴100元/亩，预计补贴119亩；对实施深松整地的，补贴15元/亩，预计补贴870亩；对实施节水滴灌灌溉模式，实现水肥一体化种植的，补贴30元/亩，预计补贴835亩</w:t>
      </w:r>
      <w:r>
        <w:rPr>
          <w:rFonts w:hint="eastAsia" w:ascii="仿宋_GB2312" w:hAnsi="仿宋_GB2312" w:eastAsia="仿宋_GB2312" w:cs="仿宋_GB2312"/>
          <w:sz w:val="32"/>
          <w:szCs w:val="32"/>
          <w:lang w:val="en-US" w:eastAsia="zh-CN"/>
        </w:rPr>
        <w:t>。</w:t>
      </w:r>
    </w:p>
    <w:p w14:paraId="48650AF4">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（二）财政专项衔接资金项目绩效目标设定情况</w:t>
      </w:r>
    </w:p>
    <w:p w14:paraId="4D4873B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为保障2025年度财政专项衔接资金项目顺利实施并达到预期目标，我单位根据项目实际情况设置了项目年度总体目标和具体绩效指标。</w:t>
      </w:r>
    </w:p>
    <w:p w14:paraId="7A2AC91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1.年度总体目标</w:t>
      </w:r>
    </w:p>
    <w:p w14:paraId="3933215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内容是对运用“良田、良法、良制”，种植粮油、蔬菜及经济作物等面积在1亩以上，其中：种植小麦、玉米实现单产提升2%以上的，补贴100元/亩，预计补贴119亩；对实施深松整地的，补贴15元/亩，预计补贴870亩；对实施节水滴灌灌溉模式，实现水肥一体化种植的，补贴30元/亩，预计补贴835亩。三项政策可叠加，土地流转出去的脱贫户、监测户也可享受补贴政策。项目实施受益脱贫户及监测户90户200人，预期受益脱贫户和监测户满意度达到95%及以上。通过项目实施，将有力促进伊吾县农业健康可持续发展，不断提高群众农业生产积极性，减少脱贫人口农业生产支出，减轻广大群众生产成本，提高群众、幸福感、获得感。</w:t>
      </w:r>
    </w:p>
    <w:p w14:paraId="5CA23FAE">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2.具体绩效指标</w:t>
      </w:r>
    </w:p>
    <w:p w14:paraId="02A425F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按照《自治区财政专项扶贫资金绩效管理操作指南》（新财预〔2019〕170号）文件规定，结合项目实际，对项目绩效目标设定如下：</w:t>
      </w:r>
    </w:p>
    <w:p w14:paraId="331E95F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14:paraId="7518958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14:paraId="5F90E0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指标1“单产补贴面积”年度指标值为“119亩”；</w:t>
      </w:r>
    </w:p>
    <w:p w14:paraId="758D57E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指标2“深松补贴面积”年度指标值为“870亩”；</w:t>
      </w:r>
    </w:p>
    <w:p w14:paraId="511467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指标3“节水滴灌补贴面积”年度指标值为“835亩”。</w:t>
      </w:r>
    </w:p>
    <w:p w14:paraId="589C37F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14:paraId="6F6F62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指标1“验收合格率”年度指标值为“100%”；</w:t>
      </w:r>
    </w:p>
    <w:p w14:paraId="7C803B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lang w:val="en-US" w:eastAsia="zh-CN"/>
        </w:rPr>
      </w:pPr>
      <w:r>
        <w:rPr>
          <w:rFonts w:hint="eastAsia" w:ascii="仿宋_GB2312" w:hAnsi="仿宋_GB2312" w:eastAsia="仿宋_GB2312" w:cs="仿宋_GB2312"/>
          <w:sz w:val="32"/>
          <w:szCs w:val="32"/>
          <w:lang w:val="en-US" w:eastAsia="zh-CN"/>
        </w:rPr>
        <w:t>指标2“补贴发放到位率”年度指标值为“100%”。</w:t>
      </w:r>
    </w:p>
    <w:p w14:paraId="29A77D7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14:paraId="08FD2E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指标1“补贴发放完成时间”年度指标值为“2025年12月”。</w:t>
      </w:r>
    </w:p>
    <w:p w14:paraId="6C48222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14:paraId="6274001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指标1“单产补贴标准”年度指标值为“100元/亩”；</w:t>
      </w:r>
    </w:p>
    <w:p w14:paraId="71645AA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指标2“土地深耕松整补贴标准”年度指标值为“15元/亩”；</w:t>
      </w:r>
    </w:p>
    <w:p w14:paraId="26780B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指标3“节水滴灌补贴标准”年度指标值为“30元/亩”。</w:t>
      </w:r>
    </w:p>
    <w:p w14:paraId="7701780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14:paraId="2263498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①经济效益指标</w:t>
      </w:r>
    </w:p>
    <w:p w14:paraId="334A460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0B1622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14:paraId="1B8153D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指标1“受益脱贫户及监测户户数”年度指标值为“大于等于90户”；</w:t>
      </w:r>
    </w:p>
    <w:p w14:paraId="68F036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指标2“受益脱贫户及监测户人数”年度指标值为“大于等于200人”。</w:t>
      </w:r>
    </w:p>
    <w:p w14:paraId="41B9D4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14:paraId="204056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16FC839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④可持续影响指标</w:t>
      </w:r>
    </w:p>
    <w:p w14:paraId="6A48750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10589A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w:t>
      </w:r>
    </w:p>
    <w:p w14:paraId="5E382DB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①服务对象满意度指标</w:t>
      </w:r>
    </w:p>
    <w:p w14:paraId="3F59EF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指标1“受益脱贫户及监测户满意度”年度指标值为“大于等于95%”。</w:t>
      </w:r>
    </w:p>
    <w:p w14:paraId="51D64441">
      <w:pPr>
        <w:pStyle w:val="2"/>
        <w:pageBreakBefore w:val="0"/>
        <w:widowControl w:val="0"/>
        <w:kinsoku/>
        <w:wordWrap/>
        <w:overflowPunct/>
        <w:topLinePunct w:val="0"/>
        <w:autoSpaceDE/>
        <w:autoSpaceDN/>
        <w:bidi w:val="0"/>
        <w:adjustRightInd/>
        <w:jc w:val="both"/>
        <w:textAlignment w:val="auto"/>
        <w:rPr>
          <w:rFonts w:hint="default"/>
          <w:lang w:val="en-US" w:eastAsia="zh-CN"/>
        </w:rPr>
      </w:pPr>
    </w:p>
    <w:p w14:paraId="59EB7AE5">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b/>
          <w:lang w:val="en-US" w:eastAsia="zh-CN"/>
        </w:rPr>
      </w:pPr>
      <w:r>
        <w:rPr>
          <w:rFonts w:hint="eastAsia"/>
          <w:b/>
          <w:lang w:val="en-US" w:eastAsia="zh-CN"/>
        </w:rPr>
        <w:t>二、绩效自评工作开展情况</w:t>
      </w:r>
    </w:p>
    <w:p w14:paraId="108CA6C3">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heme="majorEastAsia" w:hAnsiTheme="majorEastAsia" w:eastAsiaTheme="majorEastAsia" w:cstheme="majorEastAsia"/>
          <w:b/>
          <w:lang w:val="en-US" w:eastAsia="zh-CN"/>
        </w:rPr>
      </w:pPr>
      <w:bookmarkStart w:id="4" w:name="_Hlk55901364"/>
      <w:r>
        <w:rPr>
          <w:rFonts w:hint="eastAsia" w:asciiTheme="majorEastAsia" w:hAnsiTheme="majorEastAsia" w:eastAsiaTheme="majorEastAsia" w:cstheme="majorEastAsia"/>
          <w:b/>
          <w:lang w:val="en-US" w:eastAsia="zh-CN"/>
        </w:rPr>
        <w:t>（一）自评开展范围</w:t>
      </w:r>
    </w:p>
    <w:p w14:paraId="5309988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本次绩效自评从项目资金、项目产出、项目效益、服务对象满意度四个层面进行绩效评价。</w:t>
      </w:r>
    </w:p>
    <w:p w14:paraId="4793AFA2">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（二）自评开展对象</w:t>
      </w:r>
    </w:p>
    <w:p w14:paraId="5585F2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伊吾县农业农村局2025年实施的哈密市伊吾县耕地提质增效补贴项目及其所涉及的财政资金5.00万元。</w:t>
      </w:r>
    </w:p>
    <w:p w14:paraId="0DEEB6B2">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（三）自评开展时间</w:t>
      </w:r>
    </w:p>
    <w:p w14:paraId="5125E7C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Hans"/>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US" w:eastAsia="zh-Hans"/>
        </w:rPr>
        <w:t>日-202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p>
    <w:p w14:paraId="7ED11DEA">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（四）自评开展方式</w:t>
      </w:r>
    </w:p>
    <w:p w14:paraId="64F7A85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12212F0B">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1.前期准备</w:t>
      </w:r>
    </w:p>
    <w:p w14:paraId="263367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44C8AE2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布尔汗·尕力任评价组组长，主要负责评价任务安排落实，整体协调推进，总体把控评价工作进度和质量。</w:t>
      </w:r>
    </w:p>
    <w:p w14:paraId="599C1C9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评价组成员杜世浩、石进，主要负责项目资料收集、整理，完成绩效评价项目部分内容。</w:t>
      </w:r>
    </w:p>
    <w:p w14:paraId="2D4CB6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评价组成员于宏，主要负责财务资料收集、整理，完成绩效评价财务部分内容。</w:t>
      </w:r>
    </w:p>
    <w:p w14:paraId="48204E0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266CE99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2025年12月25日—2026年1月11日，自评工作进入实施阶段，评价组成员完成项目资料、财务资料的收集整理工作。</w:t>
      </w:r>
    </w:p>
    <w:p w14:paraId="7CD2D91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w:t>
      </w:r>
    </w:p>
    <w:p w14:paraId="4C345EE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0435CE6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4.审核、评审、报送</w:t>
      </w:r>
    </w:p>
    <w:p w14:paraId="31FA32D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2026年1月26日—2月28日，经主管部门和财政部门初审后，提交由县财政局、主管部门、实施单位指定专人组成的联合评审工作组，评审通过后，按要求进行报送。</w:t>
      </w:r>
    </w:p>
    <w:bookmarkEnd w:id="4"/>
    <w:p w14:paraId="29EE64AE">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b/>
          <w:lang w:val="en-US" w:eastAsia="zh-CN"/>
        </w:rPr>
      </w:pPr>
      <w:r>
        <w:rPr>
          <w:rFonts w:hint="eastAsia"/>
          <w:b/>
          <w:lang w:val="en-US" w:eastAsia="zh-CN"/>
        </w:rPr>
        <w:t>三、绩效目标自评完成情况分析</w:t>
      </w:r>
    </w:p>
    <w:p w14:paraId="616D6508">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heme="majorEastAsia" w:hAnsiTheme="majorEastAsia" w:eastAsiaTheme="majorEastAsia" w:cstheme="majorEastAsia"/>
          <w:b/>
          <w:lang w:val="en-US" w:eastAsia="zh-CN"/>
        </w:rPr>
      </w:pPr>
      <w:bookmarkStart w:id="5" w:name="_Hlk55906161"/>
      <w:r>
        <w:rPr>
          <w:rFonts w:hint="eastAsia" w:asciiTheme="majorEastAsia" w:hAnsiTheme="majorEastAsia" w:eastAsiaTheme="majorEastAsia" w:cstheme="majorEastAsia"/>
          <w:b/>
          <w:lang w:val="en-US" w:eastAsia="zh-CN"/>
        </w:rPr>
        <w:t>（一）</w:t>
      </w:r>
      <w:bookmarkEnd w:id="5"/>
      <w:r>
        <w:rPr>
          <w:rFonts w:hint="eastAsia" w:asciiTheme="majorEastAsia" w:hAnsiTheme="majorEastAsia" w:eastAsiaTheme="majorEastAsia" w:cstheme="majorEastAsia"/>
          <w:b/>
          <w:lang w:val="en-US" w:eastAsia="zh-CN"/>
        </w:rPr>
        <w:t>资金投入情况分析</w:t>
      </w:r>
    </w:p>
    <w:p w14:paraId="7E2FBB8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bookmarkStart w:id="6" w:name="_Hlk55906315"/>
      <w:r>
        <w:rPr>
          <w:rFonts w:hint="eastAsia" w:ascii="仿宋_GB2312" w:hAnsi="仿宋_GB2312" w:eastAsia="仿宋_GB2312" w:cs="仿宋_GB2312"/>
          <w:b/>
          <w:bCs/>
          <w:sz w:val="32"/>
          <w:szCs w:val="32"/>
          <w:lang w:val="en-US" w:eastAsia="zh-CN"/>
        </w:rPr>
        <w:t>1.项目资金到位情况分析</w:t>
      </w:r>
    </w:p>
    <w:bookmarkEnd w:id="6"/>
    <w:p w14:paraId="5A00D29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bookmarkStart w:id="7" w:name="_Hlk55839916"/>
      <w:r>
        <w:rPr>
          <w:rFonts w:hint="eastAsia" w:ascii="仿宋_GB2312" w:hAnsi="仿宋_GB2312" w:eastAsia="仿宋_GB2312" w:cs="仿宋_GB2312"/>
          <w:sz w:val="32"/>
          <w:szCs w:val="32"/>
          <w:lang w:val="en-US" w:eastAsia="zh-CN"/>
        </w:rPr>
        <w:t>项目预算安排资金5.00万元，其中专项衔接资金4.00万元</w:t>
      </w:r>
      <w:bookmarkStart w:id="8" w:name="_Hlk55842207"/>
      <w:r>
        <w:rPr>
          <w:rFonts w:hint="eastAsia" w:ascii="仿宋_GB2312" w:hAnsi="仿宋_GB2312" w:eastAsia="仿宋_GB2312" w:cs="仿宋_GB2312"/>
          <w:sz w:val="32"/>
          <w:szCs w:val="32"/>
          <w:lang w:val="en-US" w:eastAsia="zh-CN"/>
        </w:rPr>
        <w:t>，县财政配套资金1.00万元。全年实际到位资金5.00万元，预算资金到位率100%。</w:t>
      </w:r>
    </w:p>
    <w:bookmarkEnd w:id="7"/>
    <w:bookmarkEnd w:id="8"/>
    <w:p w14:paraId="56F0F0E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2.项目资金执行情况分析</w:t>
      </w:r>
    </w:p>
    <w:p w14:paraId="734B99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截至2025年12月底，</w:t>
      </w:r>
      <w:bookmarkStart w:id="15" w:name="_GoBack"/>
      <w:bookmarkEnd w:id="15"/>
      <w:r>
        <w:rPr>
          <w:rFonts w:hint="eastAsia" w:ascii="仿宋_GB2312" w:hAnsi="仿宋_GB2312" w:eastAsia="仿宋_GB2312" w:cs="仿宋_GB2312"/>
          <w:sz w:val="32"/>
          <w:szCs w:val="32"/>
          <w:lang w:val="en-US" w:eastAsia="zh-CN"/>
        </w:rPr>
        <w:t>该项目实际支出4.22万元，预算执行率84.44%。项目资金全部用于耕地提质增效补贴款。</w:t>
      </w:r>
    </w:p>
    <w:p w14:paraId="2B1E446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项目结余资金0.78万元已全额上缴财政。</w:t>
      </w:r>
    </w:p>
    <w:p w14:paraId="3D14EE5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bookmarkStart w:id="9" w:name="_Hlk55906628"/>
      <w:r>
        <w:rPr>
          <w:rFonts w:hint="eastAsia" w:ascii="仿宋_GB2312" w:hAnsi="仿宋_GB2312" w:eastAsia="仿宋_GB2312" w:cs="仿宋_GB2312"/>
          <w:b/>
          <w:bCs/>
          <w:sz w:val="32"/>
          <w:szCs w:val="32"/>
          <w:lang w:val="en-US" w:eastAsia="zh-CN"/>
        </w:rPr>
        <w:t>3.项目资金管理情况分析</w:t>
      </w:r>
    </w:p>
    <w:bookmarkEnd w:id="9"/>
    <w:p w14:paraId="266C13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bookmarkStart w:id="10" w:name="_Hlk55842335"/>
      <w:r>
        <w:rPr>
          <w:rFonts w:hint="eastAsia" w:ascii="仿宋_GB2312" w:hAnsi="仿宋_GB2312" w:eastAsia="仿宋_GB2312" w:cs="仿宋_GB2312"/>
          <w:sz w:val="32"/>
          <w:szCs w:val="32"/>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lang w:val="en-US" w:eastAsia="zh-CN"/>
        </w:rPr>
        <w:t>新财规〔2021〕11号</w:t>
      </w:r>
      <w:bookmarkEnd w:id="11"/>
      <w:r>
        <w:rPr>
          <w:rFonts w:hint="eastAsia" w:ascii="仿宋_GB2312" w:hAnsi="仿宋_GB2312" w:eastAsia="仿宋_GB2312" w:cs="仿宋_GB2312"/>
          <w:sz w:val="32"/>
          <w:szCs w:val="32"/>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6F352DF2">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（二）绩效目标完成情况分析</w:t>
      </w:r>
    </w:p>
    <w:p w14:paraId="5CB8F0D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本项目共设一级指标3个，二级指标6个，三级指标12个，已完成年度绩效指标9个，指标完成率75%。</w:t>
      </w:r>
    </w:p>
    <w:p w14:paraId="50A55B9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1.产出指标完成情况分析</w:t>
      </w:r>
    </w:p>
    <w:p w14:paraId="2B0DA94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（1）数量指标完成情况</w:t>
      </w:r>
    </w:p>
    <w:p w14:paraId="165D76C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指标1：单产补贴面积，年度指标值119亩，指标全年实际完成82.3亩，指标完成率69.16%；</w:t>
      </w:r>
    </w:p>
    <w:p w14:paraId="2547F0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指标2：深松补贴面积，年度指标值870亩，指标全年实际完成768.9亩，指标完成率88.38%；</w:t>
      </w:r>
    </w:p>
    <w:p w14:paraId="6C7D3FC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指标3：节水滴灌补贴面积，年度指标值835亩，指标全年实际完成768.9亩，指标完成率92.08%。</w:t>
      </w:r>
    </w:p>
    <w:p w14:paraId="6FA268D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（2）质量指标完成情况</w:t>
      </w:r>
    </w:p>
    <w:p w14:paraId="12C7C0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指标1：补验收合格率，年度指标值100%，指标全年实际完成100%，指标完成率100%；</w:t>
      </w:r>
    </w:p>
    <w:p w14:paraId="47D7ED0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指标2：补贴发放完成率，年度指标值100%，指标全年实际完成100%，指标完成率100%。</w:t>
      </w:r>
    </w:p>
    <w:p w14:paraId="0C279D2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（3）时效指标完成情况</w:t>
      </w:r>
    </w:p>
    <w:p w14:paraId="25DFE3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指标1：补贴发放完成时间，年度指标值2025年12月，指标全年实际完成2025年11月，指标完成率100%。</w:t>
      </w:r>
    </w:p>
    <w:p w14:paraId="309A159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（4）成本指标完成情况</w:t>
      </w:r>
    </w:p>
    <w:p w14:paraId="1C51E8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指标1：单产补贴标准，年度指标值100元/亩，指标全年实际完成100元/亩，指标完成率100%；</w:t>
      </w:r>
    </w:p>
    <w:p w14:paraId="53DDCC1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指标2：土地深耕松整补贴标准，年度指标值15元/亩，指标全年实际完成15元/亩，指标完成率100%；</w:t>
      </w:r>
    </w:p>
    <w:p w14:paraId="45B732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指标3：节水滴灌补贴标准，年度指标值30元/亩，指标全年实际完成30元/亩，指标完成率100%。</w:t>
      </w:r>
    </w:p>
    <w:p w14:paraId="69999392">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2.效益指标完成情况分析</w:t>
      </w:r>
    </w:p>
    <w:p w14:paraId="055A9B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（1）经济效益指标完成情况</w:t>
      </w:r>
    </w:p>
    <w:p w14:paraId="1DA05E5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54A36DA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（2）社会效益指标完成情况</w:t>
      </w:r>
    </w:p>
    <w:p w14:paraId="2771221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指标1：受益脱贫户及监测户户数，年度指标值90户，指标全年实际完成100户，指标完成率111.11%；</w:t>
      </w:r>
    </w:p>
    <w:p w14:paraId="34F60BC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指标2：受益脱贫户及监测户人数，年度指标值大于等于200人，指标全年实际完成大于等于260人，指标完成率130%。</w:t>
      </w:r>
    </w:p>
    <w:p w14:paraId="6893DE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（3）生态效益指标完成情况</w:t>
      </w:r>
    </w:p>
    <w:p w14:paraId="0002774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4FC2F4F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（4）可持续影响指标完成情况</w:t>
      </w:r>
    </w:p>
    <w:p w14:paraId="110C8D5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A2C668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3.满意度指标完成情况分析</w:t>
      </w:r>
    </w:p>
    <w:p w14:paraId="32546C6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（1）服务对象满意度指标：</w:t>
      </w:r>
    </w:p>
    <w:p w14:paraId="407D27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指标1：受益脱贫户及监测户满意度，年度指标值大于等于95%，指标全年实际完成100%，指标完成率105.26%。</w:t>
      </w:r>
    </w:p>
    <w:p w14:paraId="35DB6F32">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b/>
          <w:lang w:val="en-US" w:eastAsia="zh-CN"/>
        </w:rPr>
      </w:pPr>
      <w:bookmarkStart w:id="12" w:name="_Hlk55917311"/>
      <w:r>
        <w:rPr>
          <w:rFonts w:hint="eastAsia"/>
          <w:b/>
          <w:lang w:val="en-US" w:eastAsia="zh-CN"/>
        </w:rPr>
        <w:t>四、</w:t>
      </w:r>
      <w:bookmarkEnd w:id="12"/>
      <w:r>
        <w:rPr>
          <w:rFonts w:hint="eastAsia"/>
          <w:b/>
          <w:lang w:val="en-US" w:eastAsia="zh-CN"/>
        </w:rPr>
        <w:t>偏离绩效目标的原因和下一步措施</w:t>
      </w:r>
    </w:p>
    <w:p w14:paraId="6278D41A">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heme="majorEastAsia" w:hAnsiTheme="majorEastAsia" w:eastAsiaTheme="majorEastAsia" w:cstheme="majorEastAsia"/>
          <w:b/>
          <w:lang w:val="en-US" w:eastAsia="zh-CN"/>
        </w:rPr>
      </w:pPr>
      <w:bookmarkStart w:id="13" w:name="_Hlk55900722"/>
      <w:r>
        <w:rPr>
          <w:rFonts w:hint="eastAsia" w:asciiTheme="majorEastAsia" w:hAnsiTheme="majorEastAsia" w:eastAsiaTheme="majorEastAsia" w:cstheme="majorEastAsia"/>
          <w:b/>
          <w:lang w:val="en-US" w:eastAsia="zh-CN"/>
        </w:rPr>
        <w:t>（一）偏离绩效目标的原因</w:t>
      </w:r>
    </w:p>
    <w:p w14:paraId="0274F2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指标中的指标1“单产补贴面积”、指标2“深松补贴面积”、指标3“节水滴灌补贴面积”均未完成，未完成原因是初期进行统计享受补贴面积数据为计划值，最终根据符合补贴标准的实际亩数的验收单进行补贴。</w:t>
      </w:r>
    </w:p>
    <w:p w14:paraId="1042E5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社会效益指标中的指标2“受益脱贫户及监测户人数”预期指标值“大于等于200人”，实际完成260人，超额完成原因是户数和对应人数变化。</w:t>
      </w:r>
    </w:p>
    <w:p w14:paraId="0E70C122">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（二）下一步改进措施</w:t>
      </w:r>
    </w:p>
    <w:p w14:paraId="30838CF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一是，前期做好补贴宣传和摸底，对计划补贴面积进行合理测算，确保项目建设任务按既定开展并支付补助资金。</w:t>
      </w:r>
    </w:p>
    <w:p w14:paraId="6A5635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二是，根据实际受益户数和人数正常统计，保证到户项目的补贴对象应补尽补。</w:t>
      </w:r>
    </w:p>
    <w:bookmarkEnd w:id="13"/>
    <w:p w14:paraId="4381691D">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b/>
          <w:lang w:val="en-US" w:eastAsia="zh-CN"/>
        </w:rPr>
      </w:pPr>
      <w:r>
        <w:rPr>
          <w:rFonts w:hint="eastAsia"/>
          <w:b/>
          <w:lang w:val="en-US" w:eastAsia="zh-CN"/>
        </w:rPr>
        <w:t>五、绩效自评结果拟应用和公开情况</w:t>
      </w:r>
    </w:p>
    <w:p w14:paraId="55A1793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bookmarkStart w:id="14" w:name="_Hlk55837615"/>
      <w:r>
        <w:rPr>
          <w:rFonts w:hint="eastAsia" w:ascii="仿宋_GB2312" w:hAnsi="仿宋_GB2312" w:eastAsia="仿宋_GB2312" w:cs="仿宋_GB2312"/>
          <w:sz w:val="32"/>
          <w:szCs w:val="32"/>
          <w:lang w:val="en-US" w:eastAsia="zh-CN"/>
        </w:rPr>
        <w:t>本单位通过项目资金执行情况、项目绩效指标完成情况等进行绩效自评，自评得分91.12分，评价等级优。</w:t>
      </w:r>
    </w:p>
    <w:p w14:paraId="6E758EB5">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（一）自评结果拟应用情况</w:t>
      </w:r>
    </w:p>
    <w:p w14:paraId="3D1FB1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安排以后年度预算的重要参考因素。</w:t>
      </w:r>
    </w:p>
    <w:p w14:paraId="78AAB30A">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（二）自评结果公开情况</w:t>
      </w:r>
    </w:p>
    <w:p w14:paraId="569AA5A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eastAsiaTheme="minorEastAsia"/>
          <w:highlight w:val="yellow"/>
          <w:lang w:val="en-US" w:eastAsia="zh-CN"/>
        </w:rPr>
      </w:pPr>
      <w:r>
        <w:rPr>
          <w:rFonts w:hint="eastAsia" w:ascii="仿宋_GB2312" w:hAnsi="仿宋_GB2312" w:eastAsia="仿宋_GB2312" w:cs="仿宋_GB2312"/>
          <w:sz w:val="32"/>
          <w:szCs w:val="32"/>
          <w:lang w:val="en-US" w:eastAsia="zh-CN"/>
        </w:rPr>
        <w:t>按《自治区财政专项扶贫资金绩效管理操作指南》（新财预[2019]170号）文件要求，我单位将自评结果编入部门决算，并在伊吾县人民政府门户网站对应模块公开并接受社会监督。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D8BE5C-B7FC-47AF-9403-640C21DEC56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F5E4E69-CEC7-420C-965B-8169A1FE36A0}"/>
  </w:font>
  <w:font w:name="仿宋_GB2312">
    <w:panose1 w:val="02010609030101010101"/>
    <w:charset w:val="86"/>
    <w:family w:val="modern"/>
    <w:pitch w:val="default"/>
    <w:sig w:usb0="00000001" w:usb1="080E0000" w:usb2="00000000" w:usb3="00000000" w:csb0="00040000" w:csb1="00000000"/>
    <w:embedRegular r:id="rId3" w:fontKey="{B805774C-3F48-4BCC-880D-CFB82E40A524}"/>
  </w:font>
  <w:font w:name="华文中宋">
    <w:panose1 w:val="02010600040101010101"/>
    <w:charset w:val="86"/>
    <w:family w:val="auto"/>
    <w:pitch w:val="default"/>
    <w:sig w:usb0="00000287" w:usb1="080F0000" w:usb2="00000000" w:usb3="00000000" w:csb0="0004009F" w:csb1="DFD70000"/>
    <w:embedRegular r:id="rId4" w:fontKey="{8617DF59-BEDE-4FF2-858A-9FB85159AE6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4E99">
    <w:pPr>
      <w:pStyle w:val="10"/>
      <w:jc w:val="center"/>
      <w:rPr>
        <w:rFonts w:asciiTheme="minorEastAsia" w:hAnsiTheme="minorEastAsia"/>
        <w:sz w:val="28"/>
        <w:szCs w:val="28"/>
      </w:rPr>
    </w:pPr>
  </w:p>
  <w:p w14:paraId="2FE767F1">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E0AC8">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E0738"/>
    <w:rsid w:val="00DF56E0"/>
    <w:rsid w:val="00EA66E4"/>
    <w:rsid w:val="00EC62DB"/>
    <w:rsid w:val="010C37D5"/>
    <w:rsid w:val="011C2D2D"/>
    <w:rsid w:val="013576A9"/>
    <w:rsid w:val="015E4FA2"/>
    <w:rsid w:val="01B232E4"/>
    <w:rsid w:val="01D57577"/>
    <w:rsid w:val="020B4717"/>
    <w:rsid w:val="020C6F6D"/>
    <w:rsid w:val="02B24F3F"/>
    <w:rsid w:val="02DA7952"/>
    <w:rsid w:val="03197B61"/>
    <w:rsid w:val="03477AC0"/>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6073BD"/>
    <w:rsid w:val="06634A74"/>
    <w:rsid w:val="06680056"/>
    <w:rsid w:val="06872F1A"/>
    <w:rsid w:val="06A676C3"/>
    <w:rsid w:val="06C936E9"/>
    <w:rsid w:val="06CD24E2"/>
    <w:rsid w:val="06FA1FD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927580"/>
    <w:rsid w:val="0ABE0F57"/>
    <w:rsid w:val="0AD0576A"/>
    <w:rsid w:val="0AD164F5"/>
    <w:rsid w:val="0AFE371A"/>
    <w:rsid w:val="0B29106F"/>
    <w:rsid w:val="0B731858"/>
    <w:rsid w:val="0B765622"/>
    <w:rsid w:val="0B9F154C"/>
    <w:rsid w:val="0BA42E2D"/>
    <w:rsid w:val="0BB15418"/>
    <w:rsid w:val="0BB41D6F"/>
    <w:rsid w:val="0BC11ACA"/>
    <w:rsid w:val="0BCC0B22"/>
    <w:rsid w:val="0C1C0143"/>
    <w:rsid w:val="0C4E568B"/>
    <w:rsid w:val="0C695363"/>
    <w:rsid w:val="0CA25A28"/>
    <w:rsid w:val="0CA80E68"/>
    <w:rsid w:val="0CC57302"/>
    <w:rsid w:val="0CDE1704"/>
    <w:rsid w:val="0D2C1797"/>
    <w:rsid w:val="0D6B6D7E"/>
    <w:rsid w:val="0DE90FFC"/>
    <w:rsid w:val="0E736859"/>
    <w:rsid w:val="0E8B67DF"/>
    <w:rsid w:val="0EA43155"/>
    <w:rsid w:val="0EAE3583"/>
    <w:rsid w:val="0F460B5B"/>
    <w:rsid w:val="0F641D0B"/>
    <w:rsid w:val="0FD12A6C"/>
    <w:rsid w:val="0FDD4336"/>
    <w:rsid w:val="0FEB17B8"/>
    <w:rsid w:val="0FEB2D15"/>
    <w:rsid w:val="106F1015"/>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5D256C"/>
    <w:rsid w:val="13853136"/>
    <w:rsid w:val="138B42E1"/>
    <w:rsid w:val="13CF6578"/>
    <w:rsid w:val="142D4BD6"/>
    <w:rsid w:val="14706F25"/>
    <w:rsid w:val="14D775A0"/>
    <w:rsid w:val="14E65FAB"/>
    <w:rsid w:val="14F37F03"/>
    <w:rsid w:val="15037A5A"/>
    <w:rsid w:val="15061745"/>
    <w:rsid w:val="15160F2A"/>
    <w:rsid w:val="151A60F2"/>
    <w:rsid w:val="15695689"/>
    <w:rsid w:val="1593354A"/>
    <w:rsid w:val="159E4222"/>
    <w:rsid w:val="15B537B9"/>
    <w:rsid w:val="15B56B09"/>
    <w:rsid w:val="15E22755"/>
    <w:rsid w:val="15E52BBD"/>
    <w:rsid w:val="16474378"/>
    <w:rsid w:val="1677285F"/>
    <w:rsid w:val="16837D23"/>
    <w:rsid w:val="168511BE"/>
    <w:rsid w:val="17835A21"/>
    <w:rsid w:val="17C22A7E"/>
    <w:rsid w:val="181F565C"/>
    <w:rsid w:val="18432FDB"/>
    <w:rsid w:val="18B67E0A"/>
    <w:rsid w:val="18B97001"/>
    <w:rsid w:val="18C631E9"/>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C75B78"/>
    <w:rsid w:val="1E2933F2"/>
    <w:rsid w:val="1E6B5E64"/>
    <w:rsid w:val="1EA10BC8"/>
    <w:rsid w:val="1EA40698"/>
    <w:rsid w:val="1EBC53FA"/>
    <w:rsid w:val="1EE7203A"/>
    <w:rsid w:val="1EED1DFF"/>
    <w:rsid w:val="1F0D3112"/>
    <w:rsid w:val="1F5D05A2"/>
    <w:rsid w:val="1F8029FC"/>
    <w:rsid w:val="1F951411"/>
    <w:rsid w:val="1FB40AB5"/>
    <w:rsid w:val="1FBE3AC8"/>
    <w:rsid w:val="20133FBD"/>
    <w:rsid w:val="20AD2C71"/>
    <w:rsid w:val="20DD64E1"/>
    <w:rsid w:val="211B71FF"/>
    <w:rsid w:val="2184049B"/>
    <w:rsid w:val="21874960"/>
    <w:rsid w:val="21A90907"/>
    <w:rsid w:val="2214654E"/>
    <w:rsid w:val="222B321C"/>
    <w:rsid w:val="227559C2"/>
    <w:rsid w:val="22871E46"/>
    <w:rsid w:val="237468F5"/>
    <w:rsid w:val="23761D31"/>
    <w:rsid w:val="239C683A"/>
    <w:rsid w:val="23BC770E"/>
    <w:rsid w:val="2422660C"/>
    <w:rsid w:val="247034BD"/>
    <w:rsid w:val="247C52DC"/>
    <w:rsid w:val="24BC2AB5"/>
    <w:rsid w:val="255D6D32"/>
    <w:rsid w:val="25E95B37"/>
    <w:rsid w:val="260635B7"/>
    <w:rsid w:val="262770BA"/>
    <w:rsid w:val="263930C4"/>
    <w:rsid w:val="266523FF"/>
    <w:rsid w:val="268B3E9E"/>
    <w:rsid w:val="269A360B"/>
    <w:rsid w:val="270B4B46"/>
    <w:rsid w:val="279905F9"/>
    <w:rsid w:val="27BA1305"/>
    <w:rsid w:val="27C02A87"/>
    <w:rsid w:val="282A026B"/>
    <w:rsid w:val="2892389F"/>
    <w:rsid w:val="28A9202E"/>
    <w:rsid w:val="292C10A1"/>
    <w:rsid w:val="296D704C"/>
    <w:rsid w:val="29744383"/>
    <w:rsid w:val="297A56F9"/>
    <w:rsid w:val="29F628C0"/>
    <w:rsid w:val="2A036FAE"/>
    <w:rsid w:val="2A4D12B4"/>
    <w:rsid w:val="2A706629"/>
    <w:rsid w:val="2AC476F7"/>
    <w:rsid w:val="2AD37377"/>
    <w:rsid w:val="2B2207B0"/>
    <w:rsid w:val="2B323B6C"/>
    <w:rsid w:val="2B6A42C7"/>
    <w:rsid w:val="2B725756"/>
    <w:rsid w:val="2B763D04"/>
    <w:rsid w:val="2B8C2902"/>
    <w:rsid w:val="2BCC6043"/>
    <w:rsid w:val="2C212804"/>
    <w:rsid w:val="2C8C4ABD"/>
    <w:rsid w:val="2CB3404C"/>
    <w:rsid w:val="2CB97440"/>
    <w:rsid w:val="2CD31625"/>
    <w:rsid w:val="2CE64BF4"/>
    <w:rsid w:val="2D0E7B96"/>
    <w:rsid w:val="2D11418C"/>
    <w:rsid w:val="2D262818"/>
    <w:rsid w:val="2D374EAC"/>
    <w:rsid w:val="2D3F298B"/>
    <w:rsid w:val="2D41238C"/>
    <w:rsid w:val="2D474282"/>
    <w:rsid w:val="2D8854B8"/>
    <w:rsid w:val="2D9270C1"/>
    <w:rsid w:val="2DC31446"/>
    <w:rsid w:val="2E1130D3"/>
    <w:rsid w:val="2E523FC0"/>
    <w:rsid w:val="2E79009C"/>
    <w:rsid w:val="2E7D3F3E"/>
    <w:rsid w:val="2E9D5A32"/>
    <w:rsid w:val="2EA34C0E"/>
    <w:rsid w:val="2EC5737D"/>
    <w:rsid w:val="2ED17B6C"/>
    <w:rsid w:val="2EDE609F"/>
    <w:rsid w:val="2EE76251"/>
    <w:rsid w:val="2F186786"/>
    <w:rsid w:val="2F1C1C4C"/>
    <w:rsid w:val="2F8F0ED2"/>
    <w:rsid w:val="2FA817F6"/>
    <w:rsid w:val="2FC77F6E"/>
    <w:rsid w:val="2FCA4F61"/>
    <w:rsid w:val="301663F8"/>
    <w:rsid w:val="303B22DF"/>
    <w:rsid w:val="304D7587"/>
    <w:rsid w:val="30B742C9"/>
    <w:rsid w:val="30F20C74"/>
    <w:rsid w:val="30F61D77"/>
    <w:rsid w:val="30FD1ABD"/>
    <w:rsid w:val="316D3551"/>
    <w:rsid w:val="318238D7"/>
    <w:rsid w:val="319364D0"/>
    <w:rsid w:val="31A459D2"/>
    <w:rsid w:val="320745F0"/>
    <w:rsid w:val="3212369C"/>
    <w:rsid w:val="321A45E7"/>
    <w:rsid w:val="3242287F"/>
    <w:rsid w:val="324C1269"/>
    <w:rsid w:val="32D65839"/>
    <w:rsid w:val="32D746BC"/>
    <w:rsid w:val="32FF7D02"/>
    <w:rsid w:val="3331398C"/>
    <w:rsid w:val="33456E75"/>
    <w:rsid w:val="337042B2"/>
    <w:rsid w:val="33F443C1"/>
    <w:rsid w:val="33FA4477"/>
    <w:rsid w:val="33FE3E5E"/>
    <w:rsid w:val="34B632D7"/>
    <w:rsid w:val="34D4549D"/>
    <w:rsid w:val="354E2B6C"/>
    <w:rsid w:val="35755596"/>
    <w:rsid w:val="362C557E"/>
    <w:rsid w:val="3687405E"/>
    <w:rsid w:val="36887CCF"/>
    <w:rsid w:val="369B3C8B"/>
    <w:rsid w:val="36C37E27"/>
    <w:rsid w:val="36DE7AD1"/>
    <w:rsid w:val="36EB4AB5"/>
    <w:rsid w:val="36ED5F79"/>
    <w:rsid w:val="36F05603"/>
    <w:rsid w:val="37011ADE"/>
    <w:rsid w:val="370A7DC3"/>
    <w:rsid w:val="371E2EDE"/>
    <w:rsid w:val="3736727E"/>
    <w:rsid w:val="37C81DBD"/>
    <w:rsid w:val="37C81E89"/>
    <w:rsid w:val="3807391A"/>
    <w:rsid w:val="382944D3"/>
    <w:rsid w:val="38412EA7"/>
    <w:rsid w:val="3881742D"/>
    <w:rsid w:val="38891E78"/>
    <w:rsid w:val="38902FA0"/>
    <w:rsid w:val="38A31D44"/>
    <w:rsid w:val="39141C1C"/>
    <w:rsid w:val="3921228E"/>
    <w:rsid w:val="3966130E"/>
    <w:rsid w:val="399B46B3"/>
    <w:rsid w:val="39DD62B6"/>
    <w:rsid w:val="3ACB7F90"/>
    <w:rsid w:val="3B072F57"/>
    <w:rsid w:val="3B20012B"/>
    <w:rsid w:val="3B2F61DB"/>
    <w:rsid w:val="3B384589"/>
    <w:rsid w:val="3B621A3E"/>
    <w:rsid w:val="3B754164"/>
    <w:rsid w:val="3BBF4364"/>
    <w:rsid w:val="3BD80AAE"/>
    <w:rsid w:val="3BE5505D"/>
    <w:rsid w:val="3BF771A8"/>
    <w:rsid w:val="3C485278"/>
    <w:rsid w:val="3CBC3660"/>
    <w:rsid w:val="3CD10823"/>
    <w:rsid w:val="3CF046DC"/>
    <w:rsid w:val="3D204617"/>
    <w:rsid w:val="3D825913"/>
    <w:rsid w:val="3D88478B"/>
    <w:rsid w:val="3D9B52CD"/>
    <w:rsid w:val="3DC348D7"/>
    <w:rsid w:val="3E1D32D4"/>
    <w:rsid w:val="3E355DFF"/>
    <w:rsid w:val="3E443946"/>
    <w:rsid w:val="3E87353D"/>
    <w:rsid w:val="3EA0625E"/>
    <w:rsid w:val="3F9B25E0"/>
    <w:rsid w:val="4009035C"/>
    <w:rsid w:val="406F7222"/>
    <w:rsid w:val="409F7145"/>
    <w:rsid w:val="41465248"/>
    <w:rsid w:val="415F3846"/>
    <w:rsid w:val="4167712F"/>
    <w:rsid w:val="41E723B8"/>
    <w:rsid w:val="42223684"/>
    <w:rsid w:val="429D3218"/>
    <w:rsid w:val="42CB34B5"/>
    <w:rsid w:val="42F518D8"/>
    <w:rsid w:val="42F770C4"/>
    <w:rsid w:val="42F81988"/>
    <w:rsid w:val="432B2EF5"/>
    <w:rsid w:val="434F4477"/>
    <w:rsid w:val="43690DBA"/>
    <w:rsid w:val="439A00CB"/>
    <w:rsid w:val="43E75ADC"/>
    <w:rsid w:val="440C3D8F"/>
    <w:rsid w:val="441663A9"/>
    <w:rsid w:val="44577D8F"/>
    <w:rsid w:val="449D1FC8"/>
    <w:rsid w:val="44C64B1B"/>
    <w:rsid w:val="44D82B90"/>
    <w:rsid w:val="44FE14DD"/>
    <w:rsid w:val="450F194A"/>
    <w:rsid w:val="450F66F9"/>
    <w:rsid w:val="452C2372"/>
    <w:rsid w:val="45366C57"/>
    <w:rsid w:val="45E078D7"/>
    <w:rsid w:val="45EF1C1D"/>
    <w:rsid w:val="45FA2555"/>
    <w:rsid w:val="465E7D59"/>
    <w:rsid w:val="469015BF"/>
    <w:rsid w:val="46E52575"/>
    <w:rsid w:val="48173C15"/>
    <w:rsid w:val="48372E95"/>
    <w:rsid w:val="483F2C5B"/>
    <w:rsid w:val="48BE603A"/>
    <w:rsid w:val="48F13107"/>
    <w:rsid w:val="490A0576"/>
    <w:rsid w:val="49155288"/>
    <w:rsid w:val="49333CC6"/>
    <w:rsid w:val="49471AEB"/>
    <w:rsid w:val="498B586D"/>
    <w:rsid w:val="49D9751A"/>
    <w:rsid w:val="49EB1918"/>
    <w:rsid w:val="49F15EEE"/>
    <w:rsid w:val="4A0137C3"/>
    <w:rsid w:val="4A554619"/>
    <w:rsid w:val="4A592368"/>
    <w:rsid w:val="4A690A38"/>
    <w:rsid w:val="4B913583"/>
    <w:rsid w:val="4BD26F87"/>
    <w:rsid w:val="4C067AEC"/>
    <w:rsid w:val="4C541529"/>
    <w:rsid w:val="4C900B45"/>
    <w:rsid w:val="4C9973EF"/>
    <w:rsid w:val="4D715CD3"/>
    <w:rsid w:val="4DAB7D9B"/>
    <w:rsid w:val="4DDB64B6"/>
    <w:rsid w:val="4DFF309F"/>
    <w:rsid w:val="4E021E01"/>
    <w:rsid w:val="4E2D47C2"/>
    <w:rsid w:val="4E3E618B"/>
    <w:rsid w:val="4E421F8C"/>
    <w:rsid w:val="4E466FF7"/>
    <w:rsid w:val="4E6007B4"/>
    <w:rsid w:val="4E7D3D97"/>
    <w:rsid w:val="4E84570A"/>
    <w:rsid w:val="4E9E16FF"/>
    <w:rsid w:val="4F2647BA"/>
    <w:rsid w:val="4F746A4E"/>
    <w:rsid w:val="4F7E48BE"/>
    <w:rsid w:val="4FA73D65"/>
    <w:rsid w:val="4FC6067D"/>
    <w:rsid w:val="50323D90"/>
    <w:rsid w:val="50354C02"/>
    <w:rsid w:val="50A92108"/>
    <w:rsid w:val="50AB1579"/>
    <w:rsid w:val="51BA4584"/>
    <w:rsid w:val="523532B8"/>
    <w:rsid w:val="52440A67"/>
    <w:rsid w:val="524C0784"/>
    <w:rsid w:val="52672B1C"/>
    <w:rsid w:val="52A70535"/>
    <w:rsid w:val="52CA2E5D"/>
    <w:rsid w:val="530F24FD"/>
    <w:rsid w:val="534758B1"/>
    <w:rsid w:val="537F47E5"/>
    <w:rsid w:val="53A02362"/>
    <w:rsid w:val="53A7353E"/>
    <w:rsid w:val="53A95AF3"/>
    <w:rsid w:val="5405395E"/>
    <w:rsid w:val="54282C3B"/>
    <w:rsid w:val="54A47857"/>
    <w:rsid w:val="54BB76DE"/>
    <w:rsid w:val="54E92BF7"/>
    <w:rsid w:val="55075963"/>
    <w:rsid w:val="552D158F"/>
    <w:rsid w:val="553F1591"/>
    <w:rsid w:val="554F61AB"/>
    <w:rsid w:val="55637CCD"/>
    <w:rsid w:val="559169F5"/>
    <w:rsid w:val="55E6356A"/>
    <w:rsid w:val="56094AFF"/>
    <w:rsid w:val="56382140"/>
    <w:rsid w:val="567C27AF"/>
    <w:rsid w:val="56831CA4"/>
    <w:rsid w:val="56B516A3"/>
    <w:rsid w:val="56D86634"/>
    <w:rsid w:val="56DA58D8"/>
    <w:rsid w:val="56DA617E"/>
    <w:rsid w:val="573004A9"/>
    <w:rsid w:val="57321E92"/>
    <w:rsid w:val="574B0546"/>
    <w:rsid w:val="58353010"/>
    <w:rsid w:val="583E6F58"/>
    <w:rsid w:val="5867797B"/>
    <w:rsid w:val="58D75E75"/>
    <w:rsid w:val="5901452A"/>
    <w:rsid w:val="591E3D66"/>
    <w:rsid w:val="59596B49"/>
    <w:rsid w:val="597277B7"/>
    <w:rsid w:val="59946640"/>
    <w:rsid w:val="59C10549"/>
    <w:rsid w:val="5A877CA5"/>
    <w:rsid w:val="5A9D6065"/>
    <w:rsid w:val="5AA44D9D"/>
    <w:rsid w:val="5ABE1386"/>
    <w:rsid w:val="5AC42E96"/>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DA14186"/>
    <w:rsid w:val="5DC0337C"/>
    <w:rsid w:val="5DC46C86"/>
    <w:rsid w:val="5E1F2A17"/>
    <w:rsid w:val="5E622347"/>
    <w:rsid w:val="5E875A2E"/>
    <w:rsid w:val="5EAA4771"/>
    <w:rsid w:val="5EE15267"/>
    <w:rsid w:val="5F0F31F2"/>
    <w:rsid w:val="5F340010"/>
    <w:rsid w:val="5FDF00F2"/>
    <w:rsid w:val="5FF000B6"/>
    <w:rsid w:val="5FF374B8"/>
    <w:rsid w:val="60012AE3"/>
    <w:rsid w:val="603C42B1"/>
    <w:rsid w:val="603E20F5"/>
    <w:rsid w:val="605A6F1D"/>
    <w:rsid w:val="605D3731"/>
    <w:rsid w:val="60636240"/>
    <w:rsid w:val="607D4C9D"/>
    <w:rsid w:val="613100ED"/>
    <w:rsid w:val="61890CD1"/>
    <w:rsid w:val="619337A7"/>
    <w:rsid w:val="61B348FC"/>
    <w:rsid w:val="61BA75C6"/>
    <w:rsid w:val="61EF6E2B"/>
    <w:rsid w:val="61FD3095"/>
    <w:rsid w:val="620F11A8"/>
    <w:rsid w:val="627055D0"/>
    <w:rsid w:val="62835C3F"/>
    <w:rsid w:val="62A83A72"/>
    <w:rsid w:val="62A96066"/>
    <w:rsid w:val="62B10949"/>
    <w:rsid w:val="62F87AA9"/>
    <w:rsid w:val="630C619C"/>
    <w:rsid w:val="637271E5"/>
    <w:rsid w:val="637D2B0E"/>
    <w:rsid w:val="638C1B09"/>
    <w:rsid w:val="642D05AD"/>
    <w:rsid w:val="643C5528"/>
    <w:rsid w:val="64582AE7"/>
    <w:rsid w:val="64EF00CA"/>
    <w:rsid w:val="64F03018"/>
    <w:rsid w:val="652A1A23"/>
    <w:rsid w:val="652C6BB4"/>
    <w:rsid w:val="65300F0B"/>
    <w:rsid w:val="65654809"/>
    <w:rsid w:val="658D5DBC"/>
    <w:rsid w:val="65BB7AE3"/>
    <w:rsid w:val="65F84CBD"/>
    <w:rsid w:val="66051AA6"/>
    <w:rsid w:val="66070380"/>
    <w:rsid w:val="6644035E"/>
    <w:rsid w:val="666F2DBD"/>
    <w:rsid w:val="66E06999"/>
    <w:rsid w:val="67181F6F"/>
    <w:rsid w:val="673E7D38"/>
    <w:rsid w:val="677D5E3A"/>
    <w:rsid w:val="67A34553"/>
    <w:rsid w:val="67B74170"/>
    <w:rsid w:val="67BC191A"/>
    <w:rsid w:val="67C5544E"/>
    <w:rsid w:val="67C96A31"/>
    <w:rsid w:val="682A78AE"/>
    <w:rsid w:val="68740A81"/>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BC096E"/>
    <w:rsid w:val="6AD62F5D"/>
    <w:rsid w:val="6B001F91"/>
    <w:rsid w:val="6B235A6E"/>
    <w:rsid w:val="6B29226B"/>
    <w:rsid w:val="6B752482"/>
    <w:rsid w:val="6BAB78B6"/>
    <w:rsid w:val="6BC6342C"/>
    <w:rsid w:val="6C0738B5"/>
    <w:rsid w:val="6C2B6F4C"/>
    <w:rsid w:val="6C576145"/>
    <w:rsid w:val="6C5D3CA5"/>
    <w:rsid w:val="6CA02DA0"/>
    <w:rsid w:val="6CA4550A"/>
    <w:rsid w:val="6CB47657"/>
    <w:rsid w:val="6D7F22DE"/>
    <w:rsid w:val="6D843218"/>
    <w:rsid w:val="6D88252F"/>
    <w:rsid w:val="6DB961EA"/>
    <w:rsid w:val="6DBC25BB"/>
    <w:rsid w:val="6DDC6948"/>
    <w:rsid w:val="6DEF229A"/>
    <w:rsid w:val="6DFA37E0"/>
    <w:rsid w:val="6E062848"/>
    <w:rsid w:val="6EA52E0F"/>
    <w:rsid w:val="6ED94E6A"/>
    <w:rsid w:val="6EFC3AD2"/>
    <w:rsid w:val="6F20257D"/>
    <w:rsid w:val="6F27023E"/>
    <w:rsid w:val="6F5A036D"/>
    <w:rsid w:val="6F7E6BFA"/>
    <w:rsid w:val="6FF244EE"/>
    <w:rsid w:val="70722970"/>
    <w:rsid w:val="70BC3D1C"/>
    <w:rsid w:val="70CD5DF8"/>
    <w:rsid w:val="70D867D7"/>
    <w:rsid w:val="70E00B3A"/>
    <w:rsid w:val="711E1822"/>
    <w:rsid w:val="71AD1A11"/>
    <w:rsid w:val="71CE3292"/>
    <w:rsid w:val="7246101E"/>
    <w:rsid w:val="73047586"/>
    <w:rsid w:val="732E4172"/>
    <w:rsid w:val="73324D3B"/>
    <w:rsid w:val="7367330D"/>
    <w:rsid w:val="73ED481B"/>
    <w:rsid w:val="73F6610F"/>
    <w:rsid w:val="73F875E0"/>
    <w:rsid w:val="745B15A5"/>
    <w:rsid w:val="749554B1"/>
    <w:rsid w:val="74B538E2"/>
    <w:rsid w:val="74C1388B"/>
    <w:rsid w:val="74E96D2E"/>
    <w:rsid w:val="74F50EE5"/>
    <w:rsid w:val="752C11BA"/>
    <w:rsid w:val="753A5360"/>
    <w:rsid w:val="755D4A76"/>
    <w:rsid w:val="75654726"/>
    <w:rsid w:val="756E35C3"/>
    <w:rsid w:val="758D06F9"/>
    <w:rsid w:val="759F2489"/>
    <w:rsid w:val="763A233F"/>
    <w:rsid w:val="76514B2D"/>
    <w:rsid w:val="766B0FCA"/>
    <w:rsid w:val="767315CE"/>
    <w:rsid w:val="768C2B9E"/>
    <w:rsid w:val="769314D7"/>
    <w:rsid w:val="76AF3153"/>
    <w:rsid w:val="76EF3015"/>
    <w:rsid w:val="770A22BD"/>
    <w:rsid w:val="77206712"/>
    <w:rsid w:val="78B21BAD"/>
    <w:rsid w:val="796037E3"/>
    <w:rsid w:val="798716FB"/>
    <w:rsid w:val="7A350C3F"/>
    <w:rsid w:val="7A5F008E"/>
    <w:rsid w:val="7A787C58"/>
    <w:rsid w:val="7A877BEA"/>
    <w:rsid w:val="7AD5685D"/>
    <w:rsid w:val="7B303128"/>
    <w:rsid w:val="7B327557"/>
    <w:rsid w:val="7B7D5529"/>
    <w:rsid w:val="7B922A33"/>
    <w:rsid w:val="7BBB6B7C"/>
    <w:rsid w:val="7C230993"/>
    <w:rsid w:val="7C6A1D0E"/>
    <w:rsid w:val="7C7444FB"/>
    <w:rsid w:val="7C9039E2"/>
    <w:rsid w:val="7C9D227B"/>
    <w:rsid w:val="7CA86CF2"/>
    <w:rsid w:val="7CC13C8D"/>
    <w:rsid w:val="7D0B69B1"/>
    <w:rsid w:val="7D4321F2"/>
    <w:rsid w:val="7D905972"/>
    <w:rsid w:val="7DBF7AC8"/>
    <w:rsid w:val="7DDB1BEC"/>
    <w:rsid w:val="7E24511E"/>
    <w:rsid w:val="7E2F4364"/>
    <w:rsid w:val="7E3C6B52"/>
    <w:rsid w:val="7E7A711F"/>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3752</Words>
  <Characters>4055</Characters>
  <Lines>21</Lines>
  <Paragraphs>6</Paragraphs>
  <TotalTime>1</TotalTime>
  <ScaleCrop>false</ScaleCrop>
  <LinksUpToDate>false</LinksUpToDate>
  <CharactersWithSpaces>4055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2026-02-28T10:22:11Z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CF4E75EBA3124214906398A548F3FC54</vt:lpwstr>
  </property>
  <property fmtid="{D5CDD505-2E9C-101B-9397-08002B2CF9AE}" pid="4" name="KSOTemplateDocerSaveRecord">
    <vt:lpwstr>eyJoZGlkIjoiNTg3NzA1MzM2MzBiNzQwMzFiMjE0NjdhN2Y5ODNjMGUiLCJ1c2VySWQiOiI0NDQzMjQ2MTIifQ==</vt:lpwstr>
  </property>
</Properties>
</file>