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关于中央、自治区提前下达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伊吾县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2026年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财政衔接推进乡村振兴补助资金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安排使用情况公示公告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伊吾县收到中央提前下达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财政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衔接推进乡村振兴补助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资金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3453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自治区提前下达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财政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衔接推进乡村振兴补助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资金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1176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按照伊吾县下列文件的批复内容：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00"/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《关于提前下达2026年中央财政衔接推进乡村振兴补助资金分配计划的通知》伊党农领字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3453万元。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《关于下达2026年自治区财政衔接推进乡村振兴补助资金分配计划的通知》伊党农领字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1176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万元。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现将有关资金安排使用情况公示如下：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一、资金来源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1.中央财政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衔接推进乡村振兴补助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资金：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3453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2.自治区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财政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衔接推进乡村振兴补助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资金：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1176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二、资金安排使用原则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新疆维吾尔自治区财政衔接推进乡村振兴补助资金管理办法》（新财规〔2021〕11号）规定和市级《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关于提前下达202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年中央财政衔接推进乡村振兴补助资金预算的通知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》（哈市财振〔2025〕4号）、市级《关于提前下达2026年自治区财政衔接推进乡村振兴补助资金预算的预算的通知》（哈市财振〔2025〕5号）等文件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的要求，经县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乡村振兴领导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小组研究确定，结合项目准备情况，按照以下原则安排使用资金。</w:t>
      </w:r>
    </w:p>
    <w:p>
      <w:pPr>
        <w:keepNext w:val="0"/>
        <w:keepLines w:val="0"/>
        <w:pageBreakBefore w:val="0"/>
        <w:widowControl/>
        <w:pBdr>
          <w:bottom w:val="single" w:color="FFFFFF" w:sz="4" w:space="3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一是按照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中央和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自治区的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关于更多依靠产业发展巩固脱贫攻坚成果的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要求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衔接资金用于相关任务方向的资金要继续优先支持产业发展。</w:t>
      </w:r>
    </w:p>
    <w:p>
      <w:pPr>
        <w:keepNext w:val="0"/>
        <w:keepLines w:val="0"/>
        <w:pageBreakBefore w:val="0"/>
        <w:widowControl/>
        <w:pBdr>
          <w:bottom w:val="single" w:color="FFFFFF" w:sz="4" w:space="3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二是按照“两上两下”工作程序，根据乡(镇)人民政府所上报的项目计划，通过组织行业部门评估审查，确定中央财政衔接推进乡村振兴补助资金支出方向的年度项目计划，确保项目能够有效落地、安排精准。</w:t>
      </w:r>
    </w:p>
    <w:p>
      <w:pPr>
        <w:keepNext w:val="0"/>
        <w:keepLines w:val="0"/>
        <w:pageBreakBefore w:val="0"/>
        <w:widowControl/>
        <w:pBdr>
          <w:bottom w:val="single" w:color="FFFFFF" w:sz="4" w:space="3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三、资金安排使用情况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096"/>
        <w:gridCol w:w="1620"/>
        <w:gridCol w:w="930"/>
        <w:gridCol w:w="19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</w:rPr>
              <w:t>20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  <w:lang w:val="en-US" w:eastAsia="zh-CN"/>
              </w:rPr>
              <w:t>26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</w:rPr>
              <w:t>年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  <w:lang w:val="en-US" w:eastAsia="zh-CN"/>
              </w:rPr>
              <w:t>乡村振兴补助资金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</w:rPr>
              <w:t>安排使用情况表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规模（万元）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哈密市伊吾县有机循环牧草厂房建设项目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哈密市伊吾县有机肥生产加工场建设项目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前山哈萨克民族乡人民政府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哈密市伊吾县淖毛湖镇农产品批发市场建设项目（二期）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淖毛湖镇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淖毛湖镇人民政府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哈密市伊吾县下马崖乡水利设施改造项目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下马崖乡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下马崖乡人民政府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哈密市伊吾县下马崖虎头崖引水工程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下马崖乡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下马崖乡人民政府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default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哈密市伊吾县沙棘新品种工厂化繁育及区域品牌建设项目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default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哈密市伊吾县低氟边销茶购置项目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各乡（镇）开发区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县委统战部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default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哈密市伊吾县山南开发区无动力生活污水处理设备购置安装项目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山南开发区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山南开发区管理委员会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default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哈密市伊吾县下马崖乡养殖基地配套设施建设项目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下马崖乡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下马崖乡人民政府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default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哈密市伊吾县乡村建设管护员岗位补贴项目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各乡（镇）开发区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备注：具体项目建设情况由责任单位另行公告公示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四、监督电话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局项目管理办公室：6720732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财政局：672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1114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伊吾县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乡村振兴局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伊吾县财政局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                    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62AE3"/>
    <w:rsid w:val="00445D4D"/>
    <w:rsid w:val="024239BD"/>
    <w:rsid w:val="033F5836"/>
    <w:rsid w:val="03AE6973"/>
    <w:rsid w:val="04947070"/>
    <w:rsid w:val="05862AE3"/>
    <w:rsid w:val="094B299B"/>
    <w:rsid w:val="09F27437"/>
    <w:rsid w:val="0BDF24A9"/>
    <w:rsid w:val="0E864D6F"/>
    <w:rsid w:val="0EF43B98"/>
    <w:rsid w:val="11CB12F5"/>
    <w:rsid w:val="12047807"/>
    <w:rsid w:val="126A0C96"/>
    <w:rsid w:val="12D946EC"/>
    <w:rsid w:val="15AE095E"/>
    <w:rsid w:val="16FE6023"/>
    <w:rsid w:val="192A33D5"/>
    <w:rsid w:val="1BE72793"/>
    <w:rsid w:val="1C753A1F"/>
    <w:rsid w:val="1D165036"/>
    <w:rsid w:val="1E635FBB"/>
    <w:rsid w:val="21156894"/>
    <w:rsid w:val="212538BB"/>
    <w:rsid w:val="21E84940"/>
    <w:rsid w:val="22D8243B"/>
    <w:rsid w:val="26230D91"/>
    <w:rsid w:val="26897F02"/>
    <w:rsid w:val="29E84A60"/>
    <w:rsid w:val="2A106A73"/>
    <w:rsid w:val="2A2E484D"/>
    <w:rsid w:val="2AA91985"/>
    <w:rsid w:val="2D323D01"/>
    <w:rsid w:val="2DE43E77"/>
    <w:rsid w:val="306F044B"/>
    <w:rsid w:val="34D32335"/>
    <w:rsid w:val="368C170D"/>
    <w:rsid w:val="36A67CB7"/>
    <w:rsid w:val="36CA074A"/>
    <w:rsid w:val="3BD33EEE"/>
    <w:rsid w:val="3FCA712D"/>
    <w:rsid w:val="3FF22FB4"/>
    <w:rsid w:val="40B31079"/>
    <w:rsid w:val="40EA7F29"/>
    <w:rsid w:val="412C715B"/>
    <w:rsid w:val="45A25FDA"/>
    <w:rsid w:val="46C50374"/>
    <w:rsid w:val="47B159B8"/>
    <w:rsid w:val="4AE33A6B"/>
    <w:rsid w:val="4BA64AE4"/>
    <w:rsid w:val="4DA4383C"/>
    <w:rsid w:val="4F7B0C77"/>
    <w:rsid w:val="53461E3E"/>
    <w:rsid w:val="53AE26C3"/>
    <w:rsid w:val="561B517C"/>
    <w:rsid w:val="57A65C4C"/>
    <w:rsid w:val="5D294EF6"/>
    <w:rsid w:val="5D7710B9"/>
    <w:rsid w:val="5E3A7776"/>
    <w:rsid w:val="5F9A51D9"/>
    <w:rsid w:val="61F758C4"/>
    <w:rsid w:val="648029A2"/>
    <w:rsid w:val="64EE0A1C"/>
    <w:rsid w:val="65104B7A"/>
    <w:rsid w:val="66205ABD"/>
    <w:rsid w:val="666244FF"/>
    <w:rsid w:val="66C85325"/>
    <w:rsid w:val="691055B4"/>
    <w:rsid w:val="69827448"/>
    <w:rsid w:val="69942D01"/>
    <w:rsid w:val="6D910CBC"/>
    <w:rsid w:val="6DC70CC1"/>
    <w:rsid w:val="6FCC5652"/>
    <w:rsid w:val="72E12AF8"/>
    <w:rsid w:val="73CB0D06"/>
    <w:rsid w:val="78266DF8"/>
    <w:rsid w:val="79594812"/>
    <w:rsid w:val="7A367C17"/>
    <w:rsid w:val="7A8F7F1F"/>
    <w:rsid w:val="7CAF33B7"/>
    <w:rsid w:val="7CB555A8"/>
    <w:rsid w:val="7E52180B"/>
    <w:rsid w:val="7EE97EF2"/>
    <w:rsid w:val="7F012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2021-05-21T03:04:00Z</dcterms:created>
  <dc:creator>柳孔孔</dc:creator>
  <cp:lastModifiedBy>Administrator</cp:lastModifiedBy>
  <cp:lastPrinted>2023-10-16T09:16:00Z</cp:lastPrinted>
  <dcterms:modified xsi:type="dcterms:W3CDTF">2026-04-17T09:44:15Z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8E502BBDDDD74C15BBA749D5650AD5DE</vt:lpwstr>
  </property>
</Properties>
</file>