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关于中央、自治区提前下达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伊吾县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财政衔接推进乡村振兴补助资金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安排使用情况公示公告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伊吾县收到中央提前下达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3453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自治区提前下达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1176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按照伊吾县下列文件的批复内容：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《关于提前下达2026年中央财政衔接推进乡村振兴补助资金分配计划的通知》伊党农领字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 xml:space="preserve">3453万元。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《关于下达2026年自治区财政衔接推进乡村振兴补助资金分配计划的通知》伊党农领字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1176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万元。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现将有关资金安排使用情况公示如下：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一、资金来源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1.中央财政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3453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2.自治区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1176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二、资金安排使用原则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新疆维吾尔自治区财政衔接推进乡村振兴补助资金管理办法》（新财规〔2021〕11号）规定和市级《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关于提前下达202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年中央财政衔接推进乡村振兴补助资金预算的通知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》（哈市财振〔2025〕4号）、市级《关于提前下达2026年自治区财政衔接推进乡村振兴补助资金预算的预算的通知》（哈市财振〔2025〕5号）等文件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的要求，经县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乡村振兴领导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小组研究确定，结合项目准备情况，按照以下原则安排使用资金。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一是按照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中央和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自治区的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关于更多依靠产业发展巩固脱贫攻坚成果的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衔接资金用于相关任务方向的资金要继续优先支持产业发展。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二是按照“两上两下”工作程序，根据乡(镇)人民政府所上报的项目计划，通过组织行业部门评估审查，确定中央财政衔接推进乡村振兴补助资金支出方向的年度项目计划，确保项目能够有效落地、安排精准。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三、资金安排使用情况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96"/>
        <w:gridCol w:w="1620"/>
        <w:gridCol w:w="930"/>
        <w:gridCol w:w="1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20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26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年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乡村振兴补助资金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安排使用情况表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哈密市伊吾县驼奶加工厂扩产提升配套设施建设项目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前山哈萨克民族乡人民政府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哈密市伊吾县淖毛湖镇农产品批发市场建设项目（一期）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哈密市伊吾县山南开发区井式滴灌节水建设项目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山南开发区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山南开发区管委会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哈密市伊吾县盐池镇骆驼养殖示范园配套设施项目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哈密市伊吾县低氟边销茶购置项目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伊吾县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县委统战部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哈密市伊吾县淖毛湖开发区二村农贸市场提升改造项目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淖毛湖镇人民政府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哈密市伊吾县吐葫芦乡文旅融合配套基础设施建设项目（宜居宜业村）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吐葫芦乡甘沟村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吐葫芦乡人民政府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哈密市伊吾县乡村建设管护员岗位补贴项目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各乡镇（开发区）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备注：具体项目建设情况由责任单位另行公告公示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四、监督电话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局项目管理办公室：6720732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财政局：672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0161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监督举报电话：6728911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伊吾县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乡村振兴局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伊吾县财政局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                    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62AE3"/>
    <w:rsid w:val="00445D4D"/>
    <w:rsid w:val="024239BD"/>
    <w:rsid w:val="033F5836"/>
    <w:rsid w:val="03AE6973"/>
    <w:rsid w:val="04947070"/>
    <w:rsid w:val="05862AE3"/>
    <w:rsid w:val="094B299B"/>
    <w:rsid w:val="09F27437"/>
    <w:rsid w:val="0BDF24A9"/>
    <w:rsid w:val="0E864D6F"/>
    <w:rsid w:val="0ECF262B"/>
    <w:rsid w:val="0EF43B98"/>
    <w:rsid w:val="11CB12F5"/>
    <w:rsid w:val="12047807"/>
    <w:rsid w:val="126A0C96"/>
    <w:rsid w:val="12D946EC"/>
    <w:rsid w:val="15AE095E"/>
    <w:rsid w:val="16FE6023"/>
    <w:rsid w:val="192A33D5"/>
    <w:rsid w:val="1BE72793"/>
    <w:rsid w:val="1C753A1F"/>
    <w:rsid w:val="1D165036"/>
    <w:rsid w:val="1E635FBB"/>
    <w:rsid w:val="21156894"/>
    <w:rsid w:val="212538BB"/>
    <w:rsid w:val="21E84940"/>
    <w:rsid w:val="22D8243B"/>
    <w:rsid w:val="26230D91"/>
    <w:rsid w:val="26897F02"/>
    <w:rsid w:val="29E84A60"/>
    <w:rsid w:val="2A106A73"/>
    <w:rsid w:val="2A2E484D"/>
    <w:rsid w:val="2AA91985"/>
    <w:rsid w:val="2D323D01"/>
    <w:rsid w:val="2DE43E77"/>
    <w:rsid w:val="306F044B"/>
    <w:rsid w:val="34D32335"/>
    <w:rsid w:val="368C170D"/>
    <w:rsid w:val="36A67CB7"/>
    <w:rsid w:val="390A39DD"/>
    <w:rsid w:val="3BD33EEE"/>
    <w:rsid w:val="3FCA712D"/>
    <w:rsid w:val="3FF22FB4"/>
    <w:rsid w:val="40B31079"/>
    <w:rsid w:val="40EA7F29"/>
    <w:rsid w:val="412C715B"/>
    <w:rsid w:val="45A25FDA"/>
    <w:rsid w:val="46C50374"/>
    <w:rsid w:val="47B159B8"/>
    <w:rsid w:val="4AE33A6B"/>
    <w:rsid w:val="4BA64AE4"/>
    <w:rsid w:val="4DA4383C"/>
    <w:rsid w:val="4F7B0C77"/>
    <w:rsid w:val="53AE26C3"/>
    <w:rsid w:val="561B517C"/>
    <w:rsid w:val="57A65C4C"/>
    <w:rsid w:val="5D294EF6"/>
    <w:rsid w:val="5D7710B9"/>
    <w:rsid w:val="5E3A7776"/>
    <w:rsid w:val="5F9A51D9"/>
    <w:rsid w:val="648029A2"/>
    <w:rsid w:val="64EE0A1C"/>
    <w:rsid w:val="65104B7A"/>
    <w:rsid w:val="66205ABD"/>
    <w:rsid w:val="666244FF"/>
    <w:rsid w:val="66C85325"/>
    <w:rsid w:val="691055B4"/>
    <w:rsid w:val="69827448"/>
    <w:rsid w:val="69942D01"/>
    <w:rsid w:val="6D910CBC"/>
    <w:rsid w:val="6DC70CC1"/>
    <w:rsid w:val="6FCC5652"/>
    <w:rsid w:val="73CB0D06"/>
    <w:rsid w:val="78266DF8"/>
    <w:rsid w:val="79594812"/>
    <w:rsid w:val="7A367C17"/>
    <w:rsid w:val="7A8F7F1F"/>
    <w:rsid w:val="7CAF33B7"/>
    <w:rsid w:val="7E52180B"/>
    <w:rsid w:val="7EE97EF2"/>
    <w:rsid w:val="7F012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2021-05-21T03:04:00Z</dcterms:created>
  <dc:creator>柳孔孔</dc:creator>
  <cp:lastModifiedBy>123</cp:lastModifiedBy>
  <cp:lastPrinted>2023-10-16T09:16:00Z</cp:lastPrinted>
  <dcterms:modified xsi:type="dcterms:W3CDTF">2026-03-02T08:53:37Z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8E502BBDDDD74C15BBA749D5650AD5DE</vt:lpwstr>
  </property>
</Properties>
</file>