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color w:val="auto"/>
          <w:sz w:val="32"/>
          <w:szCs w:val="32"/>
          <w:lang w:bidi="ar"/>
        </w:rPr>
      </w:pPr>
    </w:p>
    <w:p>
      <w:pPr>
        <w:rPr>
          <w:rFonts w:ascii="仿宋_GB2312" w:hAnsi="仿宋_GB2312" w:eastAsia="仿宋_GB2312" w:cs="仿宋_GB2312"/>
          <w:color w:val="auto"/>
          <w:sz w:val="32"/>
          <w:szCs w:val="32"/>
          <w:lang w:bidi="ar"/>
        </w:rPr>
      </w:pPr>
    </w:p>
    <w:p>
      <w:pPr>
        <w:rPr>
          <w:rFonts w:ascii="仿宋_GB2312" w:hAnsi="仿宋_GB2312" w:eastAsia="仿宋_GB2312" w:cs="仿宋_GB2312"/>
          <w:color w:val="auto"/>
          <w:sz w:val="32"/>
          <w:szCs w:val="32"/>
          <w:lang w:bidi="ar"/>
        </w:rPr>
      </w:pPr>
    </w:p>
    <w:p>
      <w:pPr>
        <w:rPr>
          <w:rFonts w:ascii="仿宋_GB2312" w:hAnsi="仿宋_GB2312" w:eastAsia="仿宋_GB2312" w:cs="仿宋_GB2312"/>
          <w:b/>
          <w:bCs/>
          <w:color w:val="auto"/>
          <w:sz w:val="44"/>
          <w:szCs w:val="44"/>
          <w:lang w:bidi="ar"/>
        </w:rPr>
      </w:pPr>
    </w:p>
    <w:p>
      <w:pPr>
        <w:widowControl/>
        <w:jc w:val="center"/>
        <w:rPr>
          <w:rFonts w:ascii="仿宋_GB2312" w:hAnsi="仿宋_GB2312" w:eastAsia="仿宋_GB2312" w:cs="仿宋_GB2312"/>
          <w:b/>
          <w:bCs/>
          <w:color w:val="auto"/>
          <w:sz w:val="44"/>
          <w:szCs w:val="44"/>
          <w:lang w:bidi="ar"/>
        </w:rPr>
      </w:pPr>
      <w:r>
        <w:rPr>
          <w:rFonts w:hint="eastAsia" w:ascii="仿宋_GB2312" w:hAnsi="仿宋_GB2312" w:eastAsia="仿宋_GB2312" w:cs="仿宋_GB2312"/>
          <w:b/>
          <w:bCs/>
          <w:color w:val="auto"/>
          <w:sz w:val="44"/>
          <w:szCs w:val="44"/>
          <w:lang w:eastAsia="zh-CN" w:bidi="ar"/>
        </w:rPr>
        <w:t>伊吾县医疗保障局</w:t>
      </w:r>
      <w:r>
        <w:rPr>
          <w:rFonts w:hint="eastAsia" w:ascii="仿宋_GB2312" w:hAnsi="仿宋_GB2312" w:eastAsia="仿宋_GB2312" w:cs="仿宋_GB2312"/>
          <w:b/>
          <w:bCs/>
          <w:color w:val="auto"/>
          <w:sz w:val="44"/>
          <w:szCs w:val="44"/>
          <w:lang w:bidi="ar"/>
        </w:rPr>
        <w:t>部门单位</w:t>
      </w:r>
    </w:p>
    <w:p>
      <w:pPr>
        <w:widowControl/>
        <w:jc w:val="center"/>
        <w:rPr>
          <w:rFonts w:ascii="仿宋_GB2312" w:hAnsi="仿宋_GB2312" w:eastAsia="仿宋_GB2312" w:cs="仿宋_GB2312"/>
          <w:b/>
          <w:bCs/>
          <w:color w:val="auto"/>
          <w:sz w:val="44"/>
          <w:szCs w:val="44"/>
          <w:lang w:bidi="ar"/>
        </w:rPr>
      </w:pPr>
      <w:r>
        <w:rPr>
          <w:rFonts w:hint="eastAsia" w:ascii="仿宋_GB2312" w:hAnsi="仿宋_GB2312" w:eastAsia="仿宋_GB2312" w:cs="仿宋_GB2312"/>
          <w:b/>
          <w:bCs/>
          <w:color w:val="auto"/>
          <w:sz w:val="44"/>
          <w:szCs w:val="44"/>
          <w:lang w:bidi="ar"/>
        </w:rPr>
        <w:t>整体支出绩效自评报告</w:t>
      </w:r>
    </w:p>
    <w:p>
      <w:pPr>
        <w:rPr>
          <w:rFonts w:ascii="仿宋_GB2312" w:hAnsi="仿宋_GB2312" w:eastAsia="仿宋_GB2312" w:cs="仿宋_GB2312"/>
          <w:b/>
          <w:bCs/>
          <w:color w:val="auto"/>
          <w:sz w:val="44"/>
          <w:szCs w:val="44"/>
          <w:lang w:bidi="ar"/>
        </w:rPr>
      </w:pPr>
      <w:r>
        <w:rPr>
          <w:rFonts w:hint="eastAsia" w:ascii="仿宋_GB2312" w:hAnsi="仿宋_GB2312" w:eastAsia="仿宋_GB2312" w:cs="仿宋_GB2312"/>
          <w:b/>
          <w:bCs/>
          <w:color w:val="auto"/>
          <w:sz w:val="44"/>
          <w:szCs w:val="44"/>
          <w:lang w:bidi="ar"/>
        </w:rPr>
        <w:t xml:space="preserve">              </w:t>
      </w:r>
    </w:p>
    <w:p>
      <w:pPr>
        <w:widowControl/>
        <w:ind w:firstLine="2200"/>
        <w:jc w:val="left"/>
        <w:rPr>
          <w:rFonts w:ascii="仿宋_GB2312" w:hAnsi="仿宋_GB2312" w:eastAsia="仿宋_GB2312" w:cs="仿宋_GB2312"/>
          <w:b/>
          <w:bCs/>
          <w:color w:val="auto"/>
          <w:sz w:val="44"/>
          <w:szCs w:val="44"/>
          <w:lang w:bidi="ar"/>
        </w:rPr>
      </w:pPr>
      <w:r>
        <w:rPr>
          <w:rFonts w:hint="eastAsia" w:ascii="仿宋_GB2312" w:hAnsi="仿宋_GB2312" w:eastAsia="仿宋_GB2312" w:cs="仿宋_GB2312"/>
          <w:b/>
          <w:bCs/>
          <w:color w:val="auto"/>
          <w:sz w:val="44"/>
          <w:szCs w:val="44"/>
          <w:lang w:bidi="ar"/>
        </w:rPr>
        <w:t xml:space="preserve"> （20</w:t>
      </w:r>
      <w:r>
        <w:rPr>
          <w:rFonts w:hint="eastAsia" w:ascii="仿宋_GB2312" w:hAnsi="仿宋_GB2312" w:eastAsia="仿宋_GB2312" w:cs="仿宋_GB2312"/>
          <w:b/>
          <w:bCs/>
          <w:color w:val="auto"/>
          <w:sz w:val="44"/>
          <w:szCs w:val="44"/>
          <w:lang w:val="en-US" w:eastAsia="zh-CN" w:bidi="ar"/>
        </w:rPr>
        <w:t>20</w:t>
      </w:r>
      <w:r>
        <w:rPr>
          <w:rFonts w:hint="eastAsia" w:ascii="仿宋_GB2312" w:hAnsi="仿宋_GB2312" w:eastAsia="仿宋_GB2312" w:cs="仿宋_GB2312"/>
          <w:b/>
          <w:bCs/>
          <w:color w:val="auto"/>
          <w:sz w:val="44"/>
          <w:szCs w:val="44"/>
          <w:lang w:bidi="ar"/>
        </w:rPr>
        <w:t>年度）</w:t>
      </w:r>
    </w:p>
    <w:p>
      <w:pPr>
        <w:rPr>
          <w:rFonts w:ascii="仿宋_GB2312" w:hAnsi="仿宋_GB2312" w:eastAsia="仿宋_GB2312" w:cs="仿宋_GB2312"/>
          <w:b/>
          <w:bCs/>
          <w:color w:val="auto"/>
          <w:sz w:val="44"/>
          <w:szCs w:val="44"/>
          <w:lang w:bidi="ar"/>
        </w:rPr>
      </w:pPr>
      <w:r>
        <w:rPr>
          <w:rFonts w:hint="eastAsia" w:ascii="仿宋_GB2312" w:hAnsi="仿宋_GB2312" w:eastAsia="仿宋_GB2312" w:cs="仿宋_GB2312"/>
          <w:b/>
          <w:bCs/>
          <w:color w:val="auto"/>
          <w:sz w:val="44"/>
          <w:szCs w:val="44"/>
          <w:lang w:bidi="ar"/>
        </w:rPr>
        <w:t xml:space="preserve">            </w:t>
      </w: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jc w:val="center"/>
        <w:rPr>
          <w:rFonts w:ascii="仿宋_GB2312" w:hAnsi="仿宋_GB2312" w:eastAsia="仿宋_GB2312" w:cs="仿宋_GB2312"/>
          <w:b/>
          <w:bCs/>
          <w:color w:val="auto"/>
          <w:sz w:val="44"/>
          <w:szCs w:val="44"/>
          <w:lang w:bidi="ar"/>
        </w:rPr>
      </w:pPr>
    </w:p>
    <w:p>
      <w:pPr>
        <w:ind w:firstLine="964" w:firstLineChars="300"/>
        <w:jc w:val="both"/>
        <w:rPr>
          <w:rFonts w:hint="eastAsia" w:ascii="仿宋_GB2312" w:hAnsi="仿宋_GB2312" w:eastAsia="仿宋_GB2312" w:cs="仿宋_GB2312"/>
          <w:b/>
          <w:bCs/>
          <w:color w:val="auto"/>
          <w:sz w:val="32"/>
          <w:szCs w:val="32"/>
          <w:lang w:eastAsia="zh-CN" w:bidi="ar"/>
        </w:rPr>
      </w:pPr>
      <w:r>
        <w:rPr>
          <w:rFonts w:hint="eastAsia" w:ascii="仿宋_GB2312" w:hAnsi="仿宋_GB2312" w:eastAsia="仿宋_GB2312" w:cs="仿宋_GB2312"/>
          <w:b/>
          <w:bCs/>
          <w:color w:val="auto"/>
          <w:sz w:val="32"/>
          <w:szCs w:val="32"/>
          <w:lang w:bidi="ar"/>
        </w:rPr>
        <w:t>部门单位名称（公章）：</w:t>
      </w:r>
      <w:r>
        <w:rPr>
          <w:rFonts w:hint="eastAsia" w:ascii="仿宋_GB2312" w:hAnsi="仿宋_GB2312" w:eastAsia="仿宋_GB2312" w:cs="仿宋_GB2312"/>
          <w:b/>
          <w:bCs/>
          <w:color w:val="auto"/>
          <w:sz w:val="32"/>
          <w:szCs w:val="32"/>
          <w:lang w:eastAsia="zh-CN" w:bidi="ar"/>
        </w:rPr>
        <w:t>伊吾县医疗保障局</w:t>
      </w:r>
    </w:p>
    <w:p>
      <w:pPr>
        <w:jc w:val="center"/>
        <w:rPr>
          <w:rFonts w:ascii="仿宋_GB2312" w:hAnsi="仿宋_GB2312" w:eastAsia="仿宋_GB2312" w:cs="仿宋_GB2312"/>
          <w:b/>
          <w:bCs/>
          <w:color w:val="auto"/>
          <w:sz w:val="32"/>
          <w:szCs w:val="32"/>
          <w:lang w:bidi="ar"/>
        </w:rPr>
      </w:pPr>
    </w:p>
    <w:p>
      <w:pPr>
        <w:jc w:val="center"/>
        <w:rPr>
          <w:rFonts w:ascii="仿宋_GB2312" w:hAnsi="仿宋_GB2312" w:eastAsia="仿宋_GB2312" w:cs="仿宋_GB2312"/>
          <w:b/>
          <w:bCs/>
          <w:color w:val="auto"/>
          <w:sz w:val="32"/>
          <w:szCs w:val="32"/>
          <w:lang w:bidi="ar"/>
        </w:rPr>
      </w:pPr>
    </w:p>
    <w:p>
      <w:pPr>
        <w:ind w:firstLine="964" w:firstLineChars="300"/>
        <w:jc w:val="both"/>
        <w:rPr>
          <w:rFonts w:ascii="仿宋_GB2312" w:hAnsi="仿宋_GB2312" w:eastAsia="仿宋_GB2312" w:cs="仿宋_GB2312"/>
          <w:b/>
          <w:bCs/>
          <w:color w:val="auto"/>
          <w:sz w:val="32"/>
          <w:szCs w:val="32"/>
          <w:lang w:bidi="ar"/>
        </w:rPr>
      </w:pPr>
      <w:r>
        <w:rPr>
          <w:rFonts w:hint="eastAsia" w:ascii="仿宋_GB2312" w:hAnsi="仿宋_GB2312" w:eastAsia="仿宋_GB2312" w:cs="仿宋_GB2312"/>
          <w:b/>
          <w:bCs/>
          <w:color w:val="auto"/>
          <w:sz w:val="32"/>
          <w:szCs w:val="32"/>
          <w:lang w:bidi="ar"/>
        </w:rPr>
        <w:t>填</w:t>
      </w:r>
      <w:r>
        <w:rPr>
          <w:rFonts w:hint="eastAsia" w:ascii="仿宋_GB2312" w:hAnsi="仿宋_GB2312" w:eastAsia="仿宋_GB2312" w:cs="仿宋_GB2312"/>
          <w:b/>
          <w:bCs/>
          <w:color w:val="auto"/>
          <w:sz w:val="32"/>
          <w:szCs w:val="32"/>
          <w:lang w:val="en-US" w:eastAsia="zh-CN" w:bidi="ar"/>
        </w:rPr>
        <w:t xml:space="preserve">    </w:t>
      </w:r>
      <w:r>
        <w:rPr>
          <w:rFonts w:hint="eastAsia" w:ascii="仿宋_GB2312" w:hAnsi="仿宋_GB2312" w:eastAsia="仿宋_GB2312" w:cs="仿宋_GB2312"/>
          <w:b/>
          <w:bCs/>
          <w:color w:val="auto"/>
          <w:sz w:val="32"/>
          <w:szCs w:val="32"/>
          <w:lang w:bidi="ar"/>
        </w:rPr>
        <w:t>报</w:t>
      </w:r>
      <w:r>
        <w:rPr>
          <w:rFonts w:hint="eastAsia" w:ascii="仿宋_GB2312" w:hAnsi="仿宋_GB2312" w:eastAsia="仿宋_GB2312" w:cs="仿宋_GB2312"/>
          <w:b/>
          <w:bCs/>
          <w:color w:val="auto"/>
          <w:sz w:val="32"/>
          <w:szCs w:val="32"/>
          <w:lang w:val="en-US" w:eastAsia="zh-CN" w:bidi="ar"/>
        </w:rPr>
        <w:t xml:space="preserve">    </w:t>
      </w:r>
      <w:r>
        <w:rPr>
          <w:rFonts w:hint="eastAsia" w:ascii="仿宋_GB2312" w:hAnsi="仿宋_GB2312" w:eastAsia="仿宋_GB2312" w:cs="仿宋_GB2312"/>
          <w:b/>
          <w:bCs/>
          <w:color w:val="auto"/>
          <w:sz w:val="32"/>
          <w:szCs w:val="32"/>
          <w:lang w:bidi="ar"/>
        </w:rPr>
        <w:t>时</w:t>
      </w:r>
      <w:r>
        <w:rPr>
          <w:rFonts w:hint="eastAsia" w:ascii="仿宋_GB2312" w:hAnsi="仿宋_GB2312" w:eastAsia="仿宋_GB2312" w:cs="仿宋_GB2312"/>
          <w:b/>
          <w:bCs/>
          <w:color w:val="auto"/>
          <w:sz w:val="32"/>
          <w:szCs w:val="32"/>
          <w:lang w:val="en-US" w:eastAsia="zh-CN" w:bidi="ar"/>
        </w:rPr>
        <w:t xml:space="preserve">    </w:t>
      </w:r>
      <w:r>
        <w:rPr>
          <w:rFonts w:hint="eastAsia" w:ascii="仿宋_GB2312" w:hAnsi="仿宋_GB2312" w:eastAsia="仿宋_GB2312" w:cs="仿宋_GB2312"/>
          <w:b/>
          <w:bCs/>
          <w:color w:val="auto"/>
          <w:sz w:val="32"/>
          <w:szCs w:val="32"/>
          <w:lang w:bidi="ar"/>
        </w:rPr>
        <w:t>间：202</w:t>
      </w:r>
      <w:r>
        <w:rPr>
          <w:rFonts w:hint="eastAsia" w:ascii="仿宋_GB2312" w:hAnsi="仿宋_GB2312" w:eastAsia="仿宋_GB2312" w:cs="仿宋_GB2312"/>
          <w:b/>
          <w:bCs/>
          <w:color w:val="auto"/>
          <w:sz w:val="32"/>
          <w:szCs w:val="32"/>
          <w:lang w:val="en-US" w:eastAsia="zh-CN" w:bidi="ar"/>
        </w:rPr>
        <w:t>1</w:t>
      </w:r>
      <w:r>
        <w:rPr>
          <w:rFonts w:hint="eastAsia" w:ascii="仿宋_GB2312" w:hAnsi="仿宋_GB2312" w:eastAsia="仿宋_GB2312" w:cs="仿宋_GB2312"/>
          <w:b/>
          <w:bCs/>
          <w:color w:val="auto"/>
          <w:sz w:val="32"/>
          <w:szCs w:val="32"/>
          <w:lang w:bidi="ar"/>
        </w:rPr>
        <w:t>年</w:t>
      </w:r>
      <w:r>
        <w:rPr>
          <w:rFonts w:hint="eastAsia" w:ascii="仿宋_GB2312" w:hAnsi="仿宋_GB2312" w:eastAsia="仿宋_GB2312" w:cs="仿宋_GB2312"/>
          <w:b/>
          <w:bCs/>
          <w:color w:val="auto"/>
          <w:sz w:val="32"/>
          <w:szCs w:val="32"/>
          <w:lang w:val="en-US" w:eastAsia="zh-CN" w:bidi="ar"/>
        </w:rPr>
        <w:t>4</w:t>
      </w:r>
      <w:r>
        <w:rPr>
          <w:rFonts w:hint="eastAsia" w:ascii="仿宋_GB2312" w:hAnsi="仿宋_GB2312" w:eastAsia="仿宋_GB2312" w:cs="仿宋_GB2312"/>
          <w:b/>
          <w:bCs/>
          <w:color w:val="auto"/>
          <w:sz w:val="32"/>
          <w:szCs w:val="32"/>
          <w:lang w:bidi="ar"/>
        </w:rPr>
        <w:t>月</w:t>
      </w:r>
    </w:p>
    <w:p>
      <w:pPr>
        <w:jc w:val="center"/>
        <w:rPr>
          <w:rFonts w:ascii="仿宋_GB2312" w:hAnsi="仿宋_GB2312" w:eastAsia="仿宋_GB2312" w:cs="仿宋_GB2312"/>
          <w:b/>
          <w:bCs/>
          <w:color w:val="auto"/>
          <w:sz w:val="48"/>
          <w:szCs w:val="48"/>
          <w:lang w:bidi="ar"/>
        </w:rPr>
      </w:pPr>
    </w:p>
    <w:p>
      <w:pPr>
        <w:jc w:val="cente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color w:val="auto"/>
          <w:sz w:val="32"/>
          <w:szCs w:val="32"/>
          <w:lang w:bidi="ar"/>
        </w:rPr>
      </w:pPr>
    </w:p>
    <w:p>
      <w:pPr>
        <w:rPr>
          <w:rFonts w:ascii="仿宋_GB2312" w:hAnsi="仿宋_GB2312" w:eastAsia="仿宋_GB2312" w:cs="仿宋_GB2312"/>
          <w:b/>
          <w:bCs/>
          <w:color w:val="auto"/>
          <w:sz w:val="44"/>
          <w:szCs w:val="44"/>
          <w:lang w:bidi="ar"/>
        </w:rPr>
      </w:pPr>
    </w:p>
    <w:p>
      <w:pPr>
        <w:rPr>
          <w:rFonts w:ascii="仿宋_GB2312" w:hAnsi="仿宋_GB2312" w:eastAsia="仿宋_GB2312" w:cs="仿宋_GB2312"/>
          <w:b/>
          <w:bCs/>
          <w:color w:val="auto"/>
          <w:sz w:val="44"/>
          <w:szCs w:val="44"/>
          <w:lang w:bidi="ar"/>
        </w:rPr>
      </w:pPr>
    </w:p>
    <w:sdt>
      <w:sdtPr>
        <w:rPr>
          <w:rFonts w:ascii="宋体" w:hAnsi="宋体" w:eastAsia="宋体" w:cs="Calibri"/>
          <w:color w:val="auto"/>
          <w:sz w:val="21"/>
          <w:szCs w:val="24"/>
          <w:lang w:val="en-US" w:eastAsia="zh-CN" w:bidi="ar-SA"/>
        </w:rPr>
        <w:id w:val="147472312"/>
        <w15:color w:val="DBDBDB"/>
        <w:docPartObj>
          <w:docPartGallery w:val="Table of Contents"/>
          <w:docPartUnique/>
        </w:docPartObj>
      </w:sdtPr>
      <w:sdtEndPr>
        <w:rPr>
          <w:rFonts w:hint="eastAsia" w:ascii="仿宋" w:hAnsi="仿宋" w:eastAsia="仿宋" w:cs="仿宋"/>
          <w:b/>
          <w:color w:val="auto"/>
          <w:sz w:val="30"/>
          <w:szCs w:val="30"/>
          <w:lang w:val="en-US" w:eastAsia="zh-CN" w:bidi="ar"/>
        </w:rPr>
      </w:sdtEndPr>
      <w:sdtContent>
        <w:p>
          <w:pPr>
            <w:spacing w:before="0" w:beforeLines="0" w:after="0" w:afterLines="0" w:line="240" w:lineRule="auto"/>
            <w:ind w:left="0" w:leftChars="0" w:right="0" w:rightChars="0" w:firstLine="0" w:firstLineChars="0"/>
            <w:jc w:val="center"/>
            <w:rPr>
              <w:color w:val="auto"/>
            </w:rPr>
          </w:pPr>
          <w:r>
            <w:rPr>
              <w:rFonts w:ascii="宋体" w:hAnsi="宋体" w:eastAsia="宋体"/>
              <w:b/>
              <w:bCs/>
              <w:color w:val="auto"/>
              <w:sz w:val="28"/>
              <w:szCs w:val="28"/>
            </w:rPr>
            <w:t>目</w:t>
          </w:r>
          <w:r>
            <w:rPr>
              <w:rFonts w:hint="eastAsia" w:ascii="宋体" w:hAnsi="宋体"/>
              <w:b/>
              <w:bCs/>
              <w:color w:val="auto"/>
              <w:sz w:val="28"/>
              <w:szCs w:val="28"/>
              <w:lang w:val="en-US" w:eastAsia="zh-CN"/>
            </w:rPr>
            <w:t xml:space="preserve">  </w:t>
          </w:r>
          <w:r>
            <w:rPr>
              <w:rFonts w:ascii="宋体" w:hAnsi="宋体" w:eastAsia="宋体"/>
              <w:b/>
              <w:bCs/>
              <w:color w:val="auto"/>
              <w:sz w:val="28"/>
              <w:szCs w:val="28"/>
            </w:rPr>
            <w:t>录</w:t>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TOC \o "1-2" \h \u </w:instrText>
          </w:r>
          <w:r>
            <w:rPr>
              <w:rFonts w:hint="eastAsia" w:ascii="仿宋" w:hAnsi="仿宋" w:eastAsia="仿宋" w:cs="仿宋"/>
              <w:color w:val="auto"/>
              <w:sz w:val="30"/>
              <w:szCs w:val="30"/>
              <w:lang w:bidi="ar"/>
            </w:rPr>
            <w:fldChar w:fldCharType="separate"/>
          </w: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_Toc19401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lang w:bidi="ar"/>
            </w:rPr>
            <w:t>一、基本概况</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_Toc19401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3</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_Toc21765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sz w:val="30"/>
              <w:szCs w:val="30"/>
              <w:lang w:bidi="ar"/>
            </w:rPr>
            <w:t>（一）部门单位基本情况</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_Toc21765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3</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_Toc245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sz w:val="30"/>
              <w:szCs w:val="30"/>
              <w:lang w:bidi="ar"/>
            </w:rPr>
            <w:t>（二）单位整体支出规模、使用方法和主要内容及涉及范围</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_Toc245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3</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_Toc26601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rPr>
            <w:t>二、部门单位整体支出管理及使用情况</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_Toc26601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6</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_Toc28088 </w:instrText>
          </w:r>
          <w:r>
            <w:rPr>
              <w:rFonts w:hint="eastAsia" w:ascii="仿宋" w:hAnsi="仿宋" w:eastAsia="仿宋" w:cs="仿宋"/>
              <w:color w:val="auto"/>
              <w:sz w:val="30"/>
              <w:szCs w:val="30"/>
              <w:lang w:bidi="ar"/>
            </w:rPr>
            <w:fldChar w:fldCharType="separate"/>
          </w:r>
          <w:r>
            <w:rPr>
              <w:rFonts w:hint="eastAsia" w:ascii="仿宋" w:hAnsi="仿宋" w:eastAsia="仿宋" w:cs="仿宋"/>
              <w:bCs w:val="0"/>
              <w:color w:val="auto"/>
              <w:sz w:val="30"/>
              <w:szCs w:val="30"/>
            </w:rPr>
            <w:t>（一）基本支出管理及使用情况</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_Toc28088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_Toc31612 </w:instrText>
          </w:r>
          <w:r>
            <w:rPr>
              <w:rFonts w:hint="eastAsia" w:ascii="仿宋" w:hAnsi="仿宋" w:eastAsia="仿宋" w:cs="仿宋"/>
              <w:color w:val="auto"/>
              <w:sz w:val="30"/>
              <w:szCs w:val="30"/>
              <w:lang w:bidi="ar"/>
            </w:rPr>
            <w:fldChar w:fldCharType="separate"/>
          </w:r>
          <w:r>
            <w:rPr>
              <w:rFonts w:hint="eastAsia" w:ascii="仿宋" w:hAnsi="仿宋" w:eastAsia="仿宋" w:cs="仿宋"/>
              <w:bCs w:val="0"/>
              <w:color w:val="auto"/>
              <w:sz w:val="30"/>
              <w:szCs w:val="30"/>
            </w:rPr>
            <w:t>（二）项目支出管理及使用情况</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_Toc31612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_Toc18185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sz w:val="30"/>
              <w:szCs w:val="30"/>
              <w:lang w:bidi="ar"/>
            </w:rPr>
            <w:t>（三）“三公”经费使用情况</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_Toc18185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7</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_Toc20101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lang w:bidi="ar"/>
            </w:rPr>
            <w:t>三、部门单位专项组织实施情况</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_Toc20101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8</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_Toc24478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rPr>
            <w:t>（一）专项组织情况分析</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_Toc24478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8</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_Toc17368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kern w:val="1"/>
              <w:sz w:val="30"/>
              <w:szCs w:val="30"/>
            </w:rPr>
            <w:t>（二）专项管理情况分析</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_Toc17368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9</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_Toc26119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rPr>
            <w:t>四、资产管理情况</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_Toc26119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11</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_Toc4758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rPr>
            <w:t>（一）</w:t>
          </w:r>
          <w:r>
            <w:rPr>
              <w:rFonts w:hint="eastAsia" w:ascii="仿宋" w:hAnsi="仿宋" w:eastAsia="仿宋" w:cs="仿宋"/>
              <w:bCs/>
              <w:color w:val="auto"/>
              <w:kern w:val="1"/>
              <w:sz w:val="30"/>
              <w:szCs w:val="30"/>
            </w:rPr>
            <w:t>资产管理体制和制度建设方面</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_Toc4758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11</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_Toc5254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rPr>
            <w:t>（二）运行机制和管理方式</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_Toc5254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12</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_Toc29966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rPr>
            <w:t>（三）信息化建设方面</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_Toc29966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13</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_Toc26846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rPr>
            <w:t>（四）流动资产的管理</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_Toc26846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13</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_Toc13280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rPr>
            <w:t>（五）固定资产的管理</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_Toc13280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13</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_Toc27508 </w:instrText>
          </w:r>
          <w:r>
            <w:rPr>
              <w:rFonts w:hint="eastAsia" w:ascii="仿宋" w:hAnsi="仿宋" w:eastAsia="仿宋" w:cs="仿宋"/>
              <w:b/>
              <w:color w:val="auto"/>
              <w:sz w:val="30"/>
              <w:szCs w:val="30"/>
              <w:lang w:bidi="ar"/>
            </w:rPr>
            <w:fldChar w:fldCharType="separate"/>
          </w:r>
          <w:r>
            <w:rPr>
              <w:rFonts w:hint="eastAsia" w:ascii="仿宋" w:hAnsi="仿宋" w:eastAsia="仿宋" w:cs="仿宋"/>
              <w:b/>
              <w:color w:val="auto"/>
              <w:sz w:val="30"/>
              <w:szCs w:val="30"/>
            </w:rPr>
            <w:t>五、部门整体支出绩效情况</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_Toc27508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13</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_Toc5917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lang w:val="en-US" w:eastAsia="zh-CN"/>
            </w:rPr>
            <w:t>一</w:t>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rPr>
            <w:t>经济效益评价</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_Toc5917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14</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_Toc2150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lang w:val="en-US" w:eastAsia="zh-CN"/>
            </w:rPr>
            <w:t>二</w:t>
          </w:r>
          <w:r>
            <w:rPr>
              <w:rFonts w:hint="eastAsia" w:ascii="仿宋" w:hAnsi="仿宋" w:eastAsia="仿宋" w:cs="仿宋"/>
              <w:bCs/>
              <w:color w:val="auto"/>
              <w:kern w:val="1"/>
              <w:sz w:val="30"/>
              <w:szCs w:val="30"/>
              <w:lang w:eastAsia="zh-CN"/>
            </w:rPr>
            <w:t>）效率性评价</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_Toc2150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14</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_Toc21873 </w:instrText>
          </w:r>
          <w:r>
            <w:rPr>
              <w:rFonts w:hint="eastAsia" w:ascii="仿宋" w:hAnsi="仿宋" w:eastAsia="仿宋" w:cs="仿宋"/>
              <w:color w:val="auto"/>
              <w:sz w:val="30"/>
              <w:szCs w:val="30"/>
              <w:lang w:bidi="ar"/>
            </w:rPr>
            <w:fldChar w:fldCharType="separate"/>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lang w:val="en-US" w:eastAsia="zh-CN"/>
            </w:rPr>
            <w:t>三</w:t>
          </w:r>
          <w:r>
            <w:rPr>
              <w:rFonts w:hint="eastAsia" w:ascii="仿宋" w:hAnsi="仿宋" w:eastAsia="仿宋" w:cs="仿宋"/>
              <w:bCs/>
              <w:color w:val="auto"/>
              <w:kern w:val="1"/>
              <w:sz w:val="30"/>
              <w:szCs w:val="30"/>
              <w:lang w:eastAsia="zh-CN"/>
            </w:rPr>
            <w:t>）有效性评价</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_Toc21873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_Toc21136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rPr>
            <w:t>六、存在的主要问题</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_Toc21136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16</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_Toc6558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lang w:eastAsia="zh-CN"/>
            </w:rPr>
            <w:t>(一)预算执行存在偏差</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_Toc6558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_Toc1950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lang w:bidi="ar"/>
            </w:rPr>
            <w:t>（二）项目细化管理工作不足</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_Toc1950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_Toc14547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lang w:bidi="ar"/>
            </w:rPr>
            <w:t>（三）预算绩效管理水平仍有欠缺</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_Toc14547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_Toc9607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lang w:bidi="ar"/>
            </w:rPr>
            <w:t>（四）固定资产管理水平有待提高</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_Toc9607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16</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_Toc18589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rPr>
            <w:t>七、改进措施和建议</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_Toc18589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16</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_Toc9528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lang w:val="zh-CN"/>
            </w:rPr>
            <w:t>八、绩效自评结果拟应用和公开情况</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_Toc9528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17</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_Toc31110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lang w:val="zh-CN"/>
            </w:rPr>
            <w:t>（</w:t>
          </w:r>
          <w:r>
            <w:rPr>
              <w:rFonts w:hint="eastAsia" w:ascii="仿宋" w:hAnsi="仿宋" w:eastAsia="仿宋" w:cs="仿宋"/>
              <w:color w:val="auto"/>
              <w:sz w:val="30"/>
              <w:szCs w:val="30"/>
            </w:rPr>
            <w:t>一</w:t>
          </w:r>
          <w:r>
            <w:rPr>
              <w:rFonts w:hint="eastAsia" w:ascii="仿宋" w:hAnsi="仿宋" w:eastAsia="仿宋" w:cs="仿宋"/>
              <w:color w:val="auto"/>
              <w:sz w:val="30"/>
              <w:szCs w:val="30"/>
              <w:lang w:val="zh-CN"/>
            </w:rPr>
            <w:t>）绩效自评结果</w:t>
          </w:r>
          <w:r>
            <w:rPr>
              <w:rFonts w:hint="eastAsia" w:ascii="仿宋" w:hAnsi="仿宋" w:eastAsia="仿宋" w:cs="仿宋"/>
              <w:color w:val="auto"/>
              <w:sz w:val="30"/>
              <w:szCs w:val="30"/>
            </w:rPr>
            <w:t>的应用</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_Toc31110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17</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1"/>
            <w:tabs>
              <w:tab w:val="right" w:leader="dot" w:pos="8306"/>
            </w:tabs>
            <w:rPr>
              <w:rFonts w:hint="eastAsia" w:ascii="仿宋" w:hAnsi="仿宋" w:eastAsia="仿宋" w:cs="仿宋"/>
              <w:color w:val="auto"/>
              <w:sz w:val="30"/>
              <w:szCs w:val="30"/>
            </w:rPr>
          </w:pPr>
          <w:r>
            <w:rPr>
              <w:rFonts w:hint="eastAsia" w:ascii="仿宋" w:hAnsi="仿宋" w:eastAsia="仿宋" w:cs="仿宋"/>
              <w:color w:val="auto"/>
              <w:sz w:val="30"/>
              <w:szCs w:val="30"/>
              <w:lang w:bidi="ar"/>
            </w:rPr>
            <w:fldChar w:fldCharType="begin"/>
          </w:r>
          <w:r>
            <w:rPr>
              <w:rFonts w:hint="eastAsia" w:ascii="仿宋" w:hAnsi="仿宋" w:eastAsia="仿宋" w:cs="仿宋"/>
              <w:color w:val="auto"/>
              <w:sz w:val="30"/>
              <w:szCs w:val="30"/>
              <w:lang w:bidi="ar"/>
            </w:rPr>
            <w:instrText xml:space="preserve"> HYPERLINK \l _Toc19247 </w:instrText>
          </w:r>
          <w:r>
            <w:rPr>
              <w:rFonts w:hint="eastAsia" w:ascii="仿宋" w:hAnsi="仿宋" w:eastAsia="仿宋" w:cs="仿宋"/>
              <w:color w:val="auto"/>
              <w:sz w:val="30"/>
              <w:szCs w:val="30"/>
              <w:lang w:bidi="ar"/>
            </w:rPr>
            <w:fldChar w:fldCharType="separate"/>
          </w:r>
          <w:r>
            <w:rPr>
              <w:rFonts w:hint="eastAsia" w:ascii="仿宋" w:hAnsi="仿宋" w:eastAsia="仿宋" w:cs="仿宋"/>
              <w:color w:val="auto"/>
              <w:sz w:val="30"/>
              <w:szCs w:val="30"/>
              <w:lang w:val="zh-CN"/>
            </w:rPr>
            <w:t>（</w:t>
          </w:r>
          <w:r>
            <w:rPr>
              <w:rFonts w:hint="eastAsia" w:ascii="仿宋" w:hAnsi="仿宋" w:eastAsia="仿宋" w:cs="仿宋"/>
              <w:color w:val="auto"/>
              <w:sz w:val="30"/>
              <w:szCs w:val="30"/>
            </w:rPr>
            <w:t>二</w:t>
          </w:r>
          <w:r>
            <w:rPr>
              <w:rFonts w:hint="eastAsia" w:ascii="仿宋" w:hAnsi="仿宋" w:eastAsia="仿宋" w:cs="仿宋"/>
              <w:color w:val="auto"/>
              <w:sz w:val="30"/>
              <w:szCs w:val="30"/>
              <w:lang w:val="zh-CN"/>
            </w:rPr>
            <w:t>）绩效自评结果</w:t>
          </w:r>
          <w:r>
            <w:rPr>
              <w:rFonts w:hint="eastAsia" w:ascii="仿宋" w:hAnsi="仿宋" w:eastAsia="仿宋" w:cs="仿宋"/>
              <w:color w:val="auto"/>
              <w:sz w:val="30"/>
              <w:szCs w:val="30"/>
            </w:rPr>
            <w:t>的公开</w:t>
          </w:r>
          <w:r>
            <w:rPr>
              <w:rFonts w:hint="eastAsia" w:ascii="仿宋" w:hAnsi="仿宋" w:eastAsia="仿宋" w:cs="仿宋"/>
              <w:color w:val="auto"/>
              <w:sz w:val="30"/>
              <w:szCs w:val="30"/>
            </w:rPr>
            <w:tab/>
          </w: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PAGEREF _Toc19247 </w:instrText>
          </w:r>
          <w:r>
            <w:rPr>
              <w:rFonts w:hint="eastAsia" w:ascii="仿宋" w:hAnsi="仿宋" w:eastAsia="仿宋" w:cs="仿宋"/>
              <w:color w:val="auto"/>
              <w:sz w:val="30"/>
              <w:szCs w:val="30"/>
            </w:rPr>
            <w:fldChar w:fldCharType="separate"/>
          </w:r>
          <w:r>
            <w:rPr>
              <w:rFonts w:hint="eastAsia" w:ascii="仿宋" w:hAnsi="仿宋" w:eastAsia="仿宋" w:cs="仿宋"/>
              <w:color w:val="auto"/>
              <w:sz w:val="30"/>
              <w:szCs w:val="30"/>
            </w:rPr>
            <w:t>17</w:t>
          </w:r>
          <w:r>
            <w:rPr>
              <w:rFonts w:hint="eastAsia" w:ascii="仿宋" w:hAnsi="仿宋" w:eastAsia="仿宋" w:cs="仿宋"/>
              <w:color w:val="auto"/>
              <w:sz w:val="30"/>
              <w:szCs w:val="30"/>
            </w:rPr>
            <w:fldChar w:fldCharType="end"/>
          </w:r>
          <w:r>
            <w:rPr>
              <w:rFonts w:hint="eastAsia" w:ascii="仿宋" w:hAnsi="仿宋" w:eastAsia="仿宋" w:cs="仿宋"/>
              <w:color w:val="auto"/>
              <w:sz w:val="30"/>
              <w:szCs w:val="30"/>
              <w:lang w:bidi="ar"/>
            </w:rPr>
            <w:fldChar w:fldCharType="end"/>
          </w:r>
        </w:p>
        <w:p>
          <w:pPr>
            <w:pStyle w:val="30"/>
            <w:tabs>
              <w:tab w:val="right" w:leader="dot" w:pos="8306"/>
            </w:tabs>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_Toc935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lang w:val="en-US" w:eastAsia="zh-CN"/>
            </w:rPr>
            <w:t>九</w:t>
          </w:r>
          <w:r>
            <w:rPr>
              <w:rFonts w:hint="eastAsia" w:ascii="仿宋" w:hAnsi="仿宋" w:eastAsia="仿宋" w:cs="仿宋"/>
              <w:b/>
              <w:bCs/>
              <w:color w:val="auto"/>
              <w:sz w:val="30"/>
              <w:szCs w:val="30"/>
            </w:rPr>
            <w:t>、附件</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_Toc935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18</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pStyle w:val="30"/>
            <w:tabs>
              <w:tab w:val="right" w:leader="dot" w:pos="8306"/>
            </w:tabs>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lang w:bidi="ar"/>
            </w:rPr>
            <w:fldChar w:fldCharType="begin"/>
          </w:r>
          <w:r>
            <w:rPr>
              <w:rFonts w:hint="eastAsia" w:ascii="仿宋" w:hAnsi="仿宋" w:eastAsia="仿宋" w:cs="仿宋"/>
              <w:b/>
              <w:color w:val="auto"/>
              <w:sz w:val="30"/>
              <w:szCs w:val="30"/>
              <w:lang w:bidi="ar"/>
            </w:rPr>
            <w:instrText xml:space="preserve"> HYPERLINK \l _Toc18007 </w:instrText>
          </w:r>
          <w:r>
            <w:rPr>
              <w:rFonts w:hint="eastAsia" w:ascii="仿宋" w:hAnsi="仿宋" w:eastAsia="仿宋" w:cs="仿宋"/>
              <w:b/>
              <w:color w:val="auto"/>
              <w:sz w:val="30"/>
              <w:szCs w:val="30"/>
              <w:lang w:bidi="ar"/>
            </w:rPr>
            <w:fldChar w:fldCharType="separate"/>
          </w:r>
          <w:r>
            <w:rPr>
              <w:rFonts w:hint="eastAsia" w:ascii="仿宋" w:hAnsi="仿宋" w:eastAsia="仿宋" w:cs="仿宋"/>
              <w:b/>
              <w:bCs/>
              <w:color w:val="auto"/>
              <w:sz w:val="30"/>
              <w:szCs w:val="30"/>
            </w:rPr>
            <w:t>部门整体支出绩效目标自评表</w:t>
          </w:r>
          <w:r>
            <w:rPr>
              <w:rFonts w:hint="eastAsia" w:ascii="仿宋" w:hAnsi="仿宋" w:eastAsia="仿宋" w:cs="仿宋"/>
              <w:b/>
              <w:color w:val="auto"/>
              <w:sz w:val="30"/>
              <w:szCs w:val="30"/>
            </w:rPr>
            <w:tab/>
          </w:r>
          <w:r>
            <w:rPr>
              <w:rFonts w:hint="eastAsia" w:ascii="仿宋" w:hAnsi="仿宋" w:eastAsia="仿宋" w:cs="仿宋"/>
              <w:b/>
              <w:color w:val="auto"/>
              <w:sz w:val="30"/>
              <w:szCs w:val="30"/>
            </w:rPr>
            <w:fldChar w:fldCharType="begin"/>
          </w:r>
          <w:r>
            <w:rPr>
              <w:rFonts w:hint="eastAsia" w:ascii="仿宋" w:hAnsi="仿宋" w:eastAsia="仿宋" w:cs="仿宋"/>
              <w:b/>
              <w:color w:val="auto"/>
              <w:sz w:val="30"/>
              <w:szCs w:val="30"/>
            </w:rPr>
            <w:instrText xml:space="preserve"> PAGEREF _Toc18007 </w:instrText>
          </w:r>
          <w:r>
            <w:rPr>
              <w:rFonts w:hint="eastAsia" w:ascii="仿宋" w:hAnsi="仿宋" w:eastAsia="仿宋" w:cs="仿宋"/>
              <w:b/>
              <w:color w:val="auto"/>
              <w:sz w:val="30"/>
              <w:szCs w:val="30"/>
            </w:rPr>
            <w:fldChar w:fldCharType="separate"/>
          </w:r>
          <w:r>
            <w:rPr>
              <w:rFonts w:hint="eastAsia" w:ascii="仿宋" w:hAnsi="仿宋" w:eastAsia="仿宋" w:cs="仿宋"/>
              <w:b/>
              <w:color w:val="auto"/>
              <w:sz w:val="30"/>
              <w:szCs w:val="30"/>
            </w:rPr>
            <w:t>18</w:t>
          </w:r>
          <w:r>
            <w:rPr>
              <w:rFonts w:hint="eastAsia" w:ascii="仿宋" w:hAnsi="仿宋" w:eastAsia="仿宋" w:cs="仿宋"/>
              <w:b/>
              <w:color w:val="auto"/>
              <w:sz w:val="30"/>
              <w:szCs w:val="30"/>
            </w:rPr>
            <w:fldChar w:fldCharType="end"/>
          </w:r>
          <w:r>
            <w:rPr>
              <w:rFonts w:hint="eastAsia" w:ascii="仿宋" w:hAnsi="仿宋" w:eastAsia="仿宋" w:cs="仿宋"/>
              <w:b/>
              <w:color w:val="auto"/>
              <w:sz w:val="30"/>
              <w:szCs w:val="30"/>
              <w:lang w:bidi="ar"/>
            </w:rPr>
            <w:fldChar w:fldCharType="end"/>
          </w:r>
        </w:p>
        <w:p>
          <w:pPr>
            <w:rPr>
              <w:rFonts w:hint="eastAsia" w:ascii="仿宋" w:hAnsi="仿宋" w:eastAsia="仿宋" w:cs="仿宋"/>
              <w:color w:val="auto"/>
              <w:sz w:val="30"/>
              <w:szCs w:val="30"/>
              <w:lang w:bidi="ar"/>
            </w:rPr>
          </w:pPr>
          <w:r>
            <w:rPr>
              <w:rFonts w:hint="eastAsia" w:ascii="仿宋" w:hAnsi="仿宋" w:eastAsia="仿宋" w:cs="仿宋"/>
              <w:b/>
              <w:color w:val="auto"/>
              <w:sz w:val="30"/>
              <w:szCs w:val="30"/>
              <w:lang w:bidi="ar"/>
            </w:rPr>
            <w:fldChar w:fldCharType="end"/>
          </w:r>
        </w:p>
      </w:sdtContent>
    </w:sdt>
    <w:p>
      <w:pPr>
        <w:rPr>
          <w:rFonts w:ascii="仿宋_GB2312" w:hAnsi="仿宋_GB2312" w:eastAsia="仿宋_GB2312" w:cs="仿宋_GB2312"/>
          <w:color w:val="auto"/>
          <w:sz w:val="32"/>
          <w:szCs w:val="32"/>
          <w:lang w:bidi="ar"/>
        </w:rPr>
      </w:pP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为深入贯彻落实自治区财政厅《</w:t>
      </w:r>
      <w:r>
        <w:rPr>
          <w:rFonts w:hint="eastAsia" w:ascii="仿宋_GB2312" w:hAnsi="仿宋_GB2312" w:eastAsia="仿宋_GB2312" w:cs="仿宋_GB2312"/>
          <w:color w:val="auto"/>
          <w:sz w:val="28"/>
          <w:szCs w:val="28"/>
          <w:lang w:val="en-US" w:eastAsia="zh-CN"/>
        </w:rPr>
        <w:t>自治区财政支出绩效评价管理暂行办法</w:t>
      </w:r>
      <w:r>
        <w:rPr>
          <w:rFonts w:hint="eastAsia" w:ascii="仿宋_GB2312" w:hAnsi="仿宋_GB2312" w:eastAsia="仿宋_GB2312" w:cs="仿宋_GB2312"/>
          <w:color w:val="auto"/>
          <w:sz w:val="28"/>
          <w:szCs w:val="28"/>
        </w:rPr>
        <w:t>》（新财预【</w:t>
      </w:r>
      <w:r>
        <w:rPr>
          <w:rFonts w:hint="eastAsia" w:ascii="仿宋_GB2312" w:hAnsi="仿宋_GB2312" w:eastAsia="仿宋_GB2312" w:cs="仿宋_GB2312"/>
          <w:color w:val="auto"/>
          <w:sz w:val="28"/>
          <w:szCs w:val="28"/>
          <w:lang w:val="en-US" w:eastAsia="zh-CN"/>
        </w:rPr>
        <w:t>2018</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189</w:t>
      </w:r>
      <w:r>
        <w:rPr>
          <w:rFonts w:hint="eastAsia" w:ascii="仿宋_GB2312" w:hAnsi="仿宋_GB2312" w:eastAsia="仿宋_GB2312" w:cs="仿宋_GB2312"/>
          <w:color w:val="auto"/>
          <w:sz w:val="28"/>
          <w:szCs w:val="28"/>
        </w:rPr>
        <w:t>号）文件精神，按照全方位、全过程、全覆盖预算绩效管理要求，将单位整体支出预算纳入全过程绩效管理，进一步强化绩效理念，提高财政资金使用效益，现将我单位20</w:t>
      </w:r>
      <w:r>
        <w:rPr>
          <w:rFonts w:hint="eastAsia" w:ascii="仿宋_GB2312" w:hAnsi="仿宋_GB2312" w:eastAsia="仿宋_GB2312" w:cs="仿宋_GB2312"/>
          <w:color w:val="auto"/>
          <w:sz w:val="28"/>
          <w:szCs w:val="28"/>
          <w:lang w:val="en-US" w:eastAsia="zh-CN"/>
        </w:rPr>
        <w:t>20</w:t>
      </w:r>
      <w:r>
        <w:rPr>
          <w:rFonts w:hint="eastAsia" w:ascii="仿宋_GB2312" w:hAnsi="仿宋_GB2312" w:eastAsia="仿宋_GB2312" w:cs="仿宋_GB2312"/>
          <w:color w:val="auto"/>
          <w:sz w:val="28"/>
          <w:szCs w:val="28"/>
        </w:rPr>
        <w:t>年整体支出绩效评价如下：</w:t>
      </w:r>
    </w:p>
    <w:p>
      <w:pPr>
        <w:keepNext w:val="0"/>
        <w:keepLines w:val="0"/>
        <w:pageBreakBefore w:val="0"/>
        <w:kinsoku/>
        <w:wordWrap/>
        <w:overflowPunct/>
        <w:topLinePunct w:val="0"/>
        <w:autoSpaceDE/>
        <w:autoSpaceDN/>
        <w:bidi w:val="0"/>
        <w:spacing w:line="440" w:lineRule="exact"/>
        <w:textAlignment w:val="auto"/>
        <w:outlineLvl w:val="0"/>
        <w:rPr>
          <w:rFonts w:hint="eastAsia" w:ascii="黑体" w:hAnsi="黑体" w:eastAsia="黑体" w:cs="黑体"/>
          <w:b/>
          <w:bCs/>
          <w:color w:val="auto"/>
          <w:sz w:val="28"/>
          <w:szCs w:val="28"/>
          <w:lang w:bidi="ar"/>
        </w:rPr>
      </w:pPr>
      <w:bookmarkStart w:id="0" w:name="_Toc19401"/>
      <w:r>
        <w:rPr>
          <w:rFonts w:hint="eastAsia" w:ascii="黑体" w:hAnsi="黑体" w:eastAsia="黑体" w:cs="黑体"/>
          <w:b/>
          <w:bCs/>
          <w:color w:val="auto"/>
          <w:sz w:val="28"/>
          <w:szCs w:val="28"/>
          <w:lang w:bidi="ar"/>
        </w:rPr>
        <w:t>一、基本概况</w:t>
      </w:r>
      <w:bookmarkEnd w:id="0"/>
    </w:p>
    <w:p>
      <w:pPr>
        <w:keepNext w:val="0"/>
        <w:keepLines w:val="0"/>
        <w:pageBreakBefore w:val="0"/>
        <w:kinsoku/>
        <w:wordWrap/>
        <w:overflowPunct/>
        <w:topLinePunct w:val="0"/>
        <w:autoSpaceDE/>
        <w:autoSpaceDN/>
        <w:bidi w:val="0"/>
        <w:spacing w:line="440" w:lineRule="exact"/>
        <w:ind w:firstLine="281" w:firstLineChars="100"/>
        <w:textAlignment w:val="auto"/>
        <w:outlineLvl w:val="1"/>
        <w:rPr>
          <w:rFonts w:hint="eastAsia" w:ascii="楷体" w:hAnsi="楷体" w:eastAsia="楷体" w:cs="楷体"/>
          <w:b/>
          <w:bCs/>
          <w:color w:val="auto"/>
          <w:sz w:val="28"/>
          <w:szCs w:val="28"/>
          <w:lang w:bidi="ar"/>
        </w:rPr>
      </w:pPr>
      <w:bookmarkStart w:id="1" w:name="_Toc21765"/>
      <w:r>
        <w:rPr>
          <w:rFonts w:hint="eastAsia" w:ascii="楷体" w:hAnsi="楷体" w:eastAsia="楷体" w:cs="楷体"/>
          <w:b/>
          <w:bCs/>
          <w:color w:val="auto"/>
          <w:sz w:val="28"/>
          <w:szCs w:val="28"/>
          <w:lang w:bidi="ar"/>
        </w:rPr>
        <w:t>（一）部门单位基本情况</w:t>
      </w:r>
      <w:bookmarkEnd w:id="1"/>
    </w:p>
    <w:p>
      <w:pPr>
        <w:keepNext w:val="0"/>
        <w:keepLines w:val="0"/>
        <w:pageBreakBefore w:val="0"/>
        <w:widowControl/>
        <w:kinsoku/>
        <w:wordWrap/>
        <w:overflowPunct/>
        <w:topLinePunct w:val="0"/>
        <w:autoSpaceDE/>
        <w:autoSpaceDN/>
        <w:bidi w:val="0"/>
        <w:spacing w:line="440" w:lineRule="exact"/>
        <w:ind w:firstLine="630"/>
        <w:jc w:val="left"/>
        <w:textAlignment w:val="auto"/>
        <w:outlineLvl w:val="9"/>
        <w:rPr>
          <w:rFonts w:ascii="仿宋_GB2312" w:hAnsi="仿宋_GB2312" w:eastAsia="仿宋_GB2312" w:cs="仿宋_GB2312"/>
          <w:b/>
          <w:color w:val="auto"/>
          <w:sz w:val="28"/>
          <w:szCs w:val="28"/>
          <w:lang w:bidi="ar"/>
        </w:rPr>
      </w:pPr>
      <w:r>
        <w:rPr>
          <w:rFonts w:hint="eastAsia" w:ascii="仿宋_GB2312" w:hAnsi="仿宋_GB2312" w:eastAsia="仿宋_GB2312" w:cs="仿宋_GB2312"/>
          <w:b/>
          <w:color w:val="auto"/>
          <w:sz w:val="28"/>
          <w:szCs w:val="28"/>
          <w:lang w:val="en-US" w:eastAsia="zh-CN" w:bidi="ar"/>
        </w:rPr>
        <w:t>1.</w:t>
      </w:r>
      <w:r>
        <w:rPr>
          <w:rFonts w:hint="eastAsia" w:ascii="仿宋_GB2312" w:hAnsi="仿宋_GB2312" w:eastAsia="仿宋_GB2312" w:cs="仿宋_GB2312"/>
          <w:b/>
          <w:color w:val="auto"/>
          <w:sz w:val="28"/>
          <w:szCs w:val="28"/>
          <w:lang w:bidi="ar"/>
        </w:rPr>
        <w:t>机构人员构成</w:t>
      </w:r>
    </w:p>
    <w:p>
      <w:pPr>
        <w:widowControl/>
        <w:spacing w:line="520" w:lineRule="atLeast"/>
        <w:ind w:firstLine="630"/>
        <w:jc w:val="left"/>
        <w:rPr>
          <w:rFonts w:ascii="仿宋_GB2312" w:hAnsi="仿宋_GB2312" w:eastAsia="仿宋_GB2312" w:cs="仿宋_GB2312"/>
          <w:sz w:val="32"/>
          <w:szCs w:val="32"/>
        </w:rPr>
      </w:pPr>
      <w:r>
        <w:rPr>
          <w:rFonts w:hint="eastAsia" w:ascii="仿宋_GB2312" w:hAnsi="仿宋_GB2312" w:eastAsia="仿宋_GB2312" w:cs="仿宋_GB2312"/>
          <w:kern w:val="1"/>
          <w:sz w:val="32"/>
          <w:szCs w:val="32"/>
        </w:rPr>
        <w:t>伊吾县医疗保障局是全额拨款行政单位，隶属于社保科，正县级。核定事业编制</w:t>
      </w:r>
      <w:r>
        <w:rPr>
          <w:rFonts w:hint="eastAsia" w:ascii="仿宋_GB2312" w:hAnsi="仿宋_GB2312" w:eastAsia="仿宋_GB2312" w:cs="仿宋_GB2312"/>
          <w:kern w:val="1"/>
          <w:sz w:val="32"/>
          <w:szCs w:val="32"/>
          <w:lang w:val="en-US" w:eastAsia="zh-CN"/>
        </w:rPr>
        <w:t>8</w:t>
      </w:r>
      <w:r>
        <w:rPr>
          <w:rFonts w:hint="eastAsia" w:ascii="仿宋_GB2312" w:hAnsi="仿宋_GB2312" w:eastAsia="仿宋_GB2312" w:cs="仿宋_GB2312"/>
          <w:kern w:val="1"/>
          <w:sz w:val="32"/>
          <w:szCs w:val="32"/>
        </w:rPr>
        <w:t>名，领导职数3名。内设科室为4个,分别为</w:t>
      </w:r>
      <w:r>
        <w:rPr>
          <w:rFonts w:hint="eastAsia" w:ascii="仿宋" w:hAnsi="仿宋" w:eastAsia="仿宋" w:cs="宋体"/>
          <w:bCs/>
          <w:sz w:val="32"/>
          <w:szCs w:val="32"/>
        </w:rPr>
        <w:t>办公室，财务室，稽核科，业务科。</w:t>
      </w:r>
    </w:p>
    <w:p>
      <w:pPr>
        <w:keepNext w:val="0"/>
        <w:keepLines w:val="0"/>
        <w:pageBreakBefore w:val="0"/>
        <w:widowControl/>
        <w:kinsoku/>
        <w:wordWrap/>
        <w:overflowPunct/>
        <w:topLinePunct w:val="0"/>
        <w:autoSpaceDE/>
        <w:autoSpaceDN/>
        <w:bidi w:val="0"/>
        <w:spacing w:line="440" w:lineRule="exact"/>
        <w:ind w:firstLine="630"/>
        <w:jc w:val="left"/>
        <w:textAlignment w:val="auto"/>
        <w:outlineLvl w:val="9"/>
        <w:rPr>
          <w:rFonts w:hint="eastAsia" w:ascii="仿宋_GB2312" w:hAnsi="仿宋_GB2312" w:eastAsia="仿宋_GB2312" w:cs="仿宋_GB2312"/>
          <w:b/>
          <w:color w:val="auto"/>
          <w:sz w:val="28"/>
          <w:szCs w:val="28"/>
          <w:lang w:val="en-US" w:eastAsia="zh-CN" w:bidi="ar"/>
        </w:rPr>
      </w:pPr>
      <w:r>
        <w:rPr>
          <w:rFonts w:hint="eastAsia" w:ascii="仿宋_GB2312" w:hAnsi="仿宋_GB2312" w:eastAsia="仿宋_GB2312" w:cs="仿宋_GB2312"/>
          <w:b/>
          <w:color w:val="auto"/>
          <w:sz w:val="28"/>
          <w:szCs w:val="28"/>
          <w:lang w:val="en-US" w:eastAsia="zh-CN" w:bidi="ar"/>
        </w:rPr>
        <w:t>2.主要职能</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贯彻实施国家、自治区和哈密市医疗保障、生育医疗救助等医疗保障制度，组织实施自治区、哈密市医疗保险、生育保险、大额医疗补助、公务员医疗补助、医疗救助、事业单位补充医疗保险、离休人员和优抚对象医疗保障管理法等政策;拟订并组织实施伊吾县本级医疗保险、生育保险地方性政策。</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(二)组织制定并实施医疗保障基金监督管理办法，建立健全医疗保障基金安全防控机制，承担推进医疗保障基金支付改革工作，编制伊吾县医疗保障基金预决算草案。</w:t>
      </w:r>
    </w:p>
    <w:p>
      <w:pPr>
        <w:rPr>
          <w:rFonts w:hint="eastAsia" w:ascii="仿宋_GB2312" w:eastAsia="仿宋_GB2312"/>
          <w:sz w:val="32"/>
          <w:szCs w:val="32"/>
        </w:rPr>
      </w:pPr>
      <w:r>
        <w:rPr>
          <w:rFonts w:hint="eastAsia" w:ascii="仿宋_GB2312" w:eastAsia="仿宋_GB2312"/>
          <w:sz w:val="32"/>
          <w:szCs w:val="32"/>
        </w:rPr>
        <w:t>(三)组织实施医疗保障筹资和待遇政策，完善动态调整和区域调剂平衡机制，统筹城乡医疗保障待遇标准，建立健全与筹资水平相适应的待遇调整机制，贯彻长期护理保险制度改革的方案并组织实施。</w:t>
      </w:r>
    </w:p>
    <w:p>
      <w:pPr>
        <w:rPr>
          <w:rFonts w:ascii="仿宋_GB2312" w:eastAsia="仿宋_GB2312"/>
          <w:sz w:val="32"/>
          <w:szCs w:val="32"/>
        </w:rPr>
      </w:pPr>
      <w:r>
        <w:rPr>
          <w:rFonts w:hint="eastAsia" w:ascii="仿宋_GB2312" w:eastAsia="仿宋_GB2312"/>
          <w:sz w:val="32"/>
          <w:szCs w:val="32"/>
        </w:rPr>
        <w:t>(四)负责药品、医用耗材价格、医疗服务项目、医疗服务设施收费等相关政策监督实施，拟订贯彻药品、医用耗材的招标采购政策并监督实施，建立医保支付医药服务价格合理确定和动态调整机制，建立市场主导的社会医药服务价格形成机制，建立医药服务价格信息监测和信息发布制度。</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(五)制定定点医药机构协议和支付管理办法并组织实施，建立健全医疗保障信用评价体系和信息披露制度，监督管理纳入医保范围内的医疗服务行为和医疗费用，依法查处医疗保障生育保险领域违法违规行为。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负责医疗保障经办管理、基金管理、公共服务体系和信息化建设。贯彻落实国家、自治区、哈密市关于异地就医管理和费用结算政策。负责县本级医疗保险和生育保险费征缴及待遇支付，负责县本级医疗救助，指导医疗保障经办机构开展业务工作。</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(七)统筹协调本单位、本行业负责反恐维稳、消防安全、综合治理、安全生产、人防物防技防等工作(八)完成县委、县人民政府交办的其他任务。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(九)职能转变。县医疗保障局负责建立健全覆盖全民、</w:t>
      </w:r>
    </w:p>
    <w:p>
      <w:pPr>
        <w:spacing w:line="500" w:lineRule="exact"/>
        <w:rPr>
          <w:rFonts w:hint="eastAsia" w:ascii="仿宋_GB2312" w:eastAsia="仿宋_GB2312"/>
          <w:sz w:val="32"/>
          <w:szCs w:val="32"/>
          <w:lang w:eastAsia="zh-CN"/>
        </w:rPr>
      </w:pPr>
      <w:r>
        <w:rPr>
          <w:rFonts w:hint="eastAsia" w:ascii="仿宋_GB2312" w:eastAsia="仿宋_GB2312"/>
          <w:sz w:val="32"/>
          <w:szCs w:val="32"/>
        </w:rPr>
        <w:t>城乡统筹的多层次医疗保障体系，不断提高医疗保障水平，确保医保资金合理使用、安全可控，推进医疗、医保、医药“三医联动”改革，更好保障人民群众就医需求、减轻医药费用负担</w:t>
      </w:r>
      <w:r>
        <w:rPr>
          <w:rFonts w:hint="eastAsia" w:ascii="仿宋_GB2312" w:eastAsia="仿宋_GB2312"/>
          <w:sz w:val="32"/>
          <w:szCs w:val="32"/>
          <w:lang w:eastAsia="zh-CN"/>
        </w:rPr>
        <w:t>。</w:t>
      </w:r>
    </w:p>
    <w:p>
      <w:pPr>
        <w:spacing w:line="500" w:lineRule="exact"/>
        <w:ind w:firstLine="640" w:firstLineChars="200"/>
        <w:rPr>
          <w:rStyle w:val="19"/>
          <w:rFonts w:ascii="仿宋_GB2312" w:hAnsi="仿宋" w:eastAsia="仿宋_GB2312"/>
          <w:b w:val="0"/>
          <w:color w:val="0D0D0D"/>
          <w:spacing w:val="-4"/>
          <w:sz w:val="32"/>
          <w:szCs w:val="32"/>
          <w:shd w:val="clear" w:color="FFFFFF" w:fill="FFFFFF"/>
        </w:rPr>
      </w:pPr>
      <w:r>
        <w:rPr>
          <w:rFonts w:hint="eastAsia" w:ascii="仿宋_GB2312" w:eastAsia="仿宋_GB2312"/>
          <w:sz w:val="32"/>
          <w:szCs w:val="32"/>
        </w:rPr>
        <w:t>(十)与县卫生健康委员会的有关职责分工县卫生健康委员会、县医疗保障局等部门在医疗、医保、医药等方面加强制度、政策衔接，建立沟通协商机制，协同推进改革，提高医疗资源使用效率和医疗保障水平。</w:t>
      </w:r>
    </w:p>
    <w:p>
      <w:pPr>
        <w:keepNext w:val="0"/>
        <w:keepLines w:val="0"/>
        <w:pageBreakBefore w:val="0"/>
        <w:widowControl/>
        <w:kinsoku/>
        <w:wordWrap/>
        <w:overflowPunct/>
        <w:topLinePunct w:val="0"/>
        <w:autoSpaceDE/>
        <w:autoSpaceDN/>
        <w:bidi w:val="0"/>
        <w:spacing w:line="440" w:lineRule="exact"/>
        <w:ind w:firstLine="630"/>
        <w:jc w:val="left"/>
        <w:textAlignment w:val="auto"/>
        <w:outlineLvl w:val="9"/>
        <w:rPr>
          <w:rFonts w:hint="eastAsia" w:ascii="仿宋_GB2312" w:hAnsi="仿宋_GB2312" w:eastAsia="仿宋_GB2312" w:cs="仿宋_GB2312"/>
          <w:b/>
          <w:color w:val="auto"/>
          <w:sz w:val="28"/>
          <w:szCs w:val="28"/>
          <w:highlight w:val="none"/>
          <w:lang w:val="en-US" w:eastAsia="zh-CN" w:bidi="ar"/>
        </w:rPr>
      </w:pPr>
      <w:r>
        <w:rPr>
          <w:rFonts w:hint="eastAsia" w:ascii="仿宋_GB2312" w:hAnsi="仿宋_GB2312" w:eastAsia="仿宋_GB2312" w:cs="仿宋_GB2312"/>
          <w:b/>
          <w:color w:val="auto"/>
          <w:sz w:val="28"/>
          <w:szCs w:val="28"/>
          <w:highlight w:val="none"/>
          <w:lang w:val="en-US" w:eastAsia="zh-CN" w:bidi="ar"/>
        </w:rPr>
        <w:t>3.2020年度单位重点工作</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）从严治党责任全面落实。</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扎实做好疫情防控工作</w:t>
      </w:r>
      <w:r>
        <w:rPr>
          <w:rFonts w:hint="eastAsia" w:ascii="仿宋_GB2312" w:hAnsi="仿宋_GB2312" w:eastAsia="仿宋_GB2312" w:cs="仿宋_GB2312"/>
          <w:color w:val="auto"/>
          <w:sz w:val="28"/>
          <w:szCs w:val="28"/>
          <w:highlight w:val="none"/>
          <w:lang w:eastAsia="zh-CN"/>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lang w:eastAsia="zh-CN"/>
        </w:rPr>
        <w:t>）延续巩固医保</w:t>
      </w:r>
      <w:r>
        <w:rPr>
          <w:rFonts w:hint="eastAsia" w:ascii="仿宋_GB2312" w:hAnsi="仿宋_GB2312" w:eastAsia="仿宋_GB2312" w:cs="仿宋_GB2312"/>
          <w:color w:val="auto"/>
          <w:sz w:val="28"/>
          <w:szCs w:val="28"/>
          <w:highlight w:val="none"/>
          <w:lang w:val="en-US" w:eastAsia="zh-CN"/>
        </w:rPr>
        <w:t>扶贫成果</w:t>
      </w:r>
      <w:r>
        <w:rPr>
          <w:rFonts w:hint="eastAsia" w:ascii="仿宋_GB2312" w:hAnsi="仿宋_GB2312" w:eastAsia="仿宋_GB2312" w:cs="仿宋_GB2312"/>
          <w:color w:val="auto"/>
          <w:sz w:val="28"/>
          <w:szCs w:val="28"/>
          <w:highlight w:val="none"/>
          <w:lang w:eastAsia="zh-CN"/>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lang w:eastAsia="zh-CN"/>
        </w:rPr>
        <w:t>）强化医保基金</w:t>
      </w:r>
      <w:r>
        <w:rPr>
          <w:rFonts w:hint="eastAsia" w:ascii="仿宋_GB2312" w:hAnsi="仿宋_GB2312" w:eastAsia="仿宋_GB2312" w:cs="仿宋_GB2312"/>
          <w:color w:val="auto"/>
          <w:sz w:val="28"/>
          <w:szCs w:val="28"/>
          <w:highlight w:val="none"/>
          <w:lang w:val="en-US" w:eastAsia="zh-CN"/>
        </w:rPr>
        <w:t>监管、深入开展专项整治工作。</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（5）全面开展医保各项业务工作。</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（6）电子医保凭证激活工作方面。</w:t>
      </w:r>
    </w:p>
    <w:p>
      <w:pPr>
        <w:keepNext w:val="0"/>
        <w:keepLines w:val="0"/>
        <w:pageBreakBefore w:val="0"/>
        <w:kinsoku/>
        <w:wordWrap/>
        <w:overflowPunct/>
        <w:topLinePunct w:val="0"/>
        <w:autoSpaceDE/>
        <w:autoSpaceDN/>
        <w:bidi w:val="0"/>
        <w:spacing w:line="440" w:lineRule="exact"/>
        <w:ind w:firstLine="281" w:firstLineChars="100"/>
        <w:textAlignment w:val="auto"/>
        <w:outlineLvl w:val="1"/>
        <w:rPr>
          <w:rFonts w:hint="eastAsia" w:ascii="楷体" w:hAnsi="楷体" w:eastAsia="楷体" w:cs="楷体"/>
          <w:b/>
          <w:bCs/>
          <w:color w:val="auto"/>
          <w:sz w:val="28"/>
          <w:szCs w:val="28"/>
          <w:lang w:bidi="ar"/>
        </w:rPr>
      </w:pPr>
      <w:bookmarkStart w:id="2" w:name="_Toc245"/>
      <w:r>
        <w:rPr>
          <w:rFonts w:hint="eastAsia" w:ascii="楷体" w:hAnsi="楷体" w:eastAsia="楷体" w:cs="楷体"/>
          <w:b/>
          <w:bCs/>
          <w:color w:val="auto"/>
          <w:sz w:val="28"/>
          <w:szCs w:val="28"/>
          <w:lang w:bidi="ar"/>
        </w:rPr>
        <w:t>（二）单位整体支出规模、使用方法和主要内容及涉及范围</w:t>
      </w:r>
      <w:bookmarkEnd w:id="2"/>
    </w:p>
    <w:p>
      <w:pPr>
        <w:keepNext w:val="0"/>
        <w:keepLines w:val="0"/>
        <w:pageBreakBefore w:val="0"/>
        <w:widowControl/>
        <w:kinsoku/>
        <w:wordWrap/>
        <w:overflowPunct/>
        <w:topLinePunct w:val="0"/>
        <w:autoSpaceDE/>
        <w:autoSpaceDN/>
        <w:bidi w:val="0"/>
        <w:spacing w:line="440" w:lineRule="exact"/>
        <w:ind w:firstLine="562" w:firstLineChars="200"/>
        <w:jc w:val="left"/>
        <w:textAlignment w:val="auto"/>
        <w:outlineLvl w:val="9"/>
        <w:rPr>
          <w:rFonts w:hint="eastAsia" w:ascii="仿宋_GB2312" w:hAnsi="仿宋_GB2312" w:eastAsia="仿宋_GB2312" w:cs="仿宋_GB2312"/>
          <w:b/>
          <w:color w:val="auto"/>
          <w:sz w:val="28"/>
          <w:szCs w:val="28"/>
          <w:lang w:val="en-US" w:eastAsia="zh-CN" w:bidi="ar"/>
        </w:rPr>
      </w:pPr>
      <w:r>
        <w:rPr>
          <w:rFonts w:hint="eastAsia" w:ascii="仿宋_GB2312" w:hAnsi="仿宋_GB2312" w:eastAsia="仿宋_GB2312" w:cs="仿宋_GB2312"/>
          <w:b/>
          <w:color w:val="auto"/>
          <w:sz w:val="28"/>
          <w:szCs w:val="28"/>
          <w:lang w:val="en-US" w:eastAsia="zh-CN" w:bidi="ar"/>
        </w:rPr>
        <w:t>1.整体支出规模</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20</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lang w:eastAsia="zh-CN"/>
        </w:rPr>
        <w:t>年初</w:t>
      </w:r>
      <w:r>
        <w:rPr>
          <w:rFonts w:hint="eastAsia" w:ascii="仿宋_GB2312" w:hAnsi="仿宋_GB2312" w:eastAsia="仿宋_GB2312" w:cs="仿宋_GB2312"/>
          <w:color w:val="auto"/>
          <w:sz w:val="28"/>
          <w:szCs w:val="28"/>
          <w:highlight w:val="none"/>
          <w:lang w:val="en-US" w:eastAsia="zh-CN"/>
        </w:rPr>
        <w:t>伊吾县财政局</w:t>
      </w:r>
      <w:r>
        <w:rPr>
          <w:rFonts w:hint="eastAsia" w:ascii="仿宋_GB2312" w:hAnsi="仿宋_GB2312" w:eastAsia="仿宋_GB2312" w:cs="仿宋_GB2312"/>
          <w:color w:val="auto"/>
          <w:sz w:val="28"/>
          <w:szCs w:val="28"/>
          <w:highlight w:val="none"/>
          <w:lang w:eastAsia="zh-CN"/>
        </w:rPr>
        <w:t>批复我单位部门预算为</w:t>
      </w:r>
      <w:r>
        <w:rPr>
          <w:rFonts w:hint="eastAsia" w:ascii="仿宋_GB2312" w:hAnsi="仿宋_GB2312" w:eastAsia="仿宋_GB2312" w:cs="仿宋_GB2312"/>
          <w:color w:val="auto"/>
          <w:sz w:val="28"/>
          <w:szCs w:val="28"/>
          <w:highlight w:val="none"/>
          <w:lang w:val="en-US" w:eastAsia="zh-CN"/>
        </w:rPr>
        <w:t>445.06</w:t>
      </w:r>
      <w:r>
        <w:rPr>
          <w:rFonts w:hint="eastAsia" w:ascii="仿宋_GB2312" w:hAnsi="仿宋_GB2312" w:eastAsia="仿宋_GB2312" w:cs="仿宋_GB2312"/>
          <w:color w:val="auto"/>
          <w:sz w:val="28"/>
          <w:szCs w:val="28"/>
          <w:highlight w:val="none"/>
          <w:lang w:eastAsia="zh-CN"/>
        </w:rPr>
        <w:t>万元，预算追加资金</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lang w:eastAsia="zh-CN"/>
        </w:rPr>
        <w:t>万元，</w:t>
      </w:r>
      <w:r>
        <w:rPr>
          <w:rFonts w:hint="eastAsia" w:ascii="仿宋_GB2312" w:hAnsi="仿宋_GB2312" w:eastAsia="仿宋_GB2312" w:cs="仿宋_GB2312"/>
          <w:color w:val="auto"/>
          <w:sz w:val="28"/>
          <w:szCs w:val="28"/>
          <w:highlight w:val="none"/>
          <w:lang w:val="en-US" w:eastAsia="zh-CN"/>
        </w:rPr>
        <w:t>上年结转资金0万元</w:t>
      </w:r>
      <w:r>
        <w:rPr>
          <w:rFonts w:hint="eastAsia" w:ascii="仿宋_GB2312" w:hAnsi="仿宋_GB2312" w:eastAsia="仿宋_GB2312" w:cs="仿宋_GB2312"/>
          <w:color w:val="auto"/>
          <w:sz w:val="28"/>
          <w:szCs w:val="28"/>
          <w:highlight w:val="none"/>
          <w:lang w:eastAsia="zh-CN"/>
        </w:rPr>
        <w:t>；20</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lang w:eastAsia="zh-CN"/>
        </w:rPr>
        <w:t>年实际决算支出</w:t>
      </w:r>
      <w:r>
        <w:rPr>
          <w:rFonts w:hint="eastAsia" w:ascii="仿宋_GB2312" w:hAnsi="仿宋_GB2312" w:eastAsia="仿宋_GB2312" w:cs="仿宋_GB2312"/>
          <w:color w:val="auto"/>
          <w:sz w:val="28"/>
          <w:szCs w:val="28"/>
          <w:highlight w:val="none"/>
          <w:lang w:val="en-US" w:eastAsia="zh-CN"/>
        </w:rPr>
        <w:t>418.97</w:t>
      </w:r>
      <w:r>
        <w:rPr>
          <w:rFonts w:hint="eastAsia" w:ascii="仿宋_GB2312" w:hAnsi="仿宋_GB2312" w:eastAsia="仿宋_GB2312" w:cs="仿宋_GB2312"/>
          <w:color w:val="auto"/>
          <w:sz w:val="28"/>
          <w:szCs w:val="28"/>
          <w:highlight w:val="none"/>
          <w:lang w:eastAsia="zh-CN"/>
        </w:rPr>
        <w:t>万元，其中工资福利支出</w:t>
      </w:r>
      <w:r>
        <w:rPr>
          <w:rFonts w:hint="eastAsia" w:ascii="仿宋_GB2312" w:hAnsi="仿宋_GB2312" w:eastAsia="仿宋_GB2312" w:cs="仿宋_GB2312"/>
          <w:color w:val="auto"/>
          <w:sz w:val="28"/>
          <w:szCs w:val="28"/>
          <w:highlight w:val="none"/>
          <w:lang w:val="en-US" w:eastAsia="zh-CN"/>
        </w:rPr>
        <w:t>120.76</w:t>
      </w:r>
      <w:r>
        <w:rPr>
          <w:rFonts w:hint="eastAsia" w:ascii="仿宋_GB2312" w:hAnsi="仿宋_GB2312" w:eastAsia="仿宋_GB2312" w:cs="仿宋_GB2312"/>
          <w:color w:val="auto"/>
          <w:sz w:val="28"/>
          <w:szCs w:val="28"/>
          <w:highlight w:val="none"/>
          <w:lang w:eastAsia="zh-CN"/>
        </w:rPr>
        <w:t>万元、商品和服务支出</w:t>
      </w:r>
      <w:r>
        <w:rPr>
          <w:rFonts w:hint="eastAsia" w:ascii="仿宋_GB2312" w:hAnsi="仿宋_GB2312" w:eastAsia="仿宋_GB2312" w:cs="仿宋_GB2312"/>
          <w:color w:val="auto"/>
          <w:sz w:val="28"/>
          <w:szCs w:val="28"/>
          <w:highlight w:val="none"/>
          <w:lang w:val="en-US" w:eastAsia="zh-CN"/>
        </w:rPr>
        <w:t>13.14</w:t>
      </w:r>
      <w:r>
        <w:rPr>
          <w:rFonts w:hint="eastAsia" w:ascii="仿宋_GB2312" w:hAnsi="仿宋_GB2312" w:eastAsia="仿宋_GB2312" w:cs="仿宋_GB2312"/>
          <w:color w:val="auto"/>
          <w:sz w:val="28"/>
          <w:szCs w:val="28"/>
          <w:highlight w:val="none"/>
          <w:lang w:eastAsia="zh-CN"/>
        </w:rPr>
        <w:t>万元，对个人和家庭的补助</w:t>
      </w:r>
      <w:r>
        <w:rPr>
          <w:rFonts w:hint="eastAsia" w:ascii="仿宋_GB2312" w:hAnsi="仿宋_GB2312" w:eastAsia="仿宋_GB2312" w:cs="仿宋_GB2312"/>
          <w:color w:val="auto"/>
          <w:sz w:val="28"/>
          <w:szCs w:val="28"/>
          <w:highlight w:val="none"/>
          <w:lang w:val="en-US" w:eastAsia="zh-CN"/>
        </w:rPr>
        <w:t>275.64</w:t>
      </w:r>
      <w:r>
        <w:rPr>
          <w:rFonts w:hint="eastAsia" w:ascii="仿宋_GB2312" w:hAnsi="仿宋_GB2312" w:eastAsia="仿宋_GB2312" w:cs="仿宋_GB2312"/>
          <w:color w:val="auto"/>
          <w:sz w:val="28"/>
          <w:szCs w:val="28"/>
          <w:highlight w:val="none"/>
          <w:lang w:eastAsia="zh-CN"/>
        </w:rPr>
        <w:t>万元，其他资本性支出</w:t>
      </w:r>
      <w:r>
        <w:rPr>
          <w:rFonts w:hint="eastAsia" w:ascii="仿宋_GB2312" w:hAnsi="仿宋_GB2312" w:eastAsia="仿宋_GB2312" w:cs="仿宋_GB2312"/>
          <w:color w:val="auto"/>
          <w:sz w:val="28"/>
          <w:szCs w:val="28"/>
          <w:highlight w:val="none"/>
          <w:lang w:val="en-US" w:eastAsia="zh-CN"/>
        </w:rPr>
        <w:t>8.5</w:t>
      </w:r>
      <w:r>
        <w:rPr>
          <w:rFonts w:hint="eastAsia" w:ascii="仿宋_GB2312" w:hAnsi="仿宋_GB2312" w:eastAsia="仿宋_GB2312" w:cs="仿宋_GB2312"/>
          <w:color w:val="auto"/>
          <w:sz w:val="28"/>
          <w:szCs w:val="28"/>
          <w:highlight w:val="none"/>
          <w:lang w:eastAsia="zh-CN"/>
        </w:rPr>
        <w:t>万元。</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上述决算支出</w:t>
      </w:r>
      <w:r>
        <w:rPr>
          <w:rFonts w:hint="eastAsia" w:ascii="仿宋_GB2312" w:hAnsi="仿宋_GB2312" w:eastAsia="仿宋_GB2312" w:cs="仿宋_GB2312"/>
          <w:color w:val="auto"/>
          <w:sz w:val="28"/>
          <w:szCs w:val="28"/>
          <w:highlight w:val="none"/>
          <w:lang w:val="en-US" w:eastAsia="zh-CN"/>
        </w:rPr>
        <w:t>418.04</w:t>
      </w:r>
      <w:r>
        <w:rPr>
          <w:rFonts w:hint="eastAsia" w:ascii="仿宋_GB2312" w:hAnsi="仿宋_GB2312" w:eastAsia="仿宋_GB2312" w:cs="仿宋_GB2312"/>
          <w:color w:val="auto"/>
          <w:sz w:val="28"/>
          <w:szCs w:val="28"/>
          <w:highlight w:val="none"/>
          <w:lang w:eastAsia="zh-CN"/>
        </w:rPr>
        <w:t>万元中，基本支出</w:t>
      </w:r>
      <w:r>
        <w:rPr>
          <w:rFonts w:hint="eastAsia" w:ascii="仿宋_GB2312" w:hAnsi="仿宋_GB2312" w:eastAsia="仿宋_GB2312" w:cs="仿宋_GB2312"/>
          <w:color w:val="auto"/>
          <w:sz w:val="28"/>
          <w:szCs w:val="28"/>
          <w:highlight w:val="none"/>
          <w:lang w:val="en-US" w:eastAsia="zh-CN"/>
        </w:rPr>
        <w:t>127.88</w:t>
      </w:r>
      <w:r>
        <w:rPr>
          <w:rFonts w:hint="eastAsia" w:ascii="仿宋_GB2312" w:hAnsi="仿宋_GB2312" w:eastAsia="仿宋_GB2312" w:cs="仿宋_GB2312"/>
          <w:color w:val="auto"/>
          <w:sz w:val="28"/>
          <w:szCs w:val="28"/>
          <w:highlight w:val="none"/>
          <w:lang w:eastAsia="zh-CN"/>
        </w:rPr>
        <w:t>万元，项目支出</w:t>
      </w:r>
      <w:r>
        <w:rPr>
          <w:rFonts w:hint="eastAsia" w:ascii="仿宋_GB2312" w:hAnsi="仿宋_GB2312" w:eastAsia="仿宋_GB2312" w:cs="仿宋_GB2312"/>
          <w:color w:val="auto"/>
          <w:sz w:val="28"/>
          <w:szCs w:val="28"/>
          <w:highlight w:val="none"/>
          <w:lang w:val="en-US" w:eastAsia="zh-CN"/>
        </w:rPr>
        <w:t>290.15</w:t>
      </w:r>
      <w:r>
        <w:rPr>
          <w:rFonts w:hint="eastAsia" w:ascii="仿宋_GB2312" w:hAnsi="仿宋_GB2312" w:eastAsia="仿宋_GB2312" w:cs="仿宋_GB2312"/>
          <w:color w:val="auto"/>
          <w:sz w:val="28"/>
          <w:szCs w:val="28"/>
          <w:highlight w:val="none"/>
          <w:lang w:eastAsia="zh-CN"/>
        </w:rPr>
        <w:t>万元。</w:t>
      </w:r>
      <w:r>
        <w:rPr>
          <w:rFonts w:hint="eastAsia" w:ascii="仿宋_GB2312" w:hAnsi="仿宋_GB2312" w:eastAsia="仿宋_GB2312" w:cs="仿宋_GB2312"/>
          <w:color w:val="auto"/>
          <w:sz w:val="28"/>
          <w:szCs w:val="28"/>
          <w:highlight w:val="none"/>
          <w:lang w:val="en-US" w:eastAsia="zh-CN"/>
        </w:rPr>
        <w:t>年未结余结转资金0.9万元。预算执行率93.93%，预算调整率0.06%。</w:t>
      </w:r>
    </w:p>
    <w:p>
      <w:pPr>
        <w:keepNext w:val="0"/>
        <w:keepLines w:val="0"/>
        <w:pageBreakBefore w:val="0"/>
        <w:widowControl/>
        <w:kinsoku/>
        <w:wordWrap/>
        <w:overflowPunct/>
        <w:topLinePunct w:val="0"/>
        <w:autoSpaceDE/>
        <w:autoSpaceDN/>
        <w:bidi w:val="0"/>
        <w:spacing w:line="440" w:lineRule="exact"/>
        <w:ind w:firstLine="630"/>
        <w:jc w:val="left"/>
        <w:textAlignment w:val="auto"/>
        <w:outlineLvl w:val="9"/>
        <w:rPr>
          <w:rFonts w:hint="eastAsia" w:ascii="仿宋_GB2312" w:hAnsi="仿宋_GB2312" w:eastAsia="仿宋_GB2312" w:cs="仿宋_GB2312"/>
          <w:b/>
          <w:color w:val="auto"/>
          <w:sz w:val="28"/>
          <w:szCs w:val="28"/>
          <w:highlight w:val="none"/>
          <w:lang w:val="en-US" w:eastAsia="zh-CN" w:bidi="ar"/>
        </w:rPr>
      </w:pPr>
      <w:r>
        <w:rPr>
          <w:rFonts w:hint="eastAsia" w:ascii="仿宋_GB2312" w:hAnsi="仿宋_GB2312" w:eastAsia="仿宋_GB2312" w:cs="仿宋_GB2312"/>
          <w:b/>
          <w:color w:val="auto"/>
          <w:sz w:val="28"/>
          <w:szCs w:val="28"/>
          <w:highlight w:val="none"/>
          <w:lang w:val="en-US" w:eastAsia="zh-CN" w:bidi="ar"/>
        </w:rPr>
        <w:t>2.整体支出使用情况</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highlight w:val="none"/>
          <w:lang w:eastAsia="zh-CN"/>
        </w:rPr>
        <w:t>基本支出由财政部门按照进</w:t>
      </w:r>
      <w:r>
        <w:rPr>
          <w:rFonts w:hint="eastAsia" w:ascii="仿宋_GB2312" w:hAnsi="仿宋_GB2312" w:eastAsia="仿宋_GB2312" w:cs="仿宋_GB2312"/>
          <w:color w:val="auto"/>
          <w:sz w:val="28"/>
          <w:szCs w:val="28"/>
          <w:lang w:eastAsia="zh-CN"/>
        </w:rPr>
        <w:t>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p>
    <w:p>
      <w:pPr>
        <w:keepNext w:val="0"/>
        <w:keepLines w:val="0"/>
        <w:pageBreakBefore w:val="0"/>
        <w:widowControl/>
        <w:kinsoku/>
        <w:wordWrap/>
        <w:overflowPunct/>
        <w:topLinePunct w:val="0"/>
        <w:autoSpaceDE/>
        <w:autoSpaceDN/>
        <w:bidi w:val="0"/>
        <w:spacing w:line="440" w:lineRule="exact"/>
        <w:ind w:firstLine="630"/>
        <w:jc w:val="left"/>
        <w:textAlignment w:val="auto"/>
        <w:outlineLvl w:val="9"/>
        <w:rPr>
          <w:rFonts w:hint="eastAsia" w:ascii="仿宋_GB2312" w:hAnsi="仿宋_GB2312" w:eastAsia="仿宋_GB2312" w:cs="仿宋_GB2312"/>
          <w:b/>
          <w:color w:val="auto"/>
          <w:sz w:val="28"/>
          <w:szCs w:val="28"/>
          <w:lang w:val="en-US" w:eastAsia="zh-CN" w:bidi="ar"/>
        </w:rPr>
      </w:pPr>
      <w:r>
        <w:rPr>
          <w:rFonts w:hint="eastAsia" w:ascii="仿宋_GB2312" w:hAnsi="仿宋_GB2312" w:eastAsia="仿宋_GB2312" w:cs="仿宋_GB2312"/>
          <w:b/>
          <w:color w:val="auto"/>
          <w:sz w:val="28"/>
          <w:szCs w:val="28"/>
          <w:lang w:val="en-US" w:eastAsia="zh-CN" w:bidi="ar"/>
        </w:rPr>
        <w:t>3.整体支出主要内容及涉及范围</w:t>
      </w:r>
    </w:p>
    <w:p>
      <w:pPr>
        <w:pStyle w:val="24"/>
        <w:keepNext w:val="0"/>
        <w:keepLines w:val="0"/>
        <w:pageBreakBefore w:val="0"/>
        <w:kinsoku/>
        <w:wordWrap/>
        <w:overflowPunct/>
        <w:topLinePunct w:val="0"/>
        <w:autoSpaceDE/>
        <w:autoSpaceDN/>
        <w:bidi w:val="0"/>
        <w:spacing w:line="440" w:lineRule="exact"/>
        <w:textAlignment w:val="auto"/>
        <w:outlineLvl w:val="9"/>
        <w:rPr>
          <w:rFonts w:cs="仿宋_GB2312"/>
          <w:color w:val="auto"/>
          <w:sz w:val="28"/>
          <w:szCs w:val="28"/>
          <w:lang w:bidi="ar"/>
        </w:rPr>
      </w:pPr>
      <w:r>
        <w:rPr>
          <w:rFonts w:hint="eastAsia" w:cs="仿宋_GB2312"/>
          <w:b/>
          <w:bCs/>
          <w:color w:val="auto"/>
          <w:sz w:val="28"/>
          <w:szCs w:val="28"/>
          <w:lang w:bidi="ar"/>
        </w:rPr>
        <w:t>基本支出</w:t>
      </w:r>
      <w:r>
        <w:rPr>
          <w:rFonts w:hint="eastAsia" w:ascii="仿宋_GB2312" w:hAnsi="仿宋_GB2312" w:eastAsia="仿宋_GB2312" w:cs="仿宋_GB2312"/>
          <w:color w:val="auto"/>
          <w:sz w:val="28"/>
          <w:szCs w:val="28"/>
          <w:lang w:val="en-US" w:eastAsia="zh-CN" w:bidi="ar-SA"/>
        </w:rPr>
        <w:t>包括人员经费主要包括：人员支出和公用支出。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24"/>
        <w:keepNext w:val="0"/>
        <w:keepLines w:val="0"/>
        <w:pageBreakBefore w:val="0"/>
        <w:kinsoku/>
        <w:wordWrap/>
        <w:overflowPunct/>
        <w:topLinePunct w:val="0"/>
        <w:autoSpaceDE/>
        <w:autoSpaceDN/>
        <w:bidi w:val="0"/>
        <w:spacing w:line="440" w:lineRule="exact"/>
        <w:textAlignment w:val="auto"/>
        <w:outlineLvl w:val="9"/>
        <w:rPr>
          <w:rFonts w:hint="eastAsia" w:cs="仿宋_GB2312"/>
          <w:color w:val="auto"/>
          <w:sz w:val="28"/>
          <w:szCs w:val="28"/>
          <w:lang w:bidi="ar"/>
        </w:rPr>
      </w:pPr>
      <w:r>
        <w:rPr>
          <w:rFonts w:hint="eastAsia" w:cs="仿宋_GB2312"/>
          <w:b/>
          <w:bCs/>
          <w:color w:val="auto"/>
          <w:sz w:val="28"/>
          <w:szCs w:val="28"/>
          <w:lang w:bidi="ar"/>
        </w:rPr>
        <w:t>项目支出</w:t>
      </w:r>
      <w:r>
        <w:rPr>
          <w:rFonts w:hint="eastAsia" w:cs="仿宋_GB2312"/>
          <w:color w:val="auto"/>
          <w:sz w:val="28"/>
          <w:szCs w:val="28"/>
          <w:lang w:bidi="ar"/>
        </w:rPr>
        <w:t>包括医保局业务工作经费</w:t>
      </w:r>
      <w:r>
        <w:rPr>
          <w:rFonts w:hint="eastAsia" w:cs="仿宋_GB2312"/>
          <w:color w:val="auto"/>
          <w:sz w:val="28"/>
          <w:szCs w:val="28"/>
          <w:lang w:eastAsia="zh-CN" w:bidi="ar"/>
        </w:rPr>
        <w:t>、财政对城乡居民的医疗救助补助费</w:t>
      </w:r>
      <w:r>
        <w:rPr>
          <w:rFonts w:hint="eastAsia" w:cs="仿宋_GB2312"/>
          <w:color w:val="auto"/>
          <w:sz w:val="28"/>
          <w:szCs w:val="28"/>
          <w:lang w:bidi="ar"/>
        </w:rPr>
        <w:t>。</w:t>
      </w:r>
    </w:p>
    <w:p>
      <w:pPr>
        <w:pStyle w:val="24"/>
        <w:keepNext w:val="0"/>
        <w:keepLines w:val="0"/>
        <w:pageBreakBefore w:val="0"/>
        <w:numPr>
          <w:ilvl w:val="0"/>
          <w:numId w:val="0"/>
        </w:numPr>
        <w:kinsoku/>
        <w:wordWrap/>
        <w:overflowPunct/>
        <w:topLinePunct w:val="0"/>
        <w:autoSpaceDE/>
        <w:autoSpaceDN/>
        <w:bidi w:val="0"/>
        <w:spacing w:line="440" w:lineRule="exact"/>
        <w:ind w:leftChars="0" w:firstLine="562" w:firstLineChars="200"/>
        <w:textAlignment w:val="auto"/>
        <w:outlineLvl w:val="9"/>
        <w:rPr>
          <w:rFonts w:hint="eastAsia" w:ascii="仿宋_GB2312" w:hAnsi="仿宋_GB2312" w:eastAsia="仿宋_GB2312" w:cs="仿宋_GB2312"/>
          <w:b/>
          <w:color w:val="auto"/>
          <w:sz w:val="28"/>
          <w:szCs w:val="28"/>
          <w:lang w:val="en-US" w:eastAsia="zh-CN" w:bidi="ar"/>
        </w:rPr>
      </w:pPr>
      <w:r>
        <w:rPr>
          <w:rFonts w:hint="eastAsia" w:ascii="仿宋_GB2312" w:hAnsi="仿宋_GB2312" w:eastAsia="仿宋_GB2312" w:cs="仿宋_GB2312"/>
          <w:b/>
          <w:color w:val="auto"/>
          <w:sz w:val="28"/>
          <w:szCs w:val="28"/>
          <w:lang w:val="en-US" w:eastAsia="zh-CN" w:bidi="ar"/>
        </w:rPr>
        <w:t>4.评价使用方法和主要内容、涉及范围</w:t>
      </w:r>
    </w:p>
    <w:p>
      <w:pPr>
        <w:pStyle w:val="24"/>
        <w:keepNext w:val="0"/>
        <w:keepLines w:val="0"/>
        <w:pageBreakBefore w:val="0"/>
        <w:kinsoku/>
        <w:wordWrap/>
        <w:overflowPunct/>
        <w:topLinePunct w:val="0"/>
        <w:autoSpaceDE/>
        <w:autoSpaceDN/>
        <w:bidi w:val="0"/>
        <w:spacing w:line="440" w:lineRule="exact"/>
        <w:textAlignment w:val="auto"/>
        <w:outlineLvl w:val="9"/>
        <w:rPr>
          <w:rFonts w:hint="eastAsia" w:ascii="仿宋_GB2312" w:hAnsi="仿宋_GB2312" w:eastAsia="仿宋_GB2312" w:cs="仿宋_GB2312"/>
          <w:color w:val="auto"/>
          <w:sz w:val="28"/>
          <w:szCs w:val="28"/>
          <w:lang w:val="en-US" w:eastAsia="zh-CN" w:bidi="ar-SA"/>
        </w:rPr>
      </w:pPr>
      <w:r>
        <w:rPr>
          <w:rFonts w:hint="eastAsia" w:ascii="仿宋_GB2312" w:hAnsi="仿宋_GB2312" w:eastAsia="仿宋_GB2312" w:cs="仿宋_GB2312"/>
          <w:color w:val="auto"/>
          <w:sz w:val="28"/>
          <w:szCs w:val="28"/>
          <w:lang w:val="en-US" w:eastAsia="zh-CN" w:bidi="ar-SA"/>
        </w:rPr>
        <w:t>本次评价坚持定量优先、定量与定性相结合的方式，始终遵循科学规范、公正公开、分级分类、绩效相关的基本原则。主要运用成本效益分析法、比较法、因素分析法、最低成本法、</w:t>
      </w:r>
      <w:r>
        <w:rPr>
          <w:rFonts w:hint="eastAsia" w:cs="仿宋_GB2312"/>
          <w:color w:val="auto"/>
          <w:sz w:val="28"/>
          <w:szCs w:val="28"/>
          <w:lang w:val="en-US" w:eastAsia="zh-CN" w:bidi="ar-SA"/>
        </w:rPr>
        <w:t>公众</w:t>
      </w:r>
      <w:r>
        <w:rPr>
          <w:rFonts w:hint="eastAsia" w:ascii="仿宋_GB2312" w:hAnsi="仿宋_GB2312" w:eastAsia="仿宋_GB2312" w:cs="仿宋_GB2312"/>
          <w:color w:val="auto"/>
          <w:sz w:val="28"/>
          <w:szCs w:val="28"/>
          <w:lang w:val="en-US" w:eastAsia="zh-CN" w:bidi="ar-SA"/>
        </w:rPr>
        <w:t>评判法、文献法、对比分析法等方法，具体评价方法如下：</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440" w:lineRule="exact"/>
        <w:ind w:left="0" w:right="0" w:firstLine="640"/>
        <w:jc w:val="both"/>
        <w:textAlignment w:val="auto"/>
        <w:rPr>
          <w:rFonts w:hint="eastAsia" w:ascii="仿宋_GB2312" w:eastAsia="仿宋_GB2312" w:cs="仿宋_GB2312"/>
          <w:bCs/>
          <w:color w:val="auto"/>
          <w:sz w:val="28"/>
          <w:szCs w:val="28"/>
          <w:lang w:val="en-US"/>
        </w:rPr>
      </w:pPr>
      <w:r>
        <w:rPr>
          <w:rFonts w:hint="eastAsia" w:ascii="仿宋_GB2312" w:hAnsi="Times New Roman" w:eastAsia="仿宋_GB2312" w:cs="仿宋_GB2312"/>
          <w:bCs/>
          <w:color w:val="auto"/>
          <w:kern w:val="2"/>
          <w:sz w:val="28"/>
          <w:szCs w:val="28"/>
          <w:lang w:val="en-US" w:eastAsia="zh-CN" w:bidi="ar"/>
        </w:rPr>
        <w:t xml:space="preserve">成本效益分析法：是指将投入与产出、效益进行关联性分析的方法。 </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440" w:lineRule="exact"/>
        <w:ind w:left="0" w:right="0" w:firstLine="565" w:firstLineChars="202"/>
        <w:jc w:val="both"/>
        <w:textAlignment w:val="auto"/>
        <w:rPr>
          <w:rFonts w:hint="eastAsia" w:ascii="仿宋_GB2312" w:eastAsia="仿宋_GB2312" w:cs="仿宋_GB2312"/>
          <w:bCs/>
          <w:color w:val="auto"/>
          <w:sz w:val="28"/>
          <w:szCs w:val="28"/>
          <w:lang w:val="en-US"/>
        </w:rPr>
      </w:pPr>
      <w:r>
        <w:rPr>
          <w:rFonts w:hint="eastAsia" w:ascii="仿宋_GB2312" w:hAnsi="Times New Roman" w:eastAsia="仿宋_GB2312" w:cs="仿宋_GB2312"/>
          <w:bCs/>
          <w:color w:val="auto"/>
          <w:kern w:val="2"/>
          <w:sz w:val="28"/>
          <w:szCs w:val="28"/>
          <w:lang w:val="en-US" w:eastAsia="zh-CN" w:bidi="ar"/>
        </w:rPr>
        <w:t>比较法：是指将实施情况与绩效目标、历史情况、不同部门和地区同类支出情况进行比较的方法。</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440" w:lineRule="exact"/>
        <w:ind w:left="0" w:right="0" w:firstLine="640"/>
        <w:jc w:val="both"/>
        <w:textAlignment w:val="auto"/>
        <w:rPr>
          <w:rFonts w:hint="eastAsia" w:ascii="仿宋_GB2312" w:eastAsia="仿宋_GB2312" w:cs="仿宋_GB2312"/>
          <w:bCs/>
          <w:color w:val="auto"/>
          <w:sz w:val="28"/>
          <w:szCs w:val="28"/>
          <w:lang w:val="en-US"/>
        </w:rPr>
      </w:pPr>
      <w:r>
        <w:rPr>
          <w:rFonts w:hint="eastAsia" w:ascii="仿宋_GB2312" w:hAnsi="Times New Roman" w:eastAsia="仿宋_GB2312" w:cs="仿宋_GB2312"/>
          <w:bCs/>
          <w:color w:val="auto"/>
          <w:kern w:val="2"/>
          <w:sz w:val="28"/>
          <w:szCs w:val="28"/>
          <w:lang w:val="en-US" w:eastAsia="zh-CN" w:bidi="ar"/>
        </w:rPr>
        <w:t>因素分析法：是指综合分析影响绩效目标实现、实施效果的内外部因素的方法。</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440" w:lineRule="exact"/>
        <w:ind w:left="0" w:right="0" w:firstLine="640"/>
        <w:jc w:val="both"/>
        <w:textAlignment w:val="auto"/>
        <w:rPr>
          <w:rFonts w:hint="eastAsia" w:ascii="仿宋_GB2312" w:eastAsia="仿宋_GB2312" w:cs="仿宋_GB2312"/>
          <w:bCs/>
          <w:color w:val="auto"/>
          <w:sz w:val="28"/>
          <w:szCs w:val="28"/>
          <w:lang w:val="en-US"/>
        </w:rPr>
      </w:pPr>
      <w:r>
        <w:rPr>
          <w:rFonts w:hint="eastAsia" w:ascii="仿宋_GB2312" w:hAnsi="Times New Roman" w:eastAsia="仿宋_GB2312" w:cs="仿宋_GB2312"/>
          <w:bCs/>
          <w:color w:val="auto"/>
          <w:kern w:val="2"/>
          <w:sz w:val="28"/>
          <w:szCs w:val="28"/>
          <w:lang w:val="en-US" w:eastAsia="zh-CN" w:bidi="ar"/>
        </w:rPr>
        <w:t>最低成本法：是指在绩效目标确定的前提下，成本最小者为优的方法。</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440" w:lineRule="exact"/>
        <w:ind w:left="0" w:right="0" w:firstLine="640"/>
        <w:jc w:val="both"/>
        <w:textAlignment w:val="auto"/>
        <w:rPr>
          <w:rFonts w:hint="eastAsia" w:ascii="仿宋_GB2312" w:eastAsia="仿宋_GB2312" w:cs="仿宋_GB2312"/>
          <w:bCs/>
          <w:color w:val="auto"/>
          <w:sz w:val="28"/>
          <w:szCs w:val="28"/>
          <w:lang w:val="en-US"/>
        </w:rPr>
      </w:pPr>
      <w:r>
        <w:rPr>
          <w:rFonts w:hint="eastAsia" w:ascii="仿宋_GB2312" w:hAnsi="Times New Roman" w:eastAsia="仿宋_GB2312" w:cs="仿宋_GB2312"/>
          <w:bCs/>
          <w:color w:val="auto"/>
          <w:kern w:val="2"/>
          <w:sz w:val="28"/>
          <w:szCs w:val="28"/>
          <w:lang w:val="en-US" w:eastAsia="zh-CN" w:bidi="ar"/>
        </w:rPr>
        <w:t>公众评判法：是指通过专家评估、公众问卷及抽样调查等方式进行评判的方法。</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440" w:lineRule="exact"/>
        <w:ind w:left="0" w:right="0" w:firstLine="640"/>
        <w:jc w:val="both"/>
        <w:textAlignment w:val="auto"/>
        <w:rPr>
          <w:rFonts w:hint="eastAsia" w:ascii="仿宋_GB2312" w:hAnsi="Times New Roman" w:eastAsia="仿宋_GB2312" w:cs="仿宋_GB2312"/>
          <w:bCs/>
          <w:color w:val="auto"/>
          <w:kern w:val="2"/>
          <w:sz w:val="28"/>
          <w:szCs w:val="28"/>
          <w:lang w:val="en-US" w:eastAsia="zh-CN" w:bidi="ar"/>
        </w:rPr>
      </w:pPr>
      <w:r>
        <w:rPr>
          <w:rFonts w:hint="eastAsia" w:ascii="仿宋_GB2312" w:hAnsi="Times New Roman" w:eastAsia="仿宋_GB2312" w:cs="仿宋_GB2312"/>
          <w:bCs/>
          <w:color w:val="auto"/>
          <w:kern w:val="2"/>
          <w:sz w:val="28"/>
          <w:szCs w:val="28"/>
          <w:lang w:val="en-US" w:eastAsia="zh-CN" w:bidi="ar"/>
        </w:rPr>
        <w:t>标杆管理法：是指以国内外同行业中较高的绩效水平为标杆进行评判的方法。</w:t>
      </w:r>
    </w:p>
    <w:p>
      <w:pPr>
        <w:keepNext w:val="0"/>
        <w:keepLines w:val="0"/>
        <w:pageBreakBefore w:val="0"/>
        <w:kinsoku/>
        <w:wordWrap/>
        <w:overflowPunct/>
        <w:topLinePunct w:val="0"/>
        <w:autoSpaceDE/>
        <w:autoSpaceDN/>
        <w:bidi w:val="0"/>
        <w:spacing w:line="440" w:lineRule="exact"/>
        <w:ind w:firstLine="562" w:firstLineChars="200"/>
        <w:textAlignment w:val="auto"/>
        <w:outlineLvl w:val="9"/>
        <w:rPr>
          <w:rFonts w:hint="eastAsia" w:ascii="仿宋_GB2312" w:hAnsi="仿宋_GB2312" w:eastAsia="仿宋_GB2312" w:cs="仿宋_GB2312"/>
          <w:color w:val="auto"/>
          <w:sz w:val="28"/>
          <w:szCs w:val="28"/>
          <w:lang w:val="en-US" w:eastAsia="zh-CN" w:bidi="ar-SA"/>
        </w:rPr>
      </w:pPr>
      <w:r>
        <w:rPr>
          <w:rFonts w:hint="eastAsia" w:cs="仿宋_GB2312"/>
          <w:b/>
          <w:bCs/>
          <w:color w:val="auto"/>
          <w:sz w:val="28"/>
          <w:szCs w:val="28"/>
          <w:lang w:val="en-US" w:eastAsia="zh-CN" w:bidi="ar"/>
        </w:rPr>
        <w:t>评价内容：</w:t>
      </w:r>
      <w:r>
        <w:rPr>
          <w:rFonts w:hint="eastAsia" w:ascii="仿宋_GB2312" w:hAnsi="Times New Roman" w:eastAsia="仿宋_GB2312" w:cs="Times New Roman"/>
          <w:color w:val="auto"/>
          <w:sz w:val="28"/>
          <w:szCs w:val="28"/>
        </w:rPr>
        <w:t>对</w:t>
      </w:r>
      <w:r>
        <w:rPr>
          <w:rFonts w:hint="eastAsia" w:ascii="仿宋_GB2312" w:hAnsi="仿宋_GB2312" w:eastAsia="仿宋_GB2312" w:cs="仿宋_GB2312"/>
          <w:color w:val="auto"/>
          <w:sz w:val="28"/>
          <w:szCs w:val="28"/>
          <w:lang w:val="en-US" w:eastAsia="zh-CN" w:bidi="ar-SA"/>
        </w:rPr>
        <w:t>单位基本情况、决策过程过程、整体项目绩产出情况、整体项目绩效益情况等方面进行评价，包括整体项目绩立项、整体绩效目标、整体项目绩资金投入、整体项目绩资金管理、整体产出数量、整体产出质量、整体产出效率、整体产出成本、整体社会效益、整体群众满意度等。通过评价，客观反映出我单位部门整体绩效实施情况，以及部门整体绩效实施以来所产生的社会效益、经济效益、生态效益、可持续影响效益。</w:t>
      </w:r>
    </w:p>
    <w:p>
      <w:pPr>
        <w:keepNext w:val="0"/>
        <w:keepLines w:val="0"/>
        <w:pageBreakBefore w:val="0"/>
        <w:kinsoku/>
        <w:wordWrap/>
        <w:overflowPunct/>
        <w:topLinePunct w:val="0"/>
        <w:autoSpaceDE/>
        <w:autoSpaceDN/>
        <w:bidi w:val="0"/>
        <w:spacing w:line="440" w:lineRule="exact"/>
        <w:ind w:firstLine="551" w:firstLineChars="196"/>
        <w:textAlignment w:val="auto"/>
        <w:outlineLvl w:val="9"/>
        <w:rPr>
          <w:rFonts w:hint="eastAsia" w:ascii="仿宋_GB2312" w:hAnsi="仿宋_GB2312" w:eastAsia="仿宋_GB2312" w:cs="仿宋_GB2312"/>
          <w:color w:val="auto"/>
          <w:sz w:val="28"/>
          <w:szCs w:val="28"/>
          <w:lang w:val="en-US" w:eastAsia="zh-CN" w:bidi="ar-SA"/>
        </w:rPr>
      </w:pPr>
      <w:r>
        <w:rPr>
          <w:rFonts w:hint="eastAsia" w:cs="仿宋_GB2312"/>
          <w:b/>
          <w:bCs/>
          <w:color w:val="auto"/>
          <w:sz w:val="28"/>
          <w:szCs w:val="28"/>
          <w:lang w:val="en-US" w:eastAsia="zh-CN" w:bidi="ar"/>
        </w:rPr>
        <w:t>评价范围：</w:t>
      </w:r>
      <w:r>
        <w:rPr>
          <w:rFonts w:hint="eastAsia" w:ascii="仿宋_GB2312" w:hAnsi="仿宋_GB2312" w:eastAsia="仿宋_GB2312" w:cs="仿宋_GB2312"/>
          <w:color w:val="auto"/>
          <w:sz w:val="28"/>
          <w:szCs w:val="28"/>
          <w:lang w:val="en-US" w:eastAsia="zh-CN" w:bidi="ar-SA"/>
        </w:rPr>
        <w:t>对单位立项充分性、立项合规性、单位基本情况、决策过程过程、整体绩效完成情况的全过程进行客观评价。单位的基本情况体现项目设立重要性和必要性。在全年实施过程中基本支出、项目实施根据实际需求开展工作。</w:t>
      </w:r>
    </w:p>
    <w:p>
      <w:pPr>
        <w:pStyle w:val="24"/>
        <w:keepNext w:val="0"/>
        <w:keepLines w:val="0"/>
        <w:pageBreakBefore w:val="0"/>
        <w:kinsoku/>
        <w:wordWrap/>
        <w:overflowPunct/>
        <w:topLinePunct w:val="0"/>
        <w:autoSpaceDE/>
        <w:autoSpaceDN/>
        <w:bidi w:val="0"/>
        <w:spacing w:line="440" w:lineRule="exact"/>
        <w:textAlignment w:val="auto"/>
        <w:outlineLvl w:val="9"/>
        <w:rPr>
          <w:rFonts w:hint="default" w:eastAsia="仿宋_GB2312" w:cs="仿宋_GB2312"/>
          <w:color w:val="auto"/>
          <w:sz w:val="28"/>
          <w:szCs w:val="28"/>
          <w:lang w:val="en-US" w:eastAsia="zh-CN" w:bidi="ar"/>
        </w:rPr>
      </w:pP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jc w:val="both"/>
        <w:textAlignment w:val="auto"/>
        <w:outlineLvl w:val="0"/>
        <w:rPr>
          <w:rFonts w:hint="eastAsia" w:ascii="黑体" w:hAnsi="黑体" w:eastAsia="黑体" w:cs="黑体"/>
          <w:b/>
          <w:bCs/>
          <w:color w:val="auto"/>
          <w:sz w:val="28"/>
          <w:szCs w:val="28"/>
        </w:rPr>
      </w:pPr>
      <w:bookmarkStart w:id="3" w:name="_Toc26601"/>
      <w:r>
        <w:rPr>
          <w:rFonts w:hint="eastAsia" w:ascii="黑体" w:hAnsi="黑体" w:eastAsia="黑体" w:cs="黑体"/>
          <w:b/>
          <w:bCs/>
          <w:color w:val="auto"/>
          <w:sz w:val="28"/>
          <w:szCs w:val="28"/>
        </w:rPr>
        <w:t>二、部门单位整体支出管理及使用情况</w:t>
      </w:r>
      <w:bookmarkEnd w:id="3"/>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281" w:firstLineChars="100"/>
        <w:jc w:val="both"/>
        <w:textAlignment w:val="auto"/>
        <w:outlineLvl w:val="1"/>
        <w:rPr>
          <w:rFonts w:hint="eastAsia" w:ascii="楷体" w:hAnsi="楷体" w:eastAsia="楷体" w:cs="楷体"/>
          <w:b/>
          <w:bCs w:val="0"/>
          <w:color w:val="auto"/>
          <w:sz w:val="28"/>
          <w:szCs w:val="28"/>
        </w:rPr>
      </w:pPr>
      <w:bookmarkStart w:id="4" w:name="_Toc28088"/>
      <w:r>
        <w:rPr>
          <w:rFonts w:hint="eastAsia" w:ascii="楷体" w:hAnsi="楷体" w:eastAsia="楷体" w:cs="楷体"/>
          <w:b/>
          <w:bCs w:val="0"/>
          <w:color w:val="auto"/>
          <w:sz w:val="28"/>
          <w:szCs w:val="28"/>
        </w:rPr>
        <w:t>（一）基本支出管理及使用情况</w:t>
      </w:r>
      <w:bookmarkEnd w:id="4"/>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640"/>
        <w:jc w:val="both"/>
        <w:textAlignment w:val="auto"/>
        <w:outlineLvl w:val="9"/>
        <w:rPr>
          <w:rFonts w:hint="eastAsia" w:ascii="仿宋_GB2312" w:hAnsi="仿宋_GB2312" w:eastAsia="仿宋_GB2312" w:cs="仿宋_GB2312"/>
          <w:color w:val="auto"/>
          <w:sz w:val="28"/>
          <w:szCs w:val="28"/>
          <w:lang w:val="en-US" w:eastAsia="zh-CN" w:bidi="ar-SA"/>
        </w:rPr>
      </w:pPr>
      <w:r>
        <w:rPr>
          <w:rFonts w:hint="eastAsia" w:ascii="仿宋_GB2312" w:hAnsi="仿宋_GB2312" w:eastAsia="仿宋_GB2312" w:cs="仿宋_GB2312"/>
          <w:color w:val="auto"/>
          <w:sz w:val="28"/>
          <w:szCs w:val="28"/>
          <w:lang w:val="en-US" w:eastAsia="zh-CN" w:bidi="ar-SA"/>
        </w:rPr>
        <w:t>基本支出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520"/>
        <w:jc w:val="both"/>
        <w:textAlignment w:val="auto"/>
        <w:outlineLvl w:val="9"/>
        <w:rPr>
          <w:rFonts w:hint="default"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bidi="ar-SA"/>
        </w:rPr>
        <w:t>2020年预算安排基本支出445.06万元，实际收到445.06万元 ,本年追加（调减）的基本资金为0万元。0</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281" w:firstLineChars="100"/>
        <w:jc w:val="both"/>
        <w:textAlignment w:val="auto"/>
        <w:outlineLvl w:val="1"/>
        <w:rPr>
          <w:rFonts w:hint="eastAsia" w:ascii="楷体" w:hAnsi="楷体" w:eastAsia="楷体" w:cs="楷体"/>
          <w:b/>
          <w:bCs w:val="0"/>
          <w:color w:val="auto"/>
          <w:sz w:val="28"/>
          <w:szCs w:val="28"/>
          <w:highlight w:val="none"/>
        </w:rPr>
      </w:pPr>
      <w:bookmarkStart w:id="5" w:name="_Toc31612"/>
      <w:r>
        <w:rPr>
          <w:rFonts w:hint="eastAsia" w:ascii="楷体" w:hAnsi="楷体" w:eastAsia="楷体" w:cs="楷体"/>
          <w:b/>
          <w:bCs w:val="0"/>
          <w:color w:val="auto"/>
          <w:sz w:val="28"/>
          <w:szCs w:val="28"/>
          <w:highlight w:val="none"/>
        </w:rPr>
        <w:t>（二）项目支出管理及使用情况</w:t>
      </w:r>
      <w:bookmarkEnd w:id="5"/>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520"/>
        <w:jc w:val="both"/>
        <w:textAlignment w:val="auto"/>
        <w:outlineLvl w:val="9"/>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1、资金安排落实、总投入等情况分析</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640"/>
        <w:jc w:val="both"/>
        <w:textAlignment w:val="auto"/>
        <w:outlineLvl w:val="9"/>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bidi="ar-SA"/>
        </w:rPr>
        <w:t>2020年预算安排资金445.06万元，实际收到445.06万元,本年追加资金为0万元。</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520"/>
        <w:jc w:val="both"/>
        <w:textAlignment w:val="auto"/>
        <w:outlineLvl w:val="9"/>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2、资金实际使用情况分析</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640"/>
        <w:jc w:val="both"/>
        <w:textAlignment w:val="auto"/>
        <w:outlineLvl w:val="9"/>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bidi="ar-SA"/>
        </w:rPr>
        <w:t>2020年项目资金预算总额为445.06万元，资金到位445.06万元，使用418.04万元。执行率93.93%。</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52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具体</w:t>
      </w:r>
      <w:r>
        <w:rPr>
          <w:rFonts w:hint="eastAsia" w:ascii="仿宋_GB2312" w:hAnsi="仿宋_GB2312" w:eastAsia="仿宋_GB2312" w:cs="仿宋_GB2312"/>
          <w:color w:val="auto"/>
          <w:sz w:val="28"/>
          <w:szCs w:val="28"/>
        </w:rPr>
        <w:t>项目为:</w:t>
      </w:r>
    </w:p>
    <w:tbl>
      <w:tblPr>
        <w:tblStyle w:val="17"/>
        <w:tblW w:w="8776" w:type="dxa"/>
        <w:tblInd w:w="101" w:type="dxa"/>
        <w:tblLayout w:type="fixed"/>
        <w:tblCellMar>
          <w:top w:w="0" w:type="dxa"/>
          <w:left w:w="108" w:type="dxa"/>
          <w:bottom w:w="0" w:type="dxa"/>
          <w:right w:w="108" w:type="dxa"/>
        </w:tblCellMar>
      </w:tblPr>
      <w:tblGrid>
        <w:gridCol w:w="1406"/>
        <w:gridCol w:w="1262"/>
        <w:gridCol w:w="1506"/>
        <w:gridCol w:w="1439"/>
        <w:gridCol w:w="1000"/>
        <w:gridCol w:w="2163"/>
      </w:tblGrid>
      <w:tr>
        <w:tblPrEx>
          <w:tblCellMar>
            <w:top w:w="0" w:type="dxa"/>
            <w:left w:w="108" w:type="dxa"/>
            <w:bottom w:w="0" w:type="dxa"/>
            <w:right w:w="108" w:type="dxa"/>
          </w:tblCellMar>
        </w:tblPrEx>
        <w:trPr>
          <w:trHeight w:val="827" w:hRule="atLeast"/>
          <w:tblHeader/>
        </w:trPr>
        <w:tc>
          <w:tcPr>
            <w:tcW w:w="140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Ansi="宋体" w:cs="宋体"/>
                <w:b w:val="0"/>
                <w:bCs w:val="0"/>
                <w:color w:val="auto"/>
                <w:kern w:val="0"/>
                <w:sz w:val="21"/>
                <w:szCs w:val="21"/>
              </w:rPr>
            </w:pPr>
            <w:r>
              <w:rPr>
                <w:rFonts w:hint="eastAsia" w:hAnsi="宋体" w:cs="宋体"/>
                <w:b w:val="0"/>
                <w:bCs w:val="0"/>
                <w:color w:val="auto"/>
                <w:kern w:val="0"/>
                <w:sz w:val="21"/>
                <w:szCs w:val="21"/>
              </w:rPr>
              <w:t>项目名称</w:t>
            </w:r>
          </w:p>
        </w:tc>
        <w:tc>
          <w:tcPr>
            <w:tcW w:w="1262"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Ansi="宋体" w:cs="宋体"/>
                <w:b w:val="0"/>
                <w:bCs w:val="0"/>
                <w:color w:val="auto"/>
                <w:kern w:val="0"/>
                <w:sz w:val="21"/>
                <w:szCs w:val="21"/>
              </w:rPr>
            </w:pPr>
            <w:r>
              <w:rPr>
                <w:rFonts w:hint="eastAsia" w:hAnsi="宋体" w:cs="宋体"/>
                <w:b w:val="0"/>
                <w:bCs w:val="0"/>
                <w:color w:val="auto"/>
                <w:kern w:val="0"/>
                <w:sz w:val="21"/>
                <w:szCs w:val="21"/>
              </w:rPr>
              <w:t>预算金额</w:t>
            </w:r>
            <w:r>
              <w:rPr>
                <w:rFonts w:hint="eastAsia" w:hAnsi="宋体" w:cs="宋体"/>
                <w:b w:val="0"/>
                <w:bCs w:val="0"/>
                <w:color w:val="auto"/>
                <w:kern w:val="0"/>
                <w:sz w:val="21"/>
                <w:szCs w:val="21"/>
                <w:lang w:val="en-US" w:eastAsia="zh-CN"/>
              </w:rPr>
              <w:t>（万元）</w:t>
            </w:r>
          </w:p>
        </w:tc>
        <w:tc>
          <w:tcPr>
            <w:tcW w:w="1506"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int="default" w:hAnsi="宋体" w:eastAsia="宋体" w:cs="宋体"/>
                <w:b w:val="0"/>
                <w:bCs w:val="0"/>
                <w:color w:val="auto"/>
                <w:kern w:val="0"/>
                <w:sz w:val="21"/>
                <w:szCs w:val="21"/>
                <w:lang w:val="en-US" w:eastAsia="zh-CN"/>
              </w:rPr>
            </w:pPr>
            <w:r>
              <w:rPr>
                <w:rFonts w:hint="eastAsia" w:hAnsi="宋体" w:cs="宋体"/>
                <w:b w:val="0"/>
                <w:bCs w:val="0"/>
                <w:color w:val="auto"/>
                <w:kern w:val="0"/>
                <w:sz w:val="21"/>
                <w:szCs w:val="21"/>
                <w:lang w:val="en-US" w:eastAsia="zh-CN"/>
              </w:rPr>
              <w:t>资金到位（万元）</w:t>
            </w:r>
          </w:p>
        </w:tc>
        <w:tc>
          <w:tcPr>
            <w:tcW w:w="1439"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int="default" w:hAnsi="宋体" w:eastAsia="宋体" w:cs="宋体"/>
                <w:b w:val="0"/>
                <w:bCs w:val="0"/>
                <w:color w:val="auto"/>
                <w:kern w:val="0"/>
                <w:sz w:val="21"/>
                <w:szCs w:val="21"/>
                <w:lang w:val="en-US" w:eastAsia="zh-CN"/>
              </w:rPr>
            </w:pPr>
            <w:r>
              <w:rPr>
                <w:rFonts w:hint="eastAsia" w:hAnsi="宋体" w:cs="宋体"/>
                <w:b w:val="0"/>
                <w:bCs w:val="0"/>
                <w:color w:val="auto"/>
                <w:kern w:val="0"/>
                <w:sz w:val="21"/>
                <w:szCs w:val="21"/>
                <w:lang w:val="en-US" w:eastAsia="zh-CN"/>
              </w:rPr>
              <w:t>资金执行（万元）</w:t>
            </w:r>
          </w:p>
        </w:tc>
        <w:tc>
          <w:tcPr>
            <w:tcW w:w="1000"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int="eastAsia" w:hAnsi="宋体" w:eastAsia="宋体" w:cs="宋体"/>
                <w:b w:val="0"/>
                <w:bCs w:val="0"/>
                <w:color w:val="auto"/>
                <w:kern w:val="0"/>
                <w:sz w:val="21"/>
                <w:szCs w:val="21"/>
                <w:lang w:eastAsia="zh-CN"/>
              </w:rPr>
            </w:pPr>
            <w:r>
              <w:rPr>
                <w:rFonts w:hint="eastAsia" w:hAnsi="宋体" w:cs="宋体"/>
                <w:b w:val="0"/>
                <w:bCs w:val="0"/>
                <w:color w:val="auto"/>
                <w:kern w:val="0"/>
                <w:sz w:val="21"/>
                <w:szCs w:val="21"/>
              </w:rPr>
              <w:t>执行率</w:t>
            </w:r>
            <w:r>
              <w:rPr>
                <w:rFonts w:hint="eastAsia" w:hAnsi="宋体" w:cs="宋体"/>
                <w:b w:val="0"/>
                <w:bCs w:val="0"/>
                <w:color w:val="auto"/>
                <w:kern w:val="0"/>
                <w:sz w:val="21"/>
                <w:szCs w:val="21"/>
                <w:lang w:eastAsia="zh-CN"/>
              </w:rPr>
              <w:t>（</w:t>
            </w:r>
            <w:r>
              <w:rPr>
                <w:rFonts w:hint="eastAsia" w:hAnsi="宋体" w:cs="宋体"/>
                <w:b w:val="0"/>
                <w:bCs w:val="0"/>
                <w:color w:val="auto"/>
                <w:kern w:val="0"/>
                <w:sz w:val="21"/>
                <w:szCs w:val="21"/>
                <w:lang w:val="en-US" w:eastAsia="zh-CN"/>
              </w:rPr>
              <w:t>%</w:t>
            </w:r>
            <w:r>
              <w:rPr>
                <w:rFonts w:hint="eastAsia" w:hAnsi="宋体" w:cs="宋体"/>
                <w:b w:val="0"/>
                <w:bCs w:val="0"/>
                <w:color w:val="auto"/>
                <w:kern w:val="0"/>
                <w:sz w:val="21"/>
                <w:szCs w:val="21"/>
                <w:lang w:eastAsia="zh-CN"/>
              </w:rPr>
              <w:t>）</w:t>
            </w:r>
          </w:p>
        </w:tc>
        <w:tc>
          <w:tcPr>
            <w:tcW w:w="2163"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int="default" w:hAnsi="宋体" w:eastAsia="宋体" w:cs="宋体"/>
                <w:b w:val="0"/>
                <w:bCs w:val="0"/>
                <w:color w:val="auto"/>
                <w:kern w:val="0"/>
                <w:sz w:val="21"/>
                <w:szCs w:val="21"/>
                <w:lang w:val="en-US" w:eastAsia="zh-CN"/>
              </w:rPr>
            </w:pPr>
            <w:r>
              <w:rPr>
                <w:rFonts w:hint="eastAsia" w:hAnsi="宋体" w:cs="宋体"/>
                <w:b w:val="0"/>
                <w:bCs w:val="0"/>
                <w:color w:val="auto"/>
                <w:kern w:val="0"/>
                <w:sz w:val="21"/>
                <w:szCs w:val="21"/>
                <w:lang w:val="en-US" w:eastAsia="zh-CN"/>
              </w:rPr>
              <w:t>项目未完成原因</w:t>
            </w:r>
          </w:p>
        </w:tc>
      </w:tr>
      <w:tr>
        <w:tblPrEx>
          <w:tblCellMar>
            <w:top w:w="0" w:type="dxa"/>
            <w:left w:w="108" w:type="dxa"/>
            <w:bottom w:w="0" w:type="dxa"/>
            <w:right w:w="108" w:type="dxa"/>
          </w:tblCellMar>
        </w:tblPrEx>
        <w:trPr>
          <w:trHeight w:val="423" w:hRule="atLeast"/>
          <w:tblHeader/>
        </w:trPr>
        <w:tc>
          <w:tcPr>
            <w:tcW w:w="1406" w:type="dxa"/>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Ansi="宋体" w:cs="宋体"/>
                <w:b w:val="0"/>
                <w:bCs w:val="0"/>
                <w:color w:val="auto"/>
                <w:kern w:val="0"/>
                <w:sz w:val="16"/>
                <w:szCs w:val="16"/>
              </w:rPr>
            </w:pPr>
            <w:r>
              <w:rPr>
                <w:rFonts w:hint="eastAsia" w:ascii="宋体" w:hAnsi="宋体" w:eastAsia="宋体" w:cs="宋体"/>
                <w:i w:val="0"/>
                <w:iCs w:val="0"/>
                <w:color w:val="000000"/>
                <w:kern w:val="0"/>
                <w:sz w:val="20"/>
                <w:szCs w:val="20"/>
                <w:u w:val="none"/>
                <w:lang w:val="en-US" w:eastAsia="zh-CN" w:bidi="ar"/>
              </w:rPr>
              <w:t>医保局业务工作经费</w:t>
            </w:r>
          </w:p>
        </w:tc>
        <w:tc>
          <w:tcPr>
            <w:tcW w:w="1262"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int="default" w:hAnsi="宋体" w:eastAsia="宋体" w:cs="宋体"/>
                <w:b w:val="0"/>
                <w:bCs w:val="0"/>
                <w:color w:val="auto"/>
                <w:kern w:val="0"/>
                <w:sz w:val="16"/>
                <w:szCs w:val="16"/>
                <w:lang w:val="en-US" w:eastAsia="zh-CN"/>
              </w:rPr>
            </w:pPr>
            <w:r>
              <w:rPr>
                <w:rFonts w:hint="eastAsia" w:hAnsi="宋体" w:cs="宋体"/>
                <w:b w:val="0"/>
                <w:bCs w:val="0"/>
                <w:color w:val="auto"/>
                <w:kern w:val="0"/>
                <w:sz w:val="16"/>
                <w:szCs w:val="16"/>
                <w:lang w:val="en-US" w:eastAsia="zh-CN"/>
              </w:rPr>
              <w:t>15.96</w:t>
            </w:r>
          </w:p>
        </w:tc>
        <w:tc>
          <w:tcPr>
            <w:tcW w:w="150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int="default" w:ascii="Calibri" w:hAnsi="宋体" w:eastAsia="宋体" w:cs="宋体"/>
                <w:b w:val="0"/>
                <w:bCs w:val="0"/>
                <w:color w:val="auto"/>
                <w:kern w:val="0"/>
                <w:sz w:val="16"/>
                <w:szCs w:val="16"/>
                <w:lang w:val="en-US" w:eastAsia="zh-CN" w:bidi="ar-SA"/>
              </w:rPr>
            </w:pPr>
            <w:r>
              <w:rPr>
                <w:rFonts w:hint="eastAsia" w:hAnsi="宋体" w:cs="宋体"/>
                <w:b w:val="0"/>
                <w:bCs w:val="0"/>
                <w:color w:val="auto"/>
                <w:kern w:val="0"/>
                <w:sz w:val="16"/>
                <w:szCs w:val="16"/>
                <w:lang w:val="en-US" w:eastAsia="zh-CN"/>
              </w:rPr>
              <w:t>15.96</w:t>
            </w:r>
          </w:p>
        </w:tc>
        <w:tc>
          <w:tcPr>
            <w:tcW w:w="143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int="default" w:ascii="Calibri" w:hAnsi="宋体" w:eastAsia="宋体" w:cs="宋体"/>
                <w:b w:val="0"/>
                <w:bCs w:val="0"/>
                <w:color w:val="auto"/>
                <w:kern w:val="0"/>
                <w:sz w:val="16"/>
                <w:szCs w:val="16"/>
                <w:lang w:val="en-US" w:eastAsia="zh-CN" w:bidi="ar-SA"/>
              </w:rPr>
            </w:pPr>
            <w:r>
              <w:rPr>
                <w:rFonts w:hint="eastAsia" w:hAnsi="宋体" w:cs="宋体"/>
                <w:b w:val="0"/>
                <w:bCs w:val="0"/>
                <w:color w:val="auto"/>
                <w:kern w:val="0"/>
                <w:sz w:val="16"/>
                <w:szCs w:val="16"/>
                <w:lang w:val="en-US" w:eastAsia="zh-CN"/>
              </w:rPr>
              <w:t>11.64</w:t>
            </w:r>
          </w:p>
        </w:tc>
        <w:tc>
          <w:tcPr>
            <w:tcW w:w="100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int="default" w:ascii="Calibri" w:hAnsi="宋体" w:eastAsia="宋体" w:cs="宋体"/>
                <w:b w:val="0"/>
                <w:bCs w:val="0"/>
                <w:color w:val="auto"/>
                <w:kern w:val="0"/>
                <w:sz w:val="16"/>
                <w:szCs w:val="16"/>
                <w:lang w:val="en-US" w:eastAsia="zh-CN" w:bidi="ar-SA"/>
              </w:rPr>
            </w:pPr>
            <w:r>
              <w:rPr>
                <w:rFonts w:hint="eastAsia" w:hAnsi="宋体" w:cs="宋体"/>
                <w:b w:val="0"/>
                <w:bCs w:val="0"/>
                <w:color w:val="auto"/>
                <w:kern w:val="0"/>
                <w:sz w:val="16"/>
                <w:szCs w:val="16"/>
                <w:lang w:val="en-US" w:eastAsia="zh-CN" w:bidi="ar-SA"/>
              </w:rPr>
              <w:t>101.9</w:t>
            </w:r>
          </w:p>
        </w:tc>
        <w:tc>
          <w:tcPr>
            <w:tcW w:w="2163"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int="eastAsia" w:hAnsi="宋体" w:eastAsia="宋体" w:cs="宋体"/>
                <w:b w:val="0"/>
                <w:bCs w:val="0"/>
                <w:color w:val="auto"/>
                <w:kern w:val="0"/>
                <w:sz w:val="16"/>
                <w:szCs w:val="16"/>
                <w:lang w:eastAsia="zh-CN"/>
              </w:rPr>
            </w:pPr>
            <w:r>
              <w:rPr>
                <w:rFonts w:hint="eastAsia" w:hAnsi="宋体" w:cs="宋体"/>
                <w:b w:val="0"/>
                <w:bCs w:val="0"/>
                <w:color w:val="auto"/>
                <w:kern w:val="0"/>
                <w:sz w:val="16"/>
                <w:szCs w:val="16"/>
                <w:lang w:eastAsia="zh-CN"/>
              </w:rPr>
              <w:t>财政压减预算金额</w:t>
            </w:r>
          </w:p>
        </w:tc>
      </w:tr>
      <w:tr>
        <w:tblPrEx>
          <w:tblCellMar>
            <w:top w:w="0" w:type="dxa"/>
            <w:left w:w="108" w:type="dxa"/>
            <w:bottom w:w="0" w:type="dxa"/>
            <w:right w:w="108" w:type="dxa"/>
          </w:tblCellMar>
        </w:tblPrEx>
        <w:trPr>
          <w:trHeight w:val="455" w:hRule="atLeast"/>
          <w:tblHeader/>
        </w:trPr>
        <w:tc>
          <w:tcPr>
            <w:tcW w:w="1406"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left"/>
              <w:textAlignment w:val="auto"/>
              <w:rPr>
                <w:rFonts w:hAnsi="宋体" w:cs="宋体"/>
                <w:b w:val="0"/>
                <w:bCs w:val="0"/>
                <w:color w:val="auto"/>
                <w:kern w:val="0"/>
                <w:sz w:val="16"/>
                <w:szCs w:val="16"/>
              </w:rPr>
            </w:pPr>
          </w:p>
        </w:tc>
        <w:tc>
          <w:tcPr>
            <w:tcW w:w="1262"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506"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439"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000"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2163"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r>
      <w:tr>
        <w:tblPrEx>
          <w:tblCellMar>
            <w:top w:w="0" w:type="dxa"/>
            <w:left w:w="108" w:type="dxa"/>
            <w:bottom w:w="0" w:type="dxa"/>
            <w:right w:w="108" w:type="dxa"/>
          </w:tblCellMar>
        </w:tblPrEx>
        <w:trPr>
          <w:trHeight w:val="423" w:hRule="atLeast"/>
          <w:tblHeader/>
        </w:trPr>
        <w:tc>
          <w:tcPr>
            <w:tcW w:w="1406" w:type="dxa"/>
            <w:tcBorders>
              <w:top w:val="nil"/>
              <w:left w:val="single" w:color="auto" w:sz="8" w:space="0"/>
              <w:bottom w:val="single" w:color="auto"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left"/>
              <w:textAlignment w:val="auto"/>
              <w:rPr>
                <w:rFonts w:hAnsi="宋体" w:cs="宋体"/>
                <w:b/>
                <w:bCs/>
                <w:color w:val="auto"/>
                <w:kern w:val="0"/>
                <w:sz w:val="16"/>
                <w:szCs w:val="16"/>
              </w:rPr>
            </w:pPr>
          </w:p>
        </w:tc>
        <w:tc>
          <w:tcPr>
            <w:tcW w:w="1262" w:type="dxa"/>
            <w:tcBorders>
              <w:top w:val="nil"/>
              <w:left w:val="nil"/>
              <w:bottom w:val="single" w:color="auto"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506" w:type="dxa"/>
            <w:tcBorders>
              <w:top w:val="nil"/>
              <w:left w:val="nil"/>
              <w:bottom w:val="single" w:color="auto"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439" w:type="dxa"/>
            <w:tcBorders>
              <w:top w:val="nil"/>
              <w:left w:val="nil"/>
              <w:bottom w:val="single" w:color="auto"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000" w:type="dxa"/>
            <w:tcBorders>
              <w:top w:val="nil"/>
              <w:left w:val="nil"/>
              <w:bottom w:val="single" w:color="auto"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2163" w:type="dxa"/>
            <w:tcBorders>
              <w:top w:val="nil"/>
              <w:left w:val="nil"/>
              <w:bottom w:val="single" w:color="auto"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r>
      <w:tr>
        <w:tblPrEx>
          <w:tblCellMar>
            <w:top w:w="0" w:type="dxa"/>
            <w:left w:w="108" w:type="dxa"/>
            <w:bottom w:w="0" w:type="dxa"/>
            <w:right w:w="108" w:type="dxa"/>
          </w:tblCellMar>
        </w:tblPrEx>
        <w:trPr>
          <w:trHeight w:val="441" w:hRule="atLeast"/>
          <w:tblHeader/>
        </w:trPr>
        <w:tc>
          <w:tcPr>
            <w:tcW w:w="14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left"/>
              <w:textAlignment w:val="auto"/>
              <w:rPr>
                <w:rFonts w:hint="eastAsia" w:hAnsi="宋体" w:eastAsia="宋体" w:cs="宋体"/>
                <w:b w:val="0"/>
                <w:bCs w:val="0"/>
                <w:color w:val="auto"/>
                <w:kern w:val="0"/>
                <w:sz w:val="16"/>
                <w:szCs w:val="16"/>
                <w:lang w:eastAsia="zh-CN"/>
              </w:rPr>
            </w:pPr>
            <w:r>
              <w:rPr>
                <w:rFonts w:hint="eastAsia" w:hAnsi="宋体" w:cs="宋体"/>
                <w:b w:val="0"/>
                <w:bCs w:val="0"/>
                <w:color w:val="auto"/>
                <w:kern w:val="0"/>
                <w:sz w:val="16"/>
                <w:szCs w:val="16"/>
                <w:lang w:eastAsia="zh-CN"/>
              </w:rPr>
              <w:t>合计</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5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Ansi="宋体" w:cs="宋体"/>
                <w:b w:val="0"/>
                <w:bCs w:val="0"/>
                <w:color w:val="auto"/>
                <w:kern w:val="0"/>
                <w:sz w:val="16"/>
                <w:szCs w:val="16"/>
              </w:rPr>
            </w:pPr>
          </w:p>
        </w:tc>
        <w:tc>
          <w:tcPr>
            <w:tcW w:w="21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right"/>
              <w:textAlignment w:val="auto"/>
              <w:rPr>
                <w:rFonts w:hint="eastAsia" w:hAnsi="宋体" w:cs="宋体"/>
                <w:b w:val="0"/>
                <w:bCs w:val="0"/>
                <w:color w:val="auto"/>
                <w:kern w:val="0"/>
                <w:sz w:val="16"/>
                <w:szCs w:val="16"/>
              </w:rPr>
            </w:pPr>
          </w:p>
        </w:tc>
      </w:tr>
    </w:tbl>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520"/>
        <w:jc w:val="both"/>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val="en-US" w:eastAsia="zh-CN"/>
        </w:rPr>
        <w:t>3.</w:t>
      </w:r>
      <w:r>
        <w:rPr>
          <w:rFonts w:hint="eastAsia" w:ascii="仿宋_GB2312" w:hAnsi="仿宋_GB2312" w:eastAsia="仿宋_GB2312" w:cs="仿宋_GB2312"/>
          <w:b/>
          <w:bCs/>
          <w:color w:val="auto"/>
          <w:sz w:val="28"/>
          <w:szCs w:val="28"/>
        </w:rPr>
        <w:t>专项资金管理情况分析</w:t>
      </w:r>
    </w:p>
    <w:p>
      <w:pPr>
        <w:keepNext w:val="0"/>
        <w:keepLines w:val="0"/>
        <w:pageBreakBefore w:val="0"/>
        <w:kinsoku/>
        <w:wordWrap/>
        <w:overflowPunct/>
        <w:topLinePunct w:val="0"/>
        <w:autoSpaceDE/>
        <w:autoSpaceDN/>
        <w:bidi w:val="0"/>
        <w:spacing w:line="440" w:lineRule="exact"/>
        <w:ind w:firstLine="319" w:firstLineChars="114"/>
        <w:jc w:val="left"/>
        <w:textAlignment w:val="auto"/>
        <w:outlineLvl w:val="1"/>
        <w:rPr>
          <w:rFonts w:hint="eastAsia" w:ascii="仿宋_GB2312" w:hAnsi="仿宋_GB2312" w:eastAsia="仿宋_GB2312" w:cs="仿宋_GB2312"/>
          <w:color w:val="auto"/>
          <w:sz w:val="28"/>
          <w:szCs w:val="28"/>
          <w:lang w:val="en-US" w:eastAsia="zh-CN" w:bidi="ar-SA"/>
        </w:rPr>
      </w:pPr>
      <w:bookmarkStart w:id="6" w:name="_Toc18185"/>
      <w:r>
        <w:rPr>
          <w:rFonts w:hint="eastAsia" w:ascii="仿宋_GB2312" w:hAnsi="仿宋_GB2312" w:eastAsia="仿宋_GB2312" w:cs="仿宋_GB2312"/>
          <w:color w:val="auto"/>
          <w:sz w:val="28"/>
          <w:szCs w:val="28"/>
          <w:lang w:val="en-US" w:eastAsia="zh-CN" w:bidi="ar-SA"/>
        </w:rPr>
        <w:t>无</w:t>
      </w:r>
    </w:p>
    <w:p>
      <w:pPr>
        <w:keepNext w:val="0"/>
        <w:keepLines w:val="0"/>
        <w:pageBreakBefore w:val="0"/>
        <w:kinsoku/>
        <w:wordWrap/>
        <w:overflowPunct/>
        <w:topLinePunct w:val="0"/>
        <w:autoSpaceDE/>
        <w:autoSpaceDN/>
        <w:bidi w:val="0"/>
        <w:spacing w:line="440" w:lineRule="exact"/>
        <w:ind w:firstLine="320" w:firstLineChars="114"/>
        <w:jc w:val="left"/>
        <w:textAlignment w:val="auto"/>
        <w:outlineLvl w:val="1"/>
        <w:rPr>
          <w:rFonts w:hint="eastAsia" w:ascii="楷体" w:hAnsi="楷体" w:eastAsia="楷体" w:cs="楷体"/>
          <w:b/>
          <w:bCs/>
          <w:color w:val="auto"/>
          <w:sz w:val="28"/>
          <w:szCs w:val="28"/>
          <w:lang w:bidi="ar"/>
        </w:rPr>
      </w:pPr>
      <w:r>
        <w:rPr>
          <w:rFonts w:hint="eastAsia" w:ascii="楷体" w:hAnsi="楷体" w:eastAsia="楷体" w:cs="楷体"/>
          <w:b/>
          <w:bCs/>
          <w:color w:val="auto"/>
          <w:sz w:val="28"/>
          <w:szCs w:val="28"/>
          <w:lang w:bidi="ar"/>
        </w:rPr>
        <w:t>（三）“三公”经费使用情况</w:t>
      </w:r>
      <w:bookmarkEnd w:id="6"/>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bidi="ar"/>
        </w:rPr>
        <w:t>我</w:t>
      </w:r>
      <w:r>
        <w:rPr>
          <w:rFonts w:hint="eastAsia" w:ascii="仿宋_GB2312" w:hAnsi="仿宋_GB2312" w:eastAsia="仿宋_GB2312" w:cs="仿宋_GB2312"/>
          <w:color w:val="auto"/>
          <w:sz w:val="28"/>
          <w:szCs w:val="28"/>
          <w:lang w:val="en-US" w:eastAsia="zh-CN"/>
        </w:rPr>
        <w:t>单位</w:t>
      </w:r>
      <w:r>
        <w:rPr>
          <w:rFonts w:hint="eastAsia" w:ascii="仿宋_GB2312" w:hAnsi="仿宋_GB2312" w:eastAsia="仿宋_GB2312" w:cs="仿宋_GB2312"/>
          <w:color w:val="auto"/>
          <w:sz w:val="28"/>
          <w:szCs w:val="28"/>
        </w:rPr>
        <w:t>认真贯彻落实中央关于厉行节约的有关规定，严格执行《党政机关厉行节约反对浪费条例》，从严控制一般性支出。</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2020</w:t>
      </w:r>
      <w:r>
        <w:rPr>
          <w:rFonts w:hint="eastAsia" w:ascii="仿宋_GB2312" w:hAnsi="仿宋_GB2312" w:eastAsia="仿宋_GB2312" w:cs="仿宋_GB2312"/>
          <w:color w:val="auto"/>
          <w:sz w:val="28"/>
          <w:szCs w:val="28"/>
          <w:highlight w:val="none"/>
        </w:rPr>
        <w:t>年“三公”经费决算支出</w:t>
      </w:r>
      <w:r>
        <w:rPr>
          <w:rFonts w:hint="eastAsia" w:ascii="仿宋_GB2312" w:hAnsi="仿宋_GB2312" w:eastAsia="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万元，其中公务接待费</w:t>
      </w:r>
      <w:r>
        <w:rPr>
          <w:rFonts w:hint="eastAsia" w:ascii="仿宋_GB2312" w:hAnsi="仿宋_GB2312" w:eastAsia="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万元、因公出国（境）费用</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万元、公务用车购置及运行费</w:t>
      </w:r>
      <w:r>
        <w:rPr>
          <w:rFonts w:hint="eastAsia" w:ascii="仿宋_GB2312" w:hAnsi="仿宋_GB2312" w:eastAsia="仿宋_GB2312" w:cs="仿宋_GB2312"/>
          <w:color w:val="auto"/>
          <w:sz w:val="28"/>
          <w:szCs w:val="28"/>
          <w:highlight w:val="none"/>
          <w:lang w:val="en-US" w:eastAsia="zh-CN"/>
        </w:rPr>
        <w:t>1.9</w:t>
      </w:r>
      <w:r>
        <w:rPr>
          <w:rFonts w:hint="eastAsia" w:ascii="仿宋_GB2312" w:hAnsi="仿宋_GB2312" w:eastAsia="仿宋_GB2312" w:cs="仿宋_GB2312"/>
          <w:color w:val="auto"/>
          <w:sz w:val="28"/>
          <w:szCs w:val="28"/>
          <w:highlight w:val="none"/>
        </w:rPr>
        <w:t>万元，201</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年“三公”经费决算支出</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万元</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增加2</w:t>
      </w:r>
      <w:r>
        <w:rPr>
          <w:rFonts w:hint="eastAsia" w:ascii="仿宋_GB2312" w:hAnsi="仿宋_GB2312" w:eastAsia="仿宋_GB2312" w:cs="仿宋_GB2312"/>
          <w:color w:val="auto"/>
          <w:sz w:val="28"/>
          <w:szCs w:val="28"/>
          <w:highlight w:val="none"/>
        </w:rPr>
        <w:t>万元。</w:t>
      </w:r>
    </w:p>
    <w:p>
      <w:pPr>
        <w:keepNext w:val="0"/>
        <w:keepLines w:val="0"/>
        <w:pageBreakBefore w:val="0"/>
        <w:kinsoku/>
        <w:wordWrap/>
        <w:overflowPunct/>
        <w:topLinePunct w:val="0"/>
        <w:autoSpaceDE/>
        <w:autoSpaceDN/>
        <w:bidi w:val="0"/>
        <w:spacing w:line="440" w:lineRule="exact"/>
        <w:textAlignment w:val="auto"/>
        <w:outlineLvl w:val="0"/>
        <w:rPr>
          <w:rFonts w:hint="eastAsia" w:ascii="黑体" w:hAnsi="黑体" w:eastAsia="黑体" w:cs="黑体"/>
          <w:b/>
          <w:bCs/>
          <w:color w:val="auto"/>
          <w:sz w:val="28"/>
          <w:szCs w:val="28"/>
          <w:lang w:bidi="ar"/>
        </w:rPr>
      </w:pPr>
      <w:bookmarkStart w:id="7" w:name="_Toc20101"/>
      <w:r>
        <w:rPr>
          <w:rFonts w:hint="eastAsia" w:ascii="黑体" w:hAnsi="黑体" w:eastAsia="黑体" w:cs="黑体"/>
          <w:b/>
          <w:bCs/>
          <w:color w:val="auto"/>
          <w:sz w:val="28"/>
          <w:szCs w:val="28"/>
          <w:highlight w:val="none"/>
          <w:lang w:bidi="ar"/>
        </w:rPr>
        <w:t>三、部门单位专项组织实施情</w:t>
      </w:r>
      <w:r>
        <w:rPr>
          <w:rFonts w:hint="eastAsia" w:ascii="黑体" w:hAnsi="黑体" w:eastAsia="黑体" w:cs="黑体"/>
          <w:b/>
          <w:bCs/>
          <w:color w:val="auto"/>
          <w:sz w:val="28"/>
          <w:szCs w:val="28"/>
          <w:lang w:bidi="ar"/>
        </w:rPr>
        <w:t>况</w:t>
      </w:r>
      <w:bookmarkEnd w:id="7"/>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ind w:firstLine="281" w:firstLineChars="100"/>
        <w:jc w:val="both"/>
        <w:textAlignment w:val="auto"/>
        <w:outlineLvl w:val="1"/>
        <w:rPr>
          <w:rFonts w:hint="eastAsia" w:ascii="楷体" w:hAnsi="楷体" w:eastAsia="楷体" w:cs="楷体"/>
          <w:b/>
          <w:color w:val="auto"/>
          <w:sz w:val="28"/>
          <w:szCs w:val="28"/>
        </w:rPr>
      </w:pPr>
      <w:bookmarkStart w:id="8" w:name="_Toc24478"/>
      <w:r>
        <w:rPr>
          <w:rFonts w:hint="eastAsia" w:ascii="楷体" w:hAnsi="楷体" w:eastAsia="楷体" w:cs="楷体"/>
          <w:b/>
          <w:color w:val="auto"/>
          <w:sz w:val="28"/>
          <w:szCs w:val="28"/>
        </w:rPr>
        <w:t>（一）专项组织情况分析</w:t>
      </w:r>
      <w:bookmarkEnd w:id="8"/>
    </w:p>
    <w:p>
      <w:pPr>
        <w:keepNext w:val="0"/>
        <w:keepLines w:val="0"/>
        <w:pageBreakBefore w:val="0"/>
        <w:widowControl w:val="0"/>
        <w:kinsoku/>
        <w:wordWrap/>
        <w:overflowPunct/>
        <w:topLinePunct w:val="0"/>
        <w:autoSpaceDE/>
        <w:autoSpaceDN/>
        <w:bidi w:val="0"/>
        <w:adjustRightInd/>
        <w:snapToGrid/>
        <w:spacing w:line="440" w:lineRule="exact"/>
        <w:ind w:firstLine="561"/>
        <w:textAlignment w:val="auto"/>
        <w:rPr>
          <w:rFonts w:hint="eastAsia" w:ascii="仿宋_GB2312" w:hAnsi="仿宋_GB2312" w:eastAsia="仿宋_GB2312" w:cs="仿宋_GB2312"/>
          <w:color w:val="auto"/>
          <w:kern w:val="1"/>
          <w:sz w:val="28"/>
          <w:szCs w:val="28"/>
        </w:rPr>
      </w:pPr>
      <w:r>
        <w:rPr>
          <w:rFonts w:hint="eastAsia" w:ascii="仿宋_GB2312" w:hAnsi="仿宋_GB2312" w:eastAsia="仿宋_GB2312" w:cs="仿宋_GB2312"/>
          <w:b/>
          <w:bCs/>
          <w:color w:val="auto"/>
          <w:kern w:val="1"/>
          <w:sz w:val="28"/>
          <w:szCs w:val="28"/>
          <w:lang w:val="en-US" w:eastAsia="zh-CN"/>
        </w:rPr>
        <w:t>1.</w:t>
      </w:r>
      <w:r>
        <w:rPr>
          <w:rFonts w:hint="eastAsia" w:ascii="仿宋_GB2312" w:hAnsi="仿宋_GB2312" w:eastAsia="仿宋_GB2312" w:cs="仿宋_GB2312"/>
          <w:b/>
          <w:bCs/>
          <w:color w:val="auto"/>
          <w:kern w:val="1"/>
          <w:sz w:val="28"/>
          <w:szCs w:val="28"/>
        </w:rPr>
        <w:t>专项前期准备工作：</w:t>
      </w:r>
      <w:r>
        <w:rPr>
          <w:rFonts w:hint="eastAsia" w:ascii="仿宋_GB2312" w:hAnsi="仿宋_GB2312" w:eastAsia="仿宋_GB2312" w:cs="仿宋_GB2312"/>
          <w:color w:val="auto"/>
          <w:kern w:val="1"/>
          <w:sz w:val="28"/>
          <w:szCs w:val="28"/>
        </w:rPr>
        <w:t>收集部门成立背景资料、部门战略目标、中长期工作规划、部门职责、组织构成及其职能、预算编制等资料，并组织绩效评价自评小组对部门相关文件进行研读，梳理并确认工作任务及要求、部门内部管理制度及存量资源。梳理2020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keepNext w:val="0"/>
        <w:keepLines w:val="0"/>
        <w:pageBreakBefore w:val="0"/>
        <w:widowControl w:val="0"/>
        <w:kinsoku/>
        <w:wordWrap/>
        <w:overflowPunct/>
        <w:topLinePunct w:val="0"/>
        <w:autoSpaceDE/>
        <w:autoSpaceDN/>
        <w:bidi w:val="0"/>
        <w:adjustRightInd/>
        <w:snapToGrid/>
        <w:spacing w:line="440" w:lineRule="exact"/>
        <w:ind w:firstLine="641"/>
        <w:textAlignment w:val="auto"/>
        <w:outlineLvl w:val="9"/>
        <w:rPr>
          <w:rFonts w:hint="eastAsia" w:ascii="仿宋_GB2312" w:hAnsi="仿宋_GB2312" w:eastAsia="仿宋_GB2312" w:cs="仿宋_GB2312"/>
          <w:color w:val="auto"/>
          <w:kern w:val="1"/>
          <w:sz w:val="28"/>
          <w:szCs w:val="28"/>
        </w:rPr>
      </w:pPr>
      <w:r>
        <w:rPr>
          <w:rFonts w:hint="eastAsia" w:ascii="仿宋_GB2312" w:hAnsi="仿宋_GB2312" w:eastAsia="仿宋_GB2312" w:cs="仿宋_GB2312"/>
          <w:b/>
          <w:bCs/>
          <w:color w:val="auto"/>
          <w:kern w:val="1"/>
          <w:sz w:val="28"/>
          <w:szCs w:val="28"/>
          <w:lang w:val="en-US" w:eastAsia="zh-CN"/>
        </w:rPr>
        <w:t>2.</w:t>
      </w:r>
      <w:r>
        <w:rPr>
          <w:rFonts w:hint="eastAsia" w:ascii="仿宋_GB2312" w:hAnsi="仿宋_GB2312" w:eastAsia="仿宋_GB2312" w:cs="仿宋_GB2312"/>
          <w:b/>
          <w:bCs/>
          <w:color w:val="auto"/>
          <w:kern w:val="1"/>
          <w:sz w:val="28"/>
          <w:szCs w:val="28"/>
        </w:rPr>
        <w:t>专项组织实施过程：</w:t>
      </w:r>
      <w:r>
        <w:rPr>
          <w:rFonts w:hint="eastAsia" w:ascii="仿宋_GB2312" w:hAnsi="仿宋_GB2312" w:eastAsia="仿宋_GB2312" w:cs="仿宋_GB2312"/>
          <w:color w:val="auto"/>
          <w:kern w:val="1"/>
          <w:sz w:val="28"/>
          <w:szCs w:val="28"/>
        </w:rPr>
        <w:t>通过文件研读和前期调研等方式，收集、整理、总结部门的职能定位、中长期规划、年度工作计划以及专项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自评内容主要包括以下两个方面：</w:t>
      </w:r>
    </w:p>
    <w:p>
      <w:pPr>
        <w:keepNext w:val="0"/>
        <w:keepLines w:val="0"/>
        <w:pageBreakBefore w:val="0"/>
        <w:widowControl w:val="0"/>
        <w:kinsoku/>
        <w:wordWrap/>
        <w:overflowPunct/>
        <w:topLinePunct w:val="0"/>
        <w:autoSpaceDE/>
        <w:autoSpaceDN/>
        <w:bidi w:val="0"/>
        <w:adjustRightInd/>
        <w:snapToGrid/>
        <w:spacing w:line="440" w:lineRule="exact"/>
        <w:ind w:firstLine="641"/>
        <w:textAlignment w:val="auto"/>
        <w:outlineLvl w:val="9"/>
        <w:rPr>
          <w:rFonts w:hint="eastAsia" w:ascii="仿宋_GB2312" w:hAnsi="仿宋_GB2312" w:eastAsia="仿宋_GB2312" w:cs="仿宋_GB2312"/>
          <w:color w:val="auto"/>
          <w:kern w:val="1"/>
          <w:sz w:val="28"/>
          <w:szCs w:val="28"/>
          <w:lang w:val="zh-TW" w:eastAsia="zh-TW"/>
        </w:rPr>
      </w:pPr>
      <w:r>
        <w:rPr>
          <w:rFonts w:hint="eastAsia" w:ascii="仿宋_GB2312" w:hAnsi="仿宋_GB2312" w:eastAsia="仿宋_GB2312" w:cs="仿宋_GB2312"/>
          <w:color w:val="auto"/>
          <w:kern w:val="1"/>
          <w:sz w:val="28"/>
          <w:szCs w:val="28"/>
          <w:lang w:val="zh-TW" w:eastAsia="zh-TW"/>
        </w:rPr>
        <w:t>对</w:t>
      </w:r>
      <w:r>
        <w:rPr>
          <w:rFonts w:hint="eastAsia" w:ascii="仿宋_GB2312" w:hAnsi="仿宋_GB2312" w:eastAsia="仿宋_GB2312" w:cs="仿宋_GB2312"/>
          <w:color w:val="auto"/>
          <w:kern w:val="1"/>
          <w:sz w:val="28"/>
          <w:szCs w:val="28"/>
        </w:rPr>
        <w:t>专项</w:t>
      </w:r>
      <w:r>
        <w:rPr>
          <w:rFonts w:hint="eastAsia" w:ascii="仿宋_GB2312" w:hAnsi="仿宋_GB2312" w:eastAsia="仿宋_GB2312" w:cs="仿宋_GB2312"/>
          <w:color w:val="auto"/>
          <w:kern w:val="1"/>
          <w:sz w:val="28"/>
          <w:szCs w:val="28"/>
          <w:lang w:val="zh-TW"/>
        </w:rPr>
        <w:t>项目预算执行情况进行分析，再考察专项项目产出、项目目标的实现程度和管理有效性，从而总结项目取得的业绩和经验，发现项目存在的不足之处</w:t>
      </w:r>
      <w:r>
        <w:rPr>
          <w:rFonts w:hint="eastAsia" w:ascii="仿宋_GB2312" w:hAnsi="仿宋_GB2312" w:eastAsia="仿宋_GB2312" w:cs="仿宋_GB2312"/>
          <w:color w:val="auto"/>
          <w:kern w:val="1"/>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440" w:lineRule="exact"/>
        <w:ind w:firstLine="641"/>
        <w:textAlignment w:val="auto"/>
        <w:outlineLvl w:val="9"/>
        <w:rPr>
          <w:rFonts w:hint="eastAsia"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val="zh-TW"/>
        </w:rPr>
        <w:t>对财政资金使用合规性进行评价，</w:t>
      </w:r>
      <w:r>
        <w:rPr>
          <w:rFonts w:hint="eastAsia" w:ascii="仿宋_GB2312" w:hAnsi="仿宋_GB2312" w:eastAsia="仿宋_GB2312" w:cs="仿宋_GB2312"/>
          <w:color w:val="auto"/>
          <w:kern w:val="1"/>
          <w:sz w:val="28"/>
          <w:szCs w:val="28"/>
        </w:rPr>
        <w:t>主要评价：①</w:t>
      </w:r>
      <w:r>
        <w:rPr>
          <w:rFonts w:hint="eastAsia" w:ascii="仿宋_GB2312" w:hAnsi="仿宋_GB2312" w:eastAsia="仿宋_GB2312" w:cs="仿宋_GB2312"/>
          <w:color w:val="auto"/>
          <w:kern w:val="1"/>
          <w:sz w:val="28"/>
          <w:szCs w:val="28"/>
          <w:lang w:val="zh-TW"/>
        </w:rPr>
        <w:t>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hint="eastAsia" w:ascii="仿宋_GB2312" w:hAnsi="仿宋_GB2312" w:eastAsia="仿宋_GB2312" w:cs="仿宋_GB2312"/>
          <w:color w:val="auto"/>
          <w:kern w:val="1"/>
          <w:sz w:val="28"/>
          <w:szCs w:val="28"/>
        </w:rPr>
        <w:t>通过评价</w:t>
      </w:r>
      <w:r>
        <w:rPr>
          <w:rFonts w:hint="eastAsia" w:ascii="仿宋_GB2312" w:hAnsi="仿宋_GB2312" w:eastAsia="仿宋_GB2312" w:cs="仿宋_GB2312"/>
          <w:color w:val="auto"/>
          <w:kern w:val="1"/>
          <w:sz w:val="28"/>
          <w:szCs w:val="28"/>
          <w:lang w:val="zh-TW"/>
        </w:rPr>
        <w:t>发现财政资金使用中存在的合规性问题，总结财务内控中存在的不足之处。</w:t>
      </w:r>
    </w:p>
    <w:p>
      <w:pPr>
        <w:keepNext w:val="0"/>
        <w:keepLines w:val="0"/>
        <w:pageBreakBefore w:val="0"/>
        <w:widowControl w:val="0"/>
        <w:kinsoku/>
        <w:wordWrap/>
        <w:overflowPunct/>
        <w:topLinePunct w:val="0"/>
        <w:autoSpaceDE/>
        <w:autoSpaceDN/>
        <w:bidi w:val="0"/>
        <w:adjustRightInd/>
        <w:snapToGrid/>
        <w:spacing w:line="440" w:lineRule="exact"/>
        <w:ind w:firstLine="641"/>
        <w:textAlignment w:val="auto"/>
        <w:outlineLvl w:val="9"/>
        <w:rPr>
          <w:rFonts w:hint="eastAsia" w:ascii="仿宋_GB2312" w:hAnsi="仿宋_GB2312" w:eastAsia="仿宋_GB2312" w:cs="仿宋_GB2312"/>
          <w:color w:val="auto"/>
          <w:kern w:val="1"/>
          <w:sz w:val="28"/>
          <w:szCs w:val="28"/>
        </w:rPr>
      </w:pPr>
    </w:p>
    <w:p>
      <w:pPr>
        <w:keepNext w:val="0"/>
        <w:keepLines w:val="0"/>
        <w:pageBreakBefore w:val="0"/>
        <w:kinsoku/>
        <w:wordWrap/>
        <w:overflowPunct/>
        <w:topLinePunct w:val="0"/>
        <w:autoSpaceDE/>
        <w:autoSpaceDN/>
        <w:bidi w:val="0"/>
        <w:spacing w:line="440" w:lineRule="exact"/>
        <w:ind w:firstLine="562" w:firstLineChars="200"/>
        <w:textAlignment w:val="auto"/>
        <w:outlineLvl w:val="1"/>
        <w:rPr>
          <w:rFonts w:hint="eastAsia" w:ascii="楷体" w:hAnsi="楷体" w:eastAsia="楷体" w:cs="楷体"/>
          <w:b/>
          <w:color w:val="auto"/>
          <w:kern w:val="1"/>
          <w:sz w:val="28"/>
          <w:szCs w:val="28"/>
        </w:rPr>
      </w:pPr>
      <w:bookmarkStart w:id="9" w:name="_Toc17368"/>
      <w:r>
        <w:rPr>
          <w:rFonts w:hint="eastAsia" w:ascii="楷体" w:hAnsi="楷体" w:eastAsia="楷体" w:cs="楷体"/>
          <w:b/>
          <w:color w:val="auto"/>
          <w:kern w:val="1"/>
          <w:sz w:val="28"/>
          <w:szCs w:val="28"/>
        </w:rPr>
        <w:t>（二）专项管理情况分析</w:t>
      </w:r>
      <w:bookmarkEnd w:id="9"/>
    </w:p>
    <w:p>
      <w:pPr>
        <w:keepNext w:val="0"/>
        <w:keepLines w:val="0"/>
        <w:pageBreakBefore w:val="0"/>
        <w:kinsoku/>
        <w:wordWrap/>
        <w:overflowPunct/>
        <w:topLinePunct w:val="0"/>
        <w:autoSpaceDE/>
        <w:autoSpaceDN/>
        <w:bidi w:val="0"/>
        <w:spacing w:line="440" w:lineRule="exact"/>
        <w:ind w:firstLine="640"/>
        <w:textAlignment w:val="auto"/>
        <w:outlineLvl w:val="9"/>
        <w:rPr>
          <w:rFonts w:ascii="仿宋_GB2312" w:hAnsi="仿宋_GB2312" w:eastAsia="仿宋_GB2312" w:cs="仿宋_GB2312"/>
          <w:b/>
          <w:bCs/>
          <w:color w:val="auto"/>
          <w:kern w:val="1"/>
          <w:sz w:val="28"/>
          <w:szCs w:val="28"/>
        </w:rPr>
      </w:pPr>
      <w:r>
        <w:rPr>
          <w:rFonts w:hint="eastAsia" w:ascii="仿宋_GB2312" w:hAnsi="仿宋_GB2312" w:eastAsia="仿宋_GB2312" w:cs="仿宋_GB2312"/>
          <w:b/>
          <w:bCs/>
          <w:color w:val="auto"/>
          <w:kern w:val="1"/>
          <w:sz w:val="28"/>
          <w:szCs w:val="28"/>
          <w:lang w:val="en-US" w:eastAsia="zh-CN"/>
        </w:rPr>
        <w:t>1.</w:t>
      </w:r>
      <w:r>
        <w:rPr>
          <w:rFonts w:hint="eastAsia" w:ascii="仿宋_GB2312" w:hAnsi="仿宋_GB2312" w:eastAsia="仿宋_GB2312" w:cs="仿宋_GB2312"/>
          <w:b/>
          <w:bCs/>
          <w:color w:val="auto"/>
          <w:kern w:val="1"/>
          <w:sz w:val="28"/>
          <w:szCs w:val="28"/>
        </w:rPr>
        <w:t>设立专项的政策依据</w:t>
      </w:r>
    </w:p>
    <w:p>
      <w:pPr>
        <w:keepNext w:val="0"/>
        <w:keepLines w:val="0"/>
        <w:pageBreakBefore w:val="0"/>
        <w:kinsoku/>
        <w:wordWrap/>
        <w:overflowPunct/>
        <w:topLinePunct w:val="0"/>
        <w:autoSpaceDE/>
        <w:autoSpaceDN/>
        <w:bidi w:val="0"/>
        <w:spacing w:line="440" w:lineRule="exact"/>
        <w:ind w:firstLine="640"/>
        <w:textAlignment w:val="auto"/>
        <w:outlineLvl w:val="9"/>
        <w:rPr>
          <w:rFonts w:ascii="仿宋_GB2312" w:hAnsi="仿宋_GB2312" w:eastAsia="仿宋_GB2312" w:cs="仿宋_GB2312"/>
          <w:color w:val="auto"/>
          <w:kern w:val="1"/>
          <w:sz w:val="28"/>
          <w:szCs w:val="28"/>
          <w:highlight w:val="none"/>
        </w:rPr>
      </w:pPr>
      <w:r>
        <w:rPr>
          <w:rFonts w:hint="eastAsia" w:ascii="仿宋_GB2312" w:hAnsi="仿宋_GB2312" w:eastAsia="仿宋_GB2312" w:cs="仿宋_GB2312"/>
          <w:color w:val="auto"/>
          <w:kern w:val="1"/>
          <w:sz w:val="28"/>
          <w:szCs w:val="28"/>
          <w:highlight w:val="none"/>
        </w:rPr>
        <w:t>依据《</w:t>
      </w:r>
      <w:r>
        <w:rPr>
          <w:rFonts w:hint="eastAsia" w:ascii="仿宋_GB2312" w:hAnsi="仿宋_GB2312" w:eastAsia="仿宋_GB2312" w:cs="仿宋_GB2312"/>
          <w:kern w:val="1"/>
          <w:sz w:val="32"/>
          <w:szCs w:val="32"/>
          <w:highlight w:val="none"/>
        </w:rPr>
        <w:t>关于下达20</w:t>
      </w:r>
      <w:r>
        <w:rPr>
          <w:rFonts w:hint="eastAsia" w:ascii="仿宋_GB2312" w:hAnsi="仿宋_GB2312" w:eastAsia="仿宋_GB2312" w:cs="仿宋_GB2312"/>
          <w:kern w:val="1"/>
          <w:sz w:val="32"/>
          <w:szCs w:val="32"/>
          <w:highlight w:val="none"/>
          <w:lang w:val="en-US" w:eastAsia="zh-CN"/>
        </w:rPr>
        <w:t>20</w:t>
      </w:r>
      <w:r>
        <w:rPr>
          <w:rFonts w:hint="eastAsia" w:ascii="仿宋_GB2312" w:hAnsi="仿宋_GB2312" w:eastAsia="仿宋_GB2312" w:cs="仿宋_GB2312"/>
          <w:kern w:val="1"/>
          <w:sz w:val="32"/>
          <w:szCs w:val="32"/>
          <w:highlight w:val="none"/>
        </w:rPr>
        <w:t>年中央财政医疗救助补助资金预算的通知</w:t>
      </w:r>
      <w:r>
        <w:rPr>
          <w:rFonts w:hint="eastAsia" w:ascii="仿宋_GB2312" w:hAnsi="仿宋_GB2312" w:eastAsia="仿宋_GB2312" w:cs="仿宋_GB2312"/>
          <w:color w:val="auto"/>
          <w:kern w:val="1"/>
          <w:sz w:val="28"/>
          <w:szCs w:val="28"/>
          <w:highlight w:val="none"/>
        </w:rPr>
        <w:t>》、《</w:t>
      </w:r>
      <w:r>
        <w:rPr>
          <w:rFonts w:hint="eastAsia" w:ascii="仿宋_GB2312" w:hAnsi="仿宋_GB2312" w:eastAsia="仿宋_GB2312" w:cs="仿宋_GB2312"/>
          <w:color w:val="auto"/>
          <w:kern w:val="1"/>
          <w:sz w:val="28"/>
          <w:szCs w:val="28"/>
          <w:highlight w:val="none"/>
          <w:lang w:val="en-US" w:eastAsia="zh-CN"/>
        </w:rPr>
        <w:t>2020年部门预算公开</w:t>
      </w:r>
      <w:r>
        <w:rPr>
          <w:rFonts w:hint="eastAsia" w:ascii="仿宋_GB2312" w:hAnsi="仿宋_GB2312" w:eastAsia="仿宋_GB2312" w:cs="仿宋_GB2312"/>
          <w:color w:val="auto"/>
          <w:kern w:val="1"/>
          <w:sz w:val="28"/>
          <w:szCs w:val="28"/>
          <w:highlight w:val="none"/>
        </w:rPr>
        <w:t>》等。</w:t>
      </w:r>
    </w:p>
    <w:p>
      <w:pPr>
        <w:keepNext w:val="0"/>
        <w:keepLines w:val="0"/>
        <w:pageBreakBefore w:val="0"/>
        <w:kinsoku/>
        <w:wordWrap/>
        <w:overflowPunct/>
        <w:topLinePunct w:val="0"/>
        <w:autoSpaceDE/>
        <w:autoSpaceDN/>
        <w:bidi w:val="0"/>
        <w:spacing w:line="440" w:lineRule="exact"/>
        <w:ind w:firstLine="640"/>
        <w:textAlignment w:val="auto"/>
        <w:outlineLvl w:val="9"/>
        <w:rPr>
          <w:rFonts w:ascii="仿宋_GB2312" w:hAnsi="仿宋_GB2312" w:eastAsia="仿宋_GB2312" w:cs="仿宋_GB2312"/>
          <w:b/>
          <w:bCs/>
          <w:color w:val="auto"/>
          <w:kern w:val="1"/>
          <w:sz w:val="28"/>
          <w:szCs w:val="28"/>
        </w:rPr>
      </w:pPr>
      <w:r>
        <w:rPr>
          <w:rFonts w:hint="eastAsia" w:ascii="仿宋_GB2312" w:hAnsi="仿宋_GB2312" w:eastAsia="仿宋_GB2312" w:cs="仿宋_GB2312"/>
          <w:b/>
          <w:bCs/>
          <w:color w:val="auto"/>
          <w:kern w:val="1"/>
          <w:sz w:val="28"/>
          <w:szCs w:val="28"/>
          <w:lang w:val="en-US" w:eastAsia="zh-CN"/>
        </w:rPr>
        <w:t>2.</w:t>
      </w:r>
      <w:r>
        <w:rPr>
          <w:rFonts w:hint="eastAsia" w:ascii="仿宋_GB2312" w:hAnsi="仿宋_GB2312" w:eastAsia="仿宋_GB2312" w:cs="仿宋_GB2312"/>
          <w:b/>
          <w:bCs/>
          <w:color w:val="auto"/>
          <w:kern w:val="1"/>
          <w:sz w:val="28"/>
          <w:szCs w:val="28"/>
        </w:rPr>
        <w:t>项目资金情况分析</w:t>
      </w:r>
    </w:p>
    <w:p>
      <w:pPr>
        <w:keepNext w:val="0"/>
        <w:keepLines w:val="0"/>
        <w:pageBreakBefore w:val="0"/>
        <w:widowControl w:val="0"/>
        <w:kinsoku/>
        <w:wordWrap/>
        <w:overflowPunct/>
        <w:topLinePunct w:val="0"/>
        <w:autoSpaceDE/>
        <w:autoSpaceDN/>
        <w:bidi w:val="0"/>
        <w:adjustRightInd/>
        <w:snapToGrid/>
        <w:spacing w:line="440" w:lineRule="exact"/>
        <w:ind w:firstLine="640"/>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eastAsia="zh-CN"/>
        </w:rPr>
        <w:t>（</w:t>
      </w:r>
      <w:r>
        <w:rPr>
          <w:rFonts w:hint="eastAsia" w:ascii="仿宋_GB2312" w:hAnsi="仿宋_GB2312" w:eastAsia="仿宋_GB2312" w:cs="仿宋_GB2312"/>
          <w:color w:val="auto"/>
          <w:kern w:val="1"/>
          <w:sz w:val="28"/>
          <w:szCs w:val="28"/>
          <w:lang w:val="en-US" w:eastAsia="zh-CN"/>
        </w:rPr>
        <w:t>1</w:t>
      </w:r>
      <w:r>
        <w:rPr>
          <w:rFonts w:hint="eastAsia" w:ascii="仿宋_GB2312" w:hAnsi="仿宋_GB2312" w:eastAsia="仿宋_GB2312" w:cs="仿宋_GB2312"/>
          <w:color w:val="auto"/>
          <w:kern w:val="1"/>
          <w:sz w:val="28"/>
          <w:szCs w:val="28"/>
          <w:lang w:eastAsia="zh-CN"/>
        </w:rPr>
        <w:t>）</w:t>
      </w:r>
      <w:r>
        <w:rPr>
          <w:rFonts w:hint="eastAsia" w:ascii="仿宋_GB2312" w:hAnsi="仿宋_GB2312" w:eastAsia="仿宋_GB2312" w:cs="仿宋_GB2312"/>
          <w:color w:val="auto"/>
          <w:kern w:val="1"/>
          <w:sz w:val="28"/>
          <w:szCs w:val="28"/>
        </w:rPr>
        <w:t>资金到位及资金使用情况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outlineLvl w:val="9"/>
        <w:rPr>
          <w:rFonts w:hint="eastAsia" w:ascii="仿宋_GB2312" w:hAnsi="仿宋_GB2312" w:eastAsia="仿宋_GB2312" w:cs="仿宋_GB2312"/>
          <w:color w:val="auto"/>
          <w:kern w:val="1"/>
          <w:sz w:val="28"/>
          <w:szCs w:val="28"/>
          <w:highlight w:val="none"/>
          <w:lang w:eastAsia="zh-CN"/>
        </w:rPr>
      </w:pPr>
      <w:r>
        <w:rPr>
          <w:rFonts w:hint="eastAsia" w:ascii="仿宋_GB2312" w:hAnsi="仿宋_GB2312" w:eastAsia="仿宋_GB2312" w:cs="仿宋_GB2312"/>
          <w:color w:val="auto"/>
          <w:kern w:val="1"/>
          <w:sz w:val="28"/>
          <w:szCs w:val="28"/>
          <w:highlight w:val="none"/>
          <w:lang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eastAsia="zh-CN"/>
        </w:rPr>
        <w:t>（</w:t>
      </w:r>
      <w:r>
        <w:rPr>
          <w:rFonts w:hint="eastAsia" w:ascii="仿宋_GB2312" w:hAnsi="仿宋_GB2312" w:eastAsia="仿宋_GB2312" w:cs="仿宋_GB2312"/>
          <w:color w:val="auto"/>
          <w:kern w:val="1"/>
          <w:sz w:val="28"/>
          <w:szCs w:val="28"/>
          <w:lang w:val="en-US" w:eastAsia="zh-CN"/>
        </w:rPr>
        <w:t>2</w:t>
      </w:r>
      <w:r>
        <w:rPr>
          <w:rFonts w:hint="eastAsia" w:ascii="仿宋_GB2312" w:hAnsi="仿宋_GB2312" w:eastAsia="仿宋_GB2312" w:cs="仿宋_GB2312"/>
          <w:color w:val="auto"/>
          <w:kern w:val="1"/>
          <w:sz w:val="28"/>
          <w:szCs w:val="28"/>
          <w:lang w:eastAsia="zh-CN"/>
        </w:rPr>
        <w:t>）</w:t>
      </w:r>
      <w:r>
        <w:rPr>
          <w:rFonts w:hint="eastAsia" w:ascii="仿宋_GB2312" w:hAnsi="仿宋_GB2312" w:eastAsia="仿宋_GB2312" w:cs="仿宋_GB2312"/>
          <w:color w:val="auto"/>
          <w:kern w:val="1"/>
          <w:sz w:val="28"/>
          <w:szCs w:val="28"/>
        </w:rPr>
        <w:t>资金管理情况</w:t>
      </w:r>
    </w:p>
    <w:p>
      <w:pPr>
        <w:keepNext w:val="0"/>
        <w:keepLines w:val="0"/>
        <w:pageBreakBefore w:val="0"/>
        <w:widowControl w:val="0"/>
        <w:kinsoku/>
        <w:wordWrap/>
        <w:overflowPunct/>
        <w:topLinePunct w:val="0"/>
        <w:autoSpaceDE/>
        <w:autoSpaceDN/>
        <w:bidi w:val="0"/>
        <w:adjustRightInd/>
        <w:snapToGrid/>
        <w:spacing w:line="440" w:lineRule="exact"/>
        <w:ind w:firstLine="640"/>
        <w:textAlignment w:val="auto"/>
        <w:outlineLvl w:val="9"/>
        <w:rPr>
          <w:rFonts w:hint="eastAsia"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eastAsia="zh-CN"/>
        </w:rPr>
        <w:t>在项目实施过程中。项目领导小组根据项目完成情况下拨资金。专款专用，确保项目投资方向不变，使项目按计划有序有效地进行，以达到项目总体设计要求和规划目的。严格建设资金管理，严禁挤占挪用</w:t>
      </w:r>
      <w:r>
        <w:rPr>
          <w:rFonts w:hint="eastAsia" w:ascii="仿宋_GB2312" w:hAnsi="仿宋_GB2312" w:eastAsia="仿宋_GB2312" w:cs="仿宋_GB2312"/>
          <w:color w:val="auto"/>
          <w:kern w:val="1"/>
          <w:sz w:val="28"/>
          <w:szCs w:val="28"/>
        </w:rPr>
        <w:t>。</w:t>
      </w:r>
    </w:p>
    <w:p>
      <w:pPr>
        <w:keepNext w:val="0"/>
        <w:keepLines w:val="0"/>
        <w:pageBreakBefore w:val="0"/>
        <w:widowControl w:val="0"/>
        <w:kinsoku/>
        <w:wordWrap/>
        <w:overflowPunct/>
        <w:topLinePunct w:val="0"/>
        <w:autoSpaceDE/>
        <w:autoSpaceDN/>
        <w:bidi w:val="0"/>
        <w:adjustRightInd/>
        <w:snapToGrid/>
        <w:spacing w:line="440" w:lineRule="exact"/>
        <w:ind w:firstLine="640"/>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val="en-US" w:eastAsia="zh-CN"/>
        </w:rPr>
        <w:t>进一步强化主体责任，</w:t>
      </w:r>
      <w:r>
        <w:rPr>
          <w:rFonts w:hint="eastAsia" w:ascii="仿宋_GB2312" w:hAnsi="仿宋_GB2312" w:eastAsia="仿宋_GB2312" w:cs="仿宋_GB2312"/>
          <w:color w:val="auto"/>
          <w:kern w:val="1"/>
          <w:sz w:val="28"/>
          <w:szCs w:val="28"/>
          <w:lang w:eastAsia="zh-CN"/>
        </w:rPr>
        <w:t>严格推行项目法人责任制，建立项目奖惩及激励机制，保证自有资金按期到位，健全财务管理制度。</w:t>
      </w:r>
    </w:p>
    <w:p>
      <w:pPr>
        <w:keepNext w:val="0"/>
        <w:keepLines w:val="0"/>
        <w:pageBreakBefore w:val="0"/>
        <w:kinsoku/>
        <w:wordWrap/>
        <w:overflowPunct/>
        <w:topLinePunct w:val="0"/>
        <w:autoSpaceDE/>
        <w:autoSpaceDN/>
        <w:bidi w:val="0"/>
        <w:spacing w:line="440" w:lineRule="exact"/>
        <w:ind w:firstLine="640"/>
        <w:textAlignment w:val="auto"/>
        <w:outlineLvl w:val="9"/>
        <w:rPr>
          <w:rFonts w:hint="eastAsia" w:ascii="楷体" w:hAnsi="楷体" w:eastAsia="楷体" w:cs="楷体"/>
          <w:b/>
          <w:bCs/>
          <w:color w:val="auto"/>
          <w:kern w:val="1"/>
          <w:sz w:val="28"/>
          <w:szCs w:val="28"/>
        </w:rPr>
      </w:pPr>
      <w:r>
        <w:rPr>
          <w:rFonts w:hint="eastAsia" w:ascii="楷体" w:hAnsi="楷体" w:eastAsia="楷体" w:cs="楷体"/>
          <w:b/>
          <w:bCs/>
          <w:color w:val="auto"/>
          <w:kern w:val="1"/>
          <w:sz w:val="28"/>
          <w:szCs w:val="28"/>
          <w:lang w:val="en-US" w:eastAsia="zh-CN"/>
        </w:rPr>
        <w:t>3.</w:t>
      </w:r>
      <w:r>
        <w:rPr>
          <w:rFonts w:hint="eastAsia" w:ascii="楷体" w:hAnsi="楷体" w:eastAsia="楷体" w:cs="楷体"/>
          <w:b/>
          <w:bCs/>
          <w:color w:val="auto"/>
          <w:kern w:val="1"/>
          <w:sz w:val="28"/>
          <w:szCs w:val="28"/>
        </w:rPr>
        <w:t>项目实施情况分析</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560" w:firstLineChars="200"/>
        <w:textAlignment w:val="auto"/>
        <w:outlineLvl w:val="9"/>
        <w:rPr>
          <w:rFonts w:ascii="仿宋_GB2312" w:hAnsi="仿宋_GB2312" w:eastAsia="仿宋_GB2312" w:cs="仿宋_GB2312"/>
          <w:b w:val="0"/>
          <w:bCs w:val="0"/>
          <w:color w:val="auto"/>
          <w:kern w:val="1"/>
          <w:sz w:val="28"/>
          <w:szCs w:val="28"/>
        </w:rPr>
      </w:pPr>
      <w:r>
        <w:rPr>
          <w:rFonts w:hint="eastAsia" w:ascii="仿宋_GB2312" w:hAnsi="仿宋_GB2312" w:eastAsia="仿宋_GB2312" w:cs="仿宋_GB2312"/>
          <w:b w:val="0"/>
          <w:bCs w:val="0"/>
          <w:color w:val="auto"/>
          <w:kern w:val="1"/>
          <w:sz w:val="28"/>
          <w:szCs w:val="28"/>
          <w:lang w:eastAsia="zh-CN"/>
        </w:rPr>
        <w:t>（</w:t>
      </w:r>
      <w:r>
        <w:rPr>
          <w:rFonts w:hint="eastAsia" w:ascii="仿宋_GB2312" w:hAnsi="仿宋_GB2312" w:eastAsia="仿宋_GB2312" w:cs="仿宋_GB2312"/>
          <w:b w:val="0"/>
          <w:bCs w:val="0"/>
          <w:color w:val="auto"/>
          <w:kern w:val="1"/>
          <w:sz w:val="28"/>
          <w:szCs w:val="28"/>
          <w:lang w:val="en-US" w:eastAsia="zh-CN"/>
        </w:rPr>
        <w:t>1</w:t>
      </w:r>
      <w:r>
        <w:rPr>
          <w:rFonts w:hint="eastAsia" w:ascii="仿宋_GB2312" w:hAnsi="仿宋_GB2312" w:eastAsia="仿宋_GB2312" w:cs="仿宋_GB2312"/>
          <w:b w:val="0"/>
          <w:bCs w:val="0"/>
          <w:color w:val="auto"/>
          <w:kern w:val="1"/>
          <w:sz w:val="28"/>
          <w:szCs w:val="28"/>
          <w:lang w:eastAsia="zh-CN"/>
        </w:rPr>
        <w:t>）</w:t>
      </w:r>
      <w:r>
        <w:rPr>
          <w:rFonts w:hint="eastAsia" w:ascii="仿宋_GB2312" w:hAnsi="仿宋_GB2312" w:eastAsia="仿宋_GB2312" w:cs="仿宋_GB2312"/>
          <w:b w:val="0"/>
          <w:bCs w:val="0"/>
          <w:color w:val="auto"/>
          <w:kern w:val="1"/>
          <w:sz w:val="28"/>
          <w:szCs w:val="28"/>
        </w:rPr>
        <w:t>组织情况</w:t>
      </w:r>
    </w:p>
    <w:p>
      <w:pPr>
        <w:keepNext w:val="0"/>
        <w:keepLines w:val="0"/>
        <w:pageBreakBefore w:val="0"/>
        <w:kinsoku/>
        <w:wordWrap/>
        <w:overflowPunct/>
        <w:topLinePunct w:val="0"/>
        <w:autoSpaceDE/>
        <w:autoSpaceDN/>
        <w:bidi w:val="0"/>
        <w:adjustRightInd/>
        <w:snapToGrid/>
        <w:spacing w:line="440" w:lineRule="exact"/>
        <w:ind w:firstLine="640"/>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560" w:firstLineChars="200"/>
        <w:textAlignment w:val="auto"/>
        <w:outlineLvl w:val="9"/>
        <w:rPr>
          <w:rFonts w:ascii="仿宋_GB2312" w:hAnsi="仿宋_GB2312" w:eastAsia="仿宋_GB2312" w:cs="仿宋_GB2312"/>
          <w:b w:val="0"/>
          <w:bCs w:val="0"/>
          <w:color w:val="auto"/>
          <w:kern w:val="1"/>
          <w:sz w:val="28"/>
          <w:szCs w:val="28"/>
        </w:rPr>
      </w:pPr>
      <w:r>
        <w:rPr>
          <w:rFonts w:hint="eastAsia" w:ascii="仿宋_GB2312" w:hAnsi="仿宋_GB2312" w:eastAsia="仿宋_GB2312" w:cs="仿宋_GB2312"/>
          <w:b w:val="0"/>
          <w:bCs w:val="0"/>
          <w:color w:val="auto"/>
          <w:kern w:val="1"/>
          <w:sz w:val="28"/>
          <w:szCs w:val="28"/>
          <w:lang w:eastAsia="zh-CN"/>
        </w:rPr>
        <w:t>（</w:t>
      </w:r>
      <w:r>
        <w:rPr>
          <w:rFonts w:hint="eastAsia" w:ascii="仿宋_GB2312" w:hAnsi="仿宋_GB2312" w:eastAsia="仿宋_GB2312" w:cs="仿宋_GB2312"/>
          <w:b w:val="0"/>
          <w:bCs w:val="0"/>
          <w:color w:val="auto"/>
          <w:kern w:val="1"/>
          <w:sz w:val="28"/>
          <w:szCs w:val="28"/>
          <w:lang w:val="en-US" w:eastAsia="zh-CN"/>
        </w:rPr>
        <w:t>2</w:t>
      </w:r>
      <w:r>
        <w:rPr>
          <w:rFonts w:hint="eastAsia" w:ascii="仿宋_GB2312" w:hAnsi="仿宋_GB2312" w:eastAsia="仿宋_GB2312" w:cs="仿宋_GB2312"/>
          <w:b w:val="0"/>
          <w:bCs w:val="0"/>
          <w:color w:val="auto"/>
          <w:kern w:val="1"/>
          <w:sz w:val="28"/>
          <w:szCs w:val="28"/>
          <w:lang w:eastAsia="zh-CN"/>
        </w:rPr>
        <w:t>）</w:t>
      </w:r>
      <w:r>
        <w:rPr>
          <w:rFonts w:hint="eastAsia" w:ascii="仿宋_GB2312" w:hAnsi="仿宋_GB2312" w:eastAsia="仿宋_GB2312" w:cs="仿宋_GB2312"/>
          <w:b w:val="0"/>
          <w:bCs w:val="0"/>
          <w:color w:val="auto"/>
          <w:kern w:val="1"/>
          <w:sz w:val="28"/>
          <w:szCs w:val="28"/>
        </w:rPr>
        <w:t>管理情况</w:t>
      </w:r>
    </w:p>
    <w:p>
      <w:pPr>
        <w:keepNext w:val="0"/>
        <w:keepLines w:val="0"/>
        <w:pageBreakBefore w:val="0"/>
        <w:kinsoku/>
        <w:wordWrap/>
        <w:overflowPunct/>
        <w:topLinePunct w:val="0"/>
        <w:autoSpaceDE/>
        <w:autoSpaceDN/>
        <w:bidi w:val="0"/>
        <w:adjustRightInd/>
        <w:snapToGrid/>
        <w:spacing w:line="440" w:lineRule="exact"/>
        <w:ind w:firstLine="560" w:firstLineChars="200"/>
        <w:jc w:val="left"/>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 xml:space="preserve">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r>
    </w:p>
    <w:p>
      <w:pPr>
        <w:keepNext w:val="0"/>
        <w:keepLines w:val="0"/>
        <w:pageBreakBefore w:val="0"/>
        <w:kinsoku/>
        <w:wordWrap/>
        <w:overflowPunct/>
        <w:topLinePunct w:val="0"/>
        <w:autoSpaceDE/>
        <w:autoSpaceDN/>
        <w:bidi w:val="0"/>
        <w:adjustRightInd/>
        <w:snapToGrid/>
        <w:spacing w:line="440" w:lineRule="exact"/>
        <w:ind w:firstLine="560" w:firstLineChars="200"/>
        <w:jc w:val="left"/>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w:t>
      </w:r>
    </w:p>
    <w:p>
      <w:pPr>
        <w:keepNext w:val="0"/>
        <w:keepLines w:val="0"/>
        <w:pageBreakBefore w:val="0"/>
        <w:kinsoku/>
        <w:wordWrap/>
        <w:overflowPunct/>
        <w:topLinePunct w:val="0"/>
        <w:autoSpaceDE/>
        <w:autoSpaceDN/>
        <w:bidi w:val="0"/>
        <w:adjustRightInd/>
        <w:snapToGrid/>
        <w:spacing w:line="440" w:lineRule="exact"/>
        <w:ind w:firstLine="560" w:firstLineChars="200"/>
        <w:jc w:val="left"/>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w:t>
      </w:r>
    </w:p>
    <w:p>
      <w:pPr>
        <w:keepNext w:val="0"/>
        <w:keepLines w:val="0"/>
        <w:pageBreakBefore w:val="0"/>
        <w:kinsoku/>
        <w:wordWrap/>
        <w:overflowPunct/>
        <w:topLinePunct w:val="0"/>
        <w:autoSpaceDE/>
        <w:autoSpaceDN/>
        <w:bidi w:val="0"/>
        <w:adjustRightInd/>
        <w:snapToGrid/>
        <w:spacing w:line="440" w:lineRule="exact"/>
        <w:ind w:firstLine="560" w:firstLineChars="200"/>
        <w:jc w:val="left"/>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以财务管理为“牛鼻子”，全面提高单位内部管理水平。</w:t>
      </w:r>
    </w:p>
    <w:p>
      <w:pPr>
        <w:keepNext w:val="0"/>
        <w:keepLines w:val="0"/>
        <w:pageBreakBefore w:val="0"/>
        <w:kinsoku/>
        <w:wordWrap/>
        <w:overflowPunct/>
        <w:topLinePunct w:val="0"/>
        <w:autoSpaceDE/>
        <w:autoSpaceDN/>
        <w:bidi w:val="0"/>
        <w:adjustRightInd/>
        <w:snapToGrid/>
        <w:spacing w:line="440" w:lineRule="exact"/>
        <w:ind w:firstLine="560" w:firstLineChars="200"/>
        <w:jc w:val="left"/>
        <w:textAlignment w:val="auto"/>
        <w:outlineLvl w:val="9"/>
        <w:rPr>
          <w:rFonts w:hint="default" w:ascii="仿宋_GB2312" w:hAnsi="仿宋_GB2312" w:eastAsia="仿宋_GB2312" w:cs="仿宋_GB2312"/>
          <w:color w:val="auto"/>
          <w:kern w:val="1"/>
          <w:sz w:val="28"/>
          <w:szCs w:val="28"/>
          <w:lang w:val="en-US" w:eastAsia="zh-CN"/>
        </w:rPr>
      </w:pPr>
      <w:r>
        <w:rPr>
          <w:rFonts w:hint="eastAsia" w:ascii="仿宋_GB2312" w:hAnsi="仿宋_GB2312" w:eastAsia="仿宋_GB2312" w:cs="仿宋_GB2312"/>
          <w:color w:val="auto"/>
          <w:kern w:val="1"/>
          <w:sz w:val="28"/>
          <w:szCs w:val="28"/>
        </w:rPr>
        <w:t>强化集中采购。树立全面节约意识，严控一般性经费支出。特别是在办公设备购置和办公用品使用方面，配合相关科室按照厉行节约、统筹调剂、合理使用的原则加强审核，严控支出，并逐步取得了一定成效。</w:t>
      </w:r>
    </w:p>
    <w:p>
      <w:pPr>
        <w:keepNext w:val="0"/>
        <w:keepLines w:val="0"/>
        <w:pageBreakBefore w:val="0"/>
        <w:kinsoku/>
        <w:wordWrap/>
        <w:overflowPunct/>
        <w:topLinePunct w:val="0"/>
        <w:autoSpaceDE/>
        <w:autoSpaceDN/>
        <w:bidi w:val="0"/>
        <w:adjustRightInd/>
        <w:snapToGrid/>
        <w:spacing w:line="440" w:lineRule="exact"/>
        <w:ind w:firstLine="640"/>
        <w:textAlignment w:val="auto"/>
        <w:outlineLvl w:val="9"/>
        <w:rPr>
          <w:rFonts w:ascii="仿宋_GB2312" w:hAnsi="仿宋_GB2312" w:eastAsia="仿宋_GB2312" w:cs="仿宋_GB2312"/>
          <w:b w:val="0"/>
          <w:bCs w:val="0"/>
          <w:color w:val="auto"/>
          <w:kern w:val="1"/>
          <w:sz w:val="28"/>
          <w:szCs w:val="28"/>
        </w:rPr>
      </w:pPr>
      <w:r>
        <w:rPr>
          <w:rFonts w:hint="eastAsia" w:ascii="仿宋_GB2312" w:hAnsi="仿宋_GB2312" w:eastAsia="仿宋_GB2312" w:cs="仿宋_GB2312"/>
          <w:b w:val="0"/>
          <w:bCs w:val="0"/>
          <w:color w:val="auto"/>
          <w:kern w:val="1"/>
          <w:sz w:val="28"/>
          <w:szCs w:val="28"/>
          <w:lang w:eastAsia="zh-CN"/>
        </w:rPr>
        <w:t>（</w:t>
      </w:r>
      <w:r>
        <w:rPr>
          <w:rFonts w:hint="eastAsia" w:ascii="仿宋_GB2312" w:hAnsi="仿宋_GB2312" w:eastAsia="仿宋_GB2312" w:cs="仿宋_GB2312"/>
          <w:b w:val="0"/>
          <w:bCs w:val="0"/>
          <w:color w:val="auto"/>
          <w:kern w:val="1"/>
          <w:sz w:val="28"/>
          <w:szCs w:val="28"/>
          <w:lang w:val="en-US" w:eastAsia="zh-CN"/>
        </w:rPr>
        <w:t>3</w:t>
      </w:r>
      <w:r>
        <w:rPr>
          <w:rFonts w:hint="eastAsia" w:ascii="仿宋_GB2312" w:hAnsi="仿宋_GB2312" w:eastAsia="仿宋_GB2312" w:cs="仿宋_GB2312"/>
          <w:b w:val="0"/>
          <w:bCs w:val="0"/>
          <w:color w:val="auto"/>
          <w:kern w:val="1"/>
          <w:sz w:val="28"/>
          <w:szCs w:val="28"/>
          <w:lang w:eastAsia="zh-CN"/>
        </w:rPr>
        <w:t>）</w:t>
      </w:r>
      <w:r>
        <w:rPr>
          <w:rFonts w:hint="eastAsia" w:ascii="仿宋_GB2312" w:hAnsi="仿宋_GB2312" w:eastAsia="仿宋_GB2312" w:cs="仿宋_GB2312"/>
          <w:b w:val="0"/>
          <w:bCs w:val="0"/>
          <w:color w:val="auto"/>
          <w:kern w:val="1"/>
          <w:sz w:val="28"/>
          <w:szCs w:val="28"/>
        </w:rPr>
        <w:t>监管情况</w:t>
      </w:r>
    </w:p>
    <w:p>
      <w:pPr>
        <w:keepNext w:val="0"/>
        <w:keepLines w:val="0"/>
        <w:pageBreakBefore w:val="0"/>
        <w:kinsoku/>
        <w:wordWrap/>
        <w:overflowPunct/>
        <w:topLinePunct w:val="0"/>
        <w:autoSpaceDE/>
        <w:autoSpaceDN/>
        <w:bidi w:val="0"/>
        <w:adjustRightInd/>
        <w:snapToGrid/>
        <w:spacing w:line="440" w:lineRule="exact"/>
        <w:ind w:firstLine="640"/>
        <w:textAlignment w:val="auto"/>
        <w:outlineLvl w:val="9"/>
        <w:rPr>
          <w:rFonts w:ascii="仿宋_GB2312" w:hAnsi="仿宋_GB2312" w:eastAsia="仿宋_GB2312" w:cs="仿宋_GB2312"/>
          <w:color w:val="auto"/>
          <w:kern w:val="1"/>
          <w:sz w:val="28"/>
          <w:szCs w:val="28"/>
          <w:lang w:val="zh-CN"/>
        </w:rPr>
      </w:pPr>
      <w:r>
        <w:rPr>
          <w:rFonts w:hint="eastAsia" w:ascii="仿宋_GB2312" w:hAnsi="仿宋_GB2312" w:eastAsia="仿宋_GB2312" w:cs="仿宋_GB2312"/>
          <w:color w:val="auto"/>
          <w:kern w:val="1"/>
          <w:sz w:val="28"/>
          <w:szCs w:val="28"/>
        </w:rP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w:t>
      </w:r>
    </w:p>
    <w:p>
      <w:pPr>
        <w:keepNext w:val="0"/>
        <w:keepLines w:val="0"/>
        <w:pageBreakBefore w:val="0"/>
        <w:kinsoku/>
        <w:wordWrap/>
        <w:overflowPunct/>
        <w:topLinePunct w:val="0"/>
        <w:autoSpaceDE/>
        <w:autoSpaceDN/>
        <w:bidi w:val="0"/>
        <w:adjustRightInd/>
        <w:snapToGrid/>
        <w:spacing w:line="440" w:lineRule="exact"/>
        <w:ind w:firstLine="640"/>
        <w:textAlignment w:val="auto"/>
        <w:outlineLvl w:val="9"/>
        <w:rPr>
          <w:rFonts w:hint="eastAsia" w:ascii="楷体" w:hAnsi="楷体" w:eastAsia="楷体" w:cs="楷体"/>
          <w:b/>
          <w:bCs/>
          <w:color w:val="auto"/>
          <w:kern w:val="1"/>
          <w:sz w:val="28"/>
          <w:szCs w:val="28"/>
        </w:rPr>
      </w:pPr>
      <w:r>
        <w:rPr>
          <w:rFonts w:hint="eastAsia" w:ascii="楷体" w:hAnsi="楷体" w:eastAsia="楷体" w:cs="楷体"/>
          <w:b/>
          <w:bCs/>
          <w:color w:val="auto"/>
          <w:kern w:val="1"/>
          <w:sz w:val="28"/>
          <w:szCs w:val="28"/>
          <w:lang w:val="en-US" w:eastAsia="zh-CN"/>
        </w:rPr>
        <w:t>4.</w:t>
      </w:r>
      <w:r>
        <w:rPr>
          <w:rFonts w:hint="eastAsia" w:ascii="楷体" w:hAnsi="楷体" w:eastAsia="楷体" w:cs="楷体"/>
          <w:b/>
          <w:bCs/>
          <w:color w:val="auto"/>
          <w:kern w:val="1"/>
          <w:sz w:val="28"/>
          <w:szCs w:val="28"/>
        </w:rPr>
        <w:t>项目绩效情况分析</w:t>
      </w:r>
    </w:p>
    <w:p>
      <w:pPr>
        <w:keepNext w:val="0"/>
        <w:keepLines w:val="0"/>
        <w:pageBreakBefore w:val="0"/>
        <w:kinsoku/>
        <w:wordWrap/>
        <w:overflowPunct/>
        <w:topLinePunct w:val="0"/>
        <w:autoSpaceDE/>
        <w:autoSpaceDN/>
        <w:bidi w:val="0"/>
        <w:adjustRightInd/>
        <w:snapToGrid/>
        <w:spacing w:line="440" w:lineRule="exact"/>
        <w:ind w:firstLine="640"/>
        <w:textAlignment w:val="auto"/>
        <w:outlineLvl w:val="9"/>
        <w:rPr>
          <w:rFonts w:hint="default" w:ascii="仿宋_GB2312" w:hAnsi="仿宋_GB2312" w:eastAsia="仿宋_GB2312" w:cs="仿宋_GB2312"/>
          <w:color w:val="auto"/>
          <w:kern w:val="1"/>
          <w:sz w:val="28"/>
          <w:szCs w:val="28"/>
          <w:lang w:val="en-US" w:eastAsia="zh-CN"/>
        </w:rPr>
      </w:pPr>
      <w:r>
        <w:rPr>
          <w:rFonts w:hint="eastAsia" w:ascii="仿宋_GB2312" w:hAnsi="仿宋_GB2312" w:eastAsia="仿宋_GB2312" w:cs="仿宋_GB2312"/>
          <w:color w:val="auto"/>
          <w:kern w:val="1"/>
          <w:sz w:val="28"/>
          <w:szCs w:val="28"/>
        </w:rPr>
        <w:t>本单位所涉及项目均已于资金下达</w:t>
      </w:r>
      <w:r>
        <w:rPr>
          <w:rFonts w:hint="eastAsia" w:ascii="仿宋_GB2312" w:hAnsi="仿宋_GB2312" w:eastAsia="仿宋_GB2312" w:cs="仿宋_GB2312"/>
          <w:color w:val="auto"/>
          <w:kern w:val="1"/>
          <w:sz w:val="28"/>
          <w:szCs w:val="28"/>
          <w:lang w:val="en-US" w:eastAsia="zh-CN"/>
        </w:rPr>
        <w:t>时</w:t>
      </w:r>
      <w:r>
        <w:rPr>
          <w:rFonts w:hint="eastAsia" w:ascii="仿宋_GB2312" w:hAnsi="仿宋_GB2312" w:eastAsia="仿宋_GB2312" w:cs="仿宋_GB2312"/>
          <w:color w:val="auto"/>
          <w:kern w:val="1"/>
          <w:sz w:val="28"/>
          <w:szCs w:val="28"/>
        </w:rPr>
        <w:t>按照资金文件及绩效管理要求设置《项目绩效目标表》，</w:t>
      </w:r>
      <w:r>
        <w:rPr>
          <w:rFonts w:hint="eastAsia" w:ascii="仿宋_GB2312" w:hAnsi="仿宋_GB2312" w:eastAsia="仿宋_GB2312" w:cs="仿宋_GB2312"/>
          <w:color w:val="auto"/>
          <w:kern w:val="1"/>
          <w:sz w:val="28"/>
          <w:szCs w:val="28"/>
          <w:lang w:val="en-US" w:eastAsia="zh-CN"/>
        </w:rPr>
        <w:t>并按财政各跟踪节点开展监控和自评，并对各项指标存在偏差的开展分析和整改。</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jc w:val="both"/>
        <w:textAlignment w:val="auto"/>
        <w:outlineLvl w:val="0"/>
        <w:rPr>
          <w:rFonts w:ascii="仿宋_GB2312" w:hAnsi="仿宋_GB2312" w:eastAsia="仿宋_GB2312" w:cs="仿宋_GB2312"/>
          <w:b/>
          <w:bCs/>
          <w:color w:val="auto"/>
          <w:sz w:val="28"/>
          <w:szCs w:val="28"/>
        </w:rPr>
      </w:pPr>
      <w:bookmarkStart w:id="10" w:name="_Toc26119"/>
      <w:r>
        <w:rPr>
          <w:rFonts w:hint="eastAsia" w:ascii="仿宋_GB2312" w:hAnsi="仿宋_GB2312" w:eastAsia="仿宋_GB2312" w:cs="仿宋_GB2312"/>
          <w:b/>
          <w:bCs/>
          <w:color w:val="auto"/>
          <w:sz w:val="28"/>
          <w:szCs w:val="28"/>
        </w:rPr>
        <w:t>四、资产管理情况</w:t>
      </w:r>
      <w:bookmarkEnd w:id="10"/>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default" w:ascii="楷体" w:hAnsi="楷体" w:eastAsia="楷体" w:cs="楷体"/>
          <w:b/>
          <w:bCs/>
          <w:color w:val="auto"/>
          <w:kern w:val="1"/>
          <w:sz w:val="28"/>
          <w:szCs w:val="28"/>
          <w:lang w:val="en-US" w:eastAsia="zh-CN"/>
        </w:rPr>
      </w:pPr>
      <w:bookmarkStart w:id="11" w:name="_Toc4758"/>
      <w:r>
        <w:rPr>
          <w:rFonts w:hint="eastAsia" w:ascii="楷体" w:hAnsi="楷体" w:eastAsia="楷体" w:cs="楷体"/>
          <w:b/>
          <w:color w:val="auto"/>
          <w:sz w:val="28"/>
          <w:szCs w:val="28"/>
        </w:rPr>
        <w:t>（一）</w:t>
      </w:r>
      <w:r>
        <w:rPr>
          <w:rFonts w:hint="eastAsia" w:ascii="楷体" w:hAnsi="楷体" w:eastAsia="楷体" w:cs="楷体"/>
          <w:b/>
          <w:bCs/>
          <w:color w:val="auto"/>
          <w:kern w:val="1"/>
          <w:sz w:val="28"/>
          <w:szCs w:val="28"/>
          <w:lang w:val="en-US" w:eastAsia="zh-CN"/>
        </w:rPr>
        <w:t>资产整体情况</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我单位</w:t>
      </w:r>
      <w:r>
        <w:rPr>
          <w:rFonts w:hint="eastAsia" w:ascii="仿宋_GB2312" w:hAnsi="仿宋_GB2312" w:eastAsia="仿宋_GB2312" w:cs="仿宋_GB2312"/>
          <w:color w:val="auto"/>
          <w:sz w:val="28"/>
          <w:szCs w:val="28"/>
          <w:highlight w:val="none"/>
        </w:rPr>
        <w:t>2020年初资产合计数为</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万元，</w:t>
      </w:r>
      <w:r>
        <w:rPr>
          <w:rFonts w:hint="eastAsia" w:ascii="仿宋_GB2312" w:hAnsi="仿宋_GB2312" w:eastAsia="仿宋_GB2312" w:cs="仿宋_GB2312"/>
          <w:color w:val="auto"/>
          <w:sz w:val="28"/>
          <w:szCs w:val="28"/>
          <w:highlight w:val="none"/>
          <w:lang w:val="en-US" w:eastAsia="zh-CN"/>
        </w:rPr>
        <w:t>其中流动资产0万元，固定资产净值0万元，无形资产净值0万元。</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年末资产合计数为</w:t>
      </w:r>
      <w:r>
        <w:rPr>
          <w:rFonts w:hint="eastAsia" w:ascii="仿宋_GB2312" w:hAnsi="仿宋_GB2312" w:eastAsia="仿宋_GB2312" w:cs="仿宋_GB2312"/>
          <w:color w:val="auto"/>
          <w:sz w:val="28"/>
          <w:szCs w:val="28"/>
          <w:highlight w:val="none"/>
          <w:lang w:val="en-US" w:eastAsia="zh-CN"/>
        </w:rPr>
        <w:t>37.87</w:t>
      </w:r>
      <w:r>
        <w:rPr>
          <w:rFonts w:hint="eastAsia" w:ascii="仿宋_GB2312" w:hAnsi="仿宋_GB2312" w:eastAsia="仿宋_GB2312" w:cs="仿宋_GB2312"/>
          <w:color w:val="auto"/>
          <w:sz w:val="28"/>
          <w:szCs w:val="28"/>
          <w:highlight w:val="none"/>
        </w:rPr>
        <w:t>万元</w:t>
      </w:r>
      <w:r>
        <w:rPr>
          <w:rFonts w:hint="eastAsia" w:ascii="仿宋_GB2312" w:hAnsi="仿宋_GB2312" w:eastAsia="仿宋_GB2312" w:cs="仿宋_GB2312"/>
          <w:color w:val="auto"/>
          <w:sz w:val="28"/>
          <w:szCs w:val="28"/>
          <w:highlight w:val="none"/>
          <w:lang w:val="en-US" w:eastAsia="zh-CN"/>
        </w:rPr>
        <w:t>，固定资产净值34.95万元，无形资产净值2.92万元。固定资产利用率100%。</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2020年度资产净额增加</w:t>
      </w:r>
      <w:r>
        <w:rPr>
          <w:rFonts w:hint="eastAsia" w:ascii="仿宋_GB2312" w:hAnsi="仿宋_GB2312" w:eastAsia="仿宋_GB2312" w:cs="仿宋_GB2312"/>
          <w:color w:val="auto"/>
          <w:sz w:val="28"/>
          <w:szCs w:val="28"/>
          <w:highlight w:val="none"/>
          <w:lang w:val="en-US" w:eastAsia="zh-CN"/>
        </w:rPr>
        <w:t>37.87</w:t>
      </w:r>
      <w:r>
        <w:rPr>
          <w:rFonts w:hint="eastAsia" w:ascii="仿宋_GB2312" w:hAnsi="仿宋_GB2312" w:eastAsia="仿宋_GB2312" w:cs="仿宋_GB2312"/>
          <w:color w:val="auto"/>
          <w:sz w:val="28"/>
          <w:szCs w:val="28"/>
          <w:highlight w:val="none"/>
        </w:rPr>
        <w:t>万元。主要变动原因是：</w:t>
      </w:r>
      <w:r>
        <w:rPr>
          <w:rFonts w:hint="eastAsia" w:ascii="仿宋_GB2312" w:hAnsi="仿宋_GB2312" w:eastAsia="仿宋_GB2312" w:cs="仿宋_GB2312"/>
          <w:color w:val="auto"/>
          <w:sz w:val="28"/>
          <w:szCs w:val="28"/>
          <w:highlight w:val="none"/>
          <w:lang w:val="en-US" w:eastAsia="zh-CN"/>
        </w:rPr>
        <w:t>2019年为新成立单位，没有资产平台</w:t>
      </w:r>
      <w:r>
        <w:rPr>
          <w:rFonts w:hint="eastAsia" w:ascii="仿宋_GB2312" w:hAnsi="仿宋_GB2312" w:eastAsia="仿宋_GB2312" w:cs="仿宋_GB2312"/>
          <w:color w:val="auto"/>
          <w:sz w:val="28"/>
          <w:szCs w:val="28"/>
          <w:highlight w:val="none"/>
          <w:lang w:eastAsia="zh-CN"/>
        </w:rPr>
        <w:t>。</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color w:val="auto"/>
          <w:kern w:val="1"/>
          <w:sz w:val="28"/>
          <w:szCs w:val="28"/>
        </w:rPr>
      </w:pPr>
      <w:r>
        <w:rPr>
          <w:rFonts w:hint="eastAsia" w:ascii="楷体" w:hAnsi="楷体" w:eastAsia="楷体" w:cs="楷体"/>
          <w:b/>
          <w:bCs/>
          <w:color w:val="auto"/>
          <w:kern w:val="1"/>
          <w:sz w:val="28"/>
          <w:szCs w:val="28"/>
          <w:lang w:eastAsia="zh-CN"/>
        </w:rPr>
        <w:t>（</w:t>
      </w:r>
      <w:r>
        <w:rPr>
          <w:rFonts w:hint="eastAsia" w:ascii="楷体" w:hAnsi="楷体" w:eastAsia="楷体" w:cs="楷体"/>
          <w:b/>
          <w:bCs/>
          <w:color w:val="auto"/>
          <w:kern w:val="1"/>
          <w:sz w:val="28"/>
          <w:szCs w:val="28"/>
          <w:lang w:val="en-US" w:eastAsia="zh-CN"/>
        </w:rPr>
        <w:t>二</w:t>
      </w:r>
      <w:r>
        <w:rPr>
          <w:rFonts w:hint="eastAsia" w:ascii="楷体" w:hAnsi="楷体" w:eastAsia="楷体" w:cs="楷体"/>
          <w:b/>
          <w:bCs/>
          <w:color w:val="auto"/>
          <w:kern w:val="1"/>
          <w:sz w:val="28"/>
          <w:szCs w:val="28"/>
          <w:lang w:eastAsia="zh-CN"/>
        </w:rPr>
        <w:t>）</w:t>
      </w:r>
      <w:r>
        <w:rPr>
          <w:rFonts w:hint="eastAsia" w:ascii="楷体" w:hAnsi="楷体" w:eastAsia="楷体" w:cs="楷体"/>
          <w:b/>
          <w:bCs/>
          <w:color w:val="auto"/>
          <w:kern w:val="1"/>
          <w:sz w:val="28"/>
          <w:szCs w:val="28"/>
        </w:rPr>
        <w:t>资产</w:t>
      </w:r>
      <w:r>
        <w:rPr>
          <w:rFonts w:hint="eastAsia" w:ascii="楷体" w:hAnsi="楷体" w:eastAsia="楷体" w:cs="楷体"/>
          <w:b/>
          <w:bCs/>
          <w:color w:val="auto"/>
          <w:kern w:val="1"/>
          <w:sz w:val="28"/>
          <w:szCs w:val="28"/>
          <w:lang w:val="en-US" w:eastAsia="zh-CN"/>
        </w:rPr>
        <w:t>管理</w:t>
      </w:r>
      <w:r>
        <w:rPr>
          <w:rFonts w:hint="eastAsia" w:ascii="楷体" w:hAnsi="楷体" w:eastAsia="楷体" w:cs="楷体"/>
          <w:b/>
          <w:bCs/>
          <w:color w:val="auto"/>
          <w:kern w:val="1"/>
          <w:sz w:val="28"/>
          <w:szCs w:val="28"/>
        </w:rPr>
        <w:t>体制和制度建设方面</w:t>
      </w:r>
      <w:bookmarkEnd w:id="11"/>
    </w:p>
    <w:p>
      <w:pPr>
        <w:keepNext w:val="0"/>
        <w:keepLines w:val="0"/>
        <w:pageBreakBefore w:val="0"/>
        <w:widowControl w:val="0"/>
        <w:kinsoku/>
        <w:wordWrap/>
        <w:overflowPunct/>
        <w:topLinePunct w:val="0"/>
        <w:autoSpaceDE/>
        <w:autoSpaceDN/>
        <w:bidi w:val="0"/>
        <w:adjustRightInd/>
        <w:snapToGrid/>
        <w:spacing w:line="440" w:lineRule="exact"/>
        <w:ind w:firstLine="596" w:firstLineChars="213"/>
        <w:jc w:val="left"/>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建立健全资产管理制度，合理配备并节约、有效使用资产，提高资产使用效率，保障资产的安全和完整。管理和使用坚持统一政策、统一领导、分级管理、职责到人、物尽其用的原则。资产</w:t>
      </w:r>
      <w:r>
        <w:rPr>
          <w:rFonts w:hint="eastAsia" w:ascii="仿宋_GB2312" w:hAnsi="仿宋_GB2312" w:eastAsia="仿宋_GB2312" w:cs="仿宋_GB2312"/>
          <w:color w:val="auto"/>
          <w:kern w:val="1"/>
          <w:sz w:val="28"/>
          <w:szCs w:val="28"/>
          <w:lang w:val="en-US" w:eastAsia="zh-CN"/>
        </w:rPr>
        <w:t>管理部门</w:t>
      </w:r>
      <w:r>
        <w:rPr>
          <w:rFonts w:hint="eastAsia" w:ascii="仿宋_GB2312" w:hAnsi="仿宋_GB2312" w:eastAsia="仿宋_GB2312" w:cs="仿宋_GB2312"/>
          <w:color w:val="auto"/>
          <w:kern w:val="1"/>
          <w:sz w:val="28"/>
          <w:szCs w:val="28"/>
        </w:rPr>
        <w:t>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rPr>
      </w:pPr>
      <w:bookmarkStart w:id="12" w:name="_Toc5254"/>
      <w:r>
        <w:rPr>
          <w:rFonts w:hint="eastAsia" w:ascii="楷体" w:hAnsi="楷体" w:eastAsia="楷体" w:cs="楷体"/>
          <w:b/>
          <w:bCs/>
          <w:color w:val="auto"/>
          <w:kern w:val="1"/>
          <w:sz w:val="28"/>
          <w:szCs w:val="28"/>
        </w:rPr>
        <w:t>（</w:t>
      </w:r>
      <w:r>
        <w:rPr>
          <w:rFonts w:hint="eastAsia" w:ascii="楷体" w:hAnsi="楷体" w:eastAsia="楷体" w:cs="楷体"/>
          <w:b/>
          <w:bCs/>
          <w:color w:val="auto"/>
          <w:kern w:val="1"/>
          <w:sz w:val="28"/>
          <w:szCs w:val="28"/>
          <w:lang w:val="en-US" w:eastAsia="zh-CN"/>
        </w:rPr>
        <w:t>三</w:t>
      </w:r>
      <w:r>
        <w:rPr>
          <w:rFonts w:hint="eastAsia" w:ascii="楷体" w:hAnsi="楷体" w:eastAsia="楷体" w:cs="楷体"/>
          <w:b/>
          <w:bCs/>
          <w:color w:val="auto"/>
          <w:kern w:val="1"/>
          <w:sz w:val="28"/>
          <w:szCs w:val="28"/>
        </w:rPr>
        <w:t>）运行</w:t>
      </w:r>
      <w:r>
        <w:rPr>
          <w:rFonts w:hint="eastAsia" w:ascii="楷体" w:hAnsi="楷体" w:eastAsia="楷体" w:cs="楷体"/>
          <w:b/>
          <w:bCs/>
          <w:color w:val="auto"/>
          <w:kern w:val="1"/>
          <w:sz w:val="28"/>
          <w:szCs w:val="28"/>
          <w:lang w:val="en-US" w:eastAsia="zh-CN"/>
        </w:rPr>
        <w:t>机</w:t>
      </w:r>
      <w:r>
        <w:rPr>
          <w:rFonts w:hint="eastAsia" w:ascii="楷体" w:hAnsi="楷体" w:eastAsia="楷体" w:cs="楷体"/>
          <w:b/>
          <w:bCs/>
          <w:color w:val="auto"/>
          <w:kern w:val="1"/>
          <w:sz w:val="28"/>
          <w:szCs w:val="28"/>
        </w:rPr>
        <w:t>制和管理方式</w:t>
      </w:r>
      <w:bookmarkEnd w:id="12"/>
    </w:p>
    <w:p>
      <w:pPr>
        <w:keepNext w:val="0"/>
        <w:keepLines w:val="0"/>
        <w:pageBreakBefore w:val="0"/>
        <w:widowControl w:val="0"/>
        <w:kinsoku/>
        <w:wordWrap/>
        <w:overflowPunct/>
        <w:topLinePunct w:val="0"/>
        <w:autoSpaceDE/>
        <w:autoSpaceDN/>
        <w:bidi w:val="0"/>
        <w:adjustRightInd/>
        <w:snapToGrid/>
        <w:spacing w:line="440" w:lineRule="exact"/>
        <w:ind w:firstLine="596" w:firstLineChars="213"/>
        <w:jc w:val="left"/>
        <w:textAlignment w:val="auto"/>
        <w:outlineLvl w:val="9"/>
        <w:rPr>
          <w:rFonts w:hint="eastAsia" w:ascii="楷体" w:hAnsi="楷体" w:eastAsia="楷体" w:cs="楷体"/>
          <w:b/>
          <w:color w:val="auto"/>
          <w:sz w:val="28"/>
          <w:szCs w:val="28"/>
        </w:rPr>
      </w:pPr>
      <w:r>
        <w:rPr>
          <w:rFonts w:hint="eastAsia" w:ascii="仿宋_GB2312" w:hAnsi="仿宋_GB2312" w:eastAsia="仿宋_GB2312" w:cs="仿宋_GB2312"/>
          <w:color w:val="auto"/>
          <w:kern w:val="1"/>
          <w:sz w:val="28"/>
          <w:szCs w:val="28"/>
        </w:rPr>
        <w:t>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rPr>
      </w:pPr>
      <w:bookmarkStart w:id="13" w:name="_Toc29966"/>
      <w:r>
        <w:rPr>
          <w:rFonts w:hint="eastAsia" w:ascii="楷体" w:hAnsi="楷体" w:eastAsia="楷体" w:cs="楷体"/>
          <w:b/>
          <w:bCs/>
          <w:color w:val="auto"/>
          <w:kern w:val="1"/>
          <w:sz w:val="28"/>
          <w:szCs w:val="28"/>
        </w:rPr>
        <w:t>（</w:t>
      </w:r>
      <w:r>
        <w:rPr>
          <w:rFonts w:hint="eastAsia" w:ascii="楷体" w:hAnsi="楷体" w:eastAsia="楷体" w:cs="楷体"/>
          <w:b/>
          <w:bCs/>
          <w:color w:val="auto"/>
          <w:kern w:val="1"/>
          <w:sz w:val="28"/>
          <w:szCs w:val="28"/>
          <w:lang w:val="en-US" w:eastAsia="zh-CN"/>
        </w:rPr>
        <w:t>四</w:t>
      </w:r>
      <w:r>
        <w:rPr>
          <w:rFonts w:hint="eastAsia" w:ascii="楷体" w:hAnsi="楷体" w:eastAsia="楷体" w:cs="楷体"/>
          <w:b/>
          <w:bCs/>
          <w:color w:val="auto"/>
          <w:kern w:val="1"/>
          <w:sz w:val="28"/>
          <w:szCs w:val="28"/>
        </w:rPr>
        <w:t>）信息化建设方面</w:t>
      </w:r>
      <w:bookmarkEnd w:id="13"/>
    </w:p>
    <w:p>
      <w:pPr>
        <w:keepNext w:val="0"/>
        <w:keepLines w:val="0"/>
        <w:pageBreakBefore w:val="0"/>
        <w:widowControl w:val="0"/>
        <w:kinsoku/>
        <w:wordWrap/>
        <w:overflowPunct/>
        <w:topLinePunct w:val="0"/>
        <w:autoSpaceDE/>
        <w:autoSpaceDN/>
        <w:bidi w:val="0"/>
        <w:adjustRightInd/>
        <w:snapToGrid/>
        <w:spacing w:line="440" w:lineRule="exact"/>
        <w:ind w:firstLine="596" w:firstLineChars="213"/>
        <w:jc w:val="left"/>
        <w:textAlignment w:val="auto"/>
        <w:outlineLvl w:val="9"/>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我单位通过用行政事业单位资产管理软件严格管理资产，包括卡片的增加、删除、查询、打印、汇总等。正确、全面、及时地记录资产的增加、减少、使用等状况，真实地反映和监督资产的增减变动和实际状况，建立健全了资产账簿体系。</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rPr>
      </w:pPr>
      <w:bookmarkStart w:id="14" w:name="_Toc26846"/>
      <w:r>
        <w:rPr>
          <w:rFonts w:hint="eastAsia" w:ascii="楷体" w:hAnsi="楷体" w:eastAsia="楷体" w:cs="楷体"/>
          <w:b/>
          <w:bCs/>
          <w:color w:val="auto"/>
          <w:kern w:val="1"/>
          <w:sz w:val="28"/>
          <w:szCs w:val="28"/>
        </w:rPr>
        <w:t>（</w:t>
      </w:r>
      <w:r>
        <w:rPr>
          <w:rFonts w:hint="eastAsia" w:ascii="楷体" w:hAnsi="楷体" w:eastAsia="楷体" w:cs="楷体"/>
          <w:b/>
          <w:bCs/>
          <w:color w:val="auto"/>
          <w:kern w:val="1"/>
          <w:sz w:val="28"/>
          <w:szCs w:val="28"/>
          <w:lang w:val="en-US" w:eastAsia="zh-CN"/>
        </w:rPr>
        <w:t>五</w:t>
      </w:r>
      <w:r>
        <w:rPr>
          <w:rFonts w:hint="eastAsia" w:ascii="楷体" w:hAnsi="楷体" w:eastAsia="楷体" w:cs="楷体"/>
          <w:b/>
          <w:bCs/>
          <w:color w:val="auto"/>
          <w:kern w:val="1"/>
          <w:sz w:val="28"/>
          <w:szCs w:val="28"/>
        </w:rPr>
        <w:t>）流动资产的管理</w:t>
      </w:r>
      <w:bookmarkEnd w:id="14"/>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流动资产严格按照我单位内控体系要求进行管理，无备用金，单位货币资金管理由财务科每月与银行进行对帐，并填写银行余额调节表。</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rPr>
      </w:pPr>
      <w:bookmarkStart w:id="15" w:name="_Toc13280"/>
      <w:r>
        <w:rPr>
          <w:rFonts w:hint="eastAsia" w:ascii="楷体" w:hAnsi="楷体" w:eastAsia="楷体" w:cs="楷体"/>
          <w:b/>
          <w:bCs/>
          <w:color w:val="auto"/>
          <w:kern w:val="1"/>
          <w:sz w:val="28"/>
          <w:szCs w:val="28"/>
        </w:rPr>
        <w:t>（</w:t>
      </w:r>
      <w:r>
        <w:rPr>
          <w:rFonts w:hint="eastAsia" w:ascii="楷体" w:hAnsi="楷体" w:eastAsia="楷体" w:cs="楷体"/>
          <w:b/>
          <w:bCs/>
          <w:color w:val="auto"/>
          <w:kern w:val="1"/>
          <w:sz w:val="28"/>
          <w:szCs w:val="28"/>
          <w:lang w:val="en-US" w:eastAsia="zh-CN"/>
        </w:rPr>
        <w:t>六</w:t>
      </w:r>
      <w:r>
        <w:rPr>
          <w:rFonts w:hint="eastAsia" w:ascii="楷体" w:hAnsi="楷体" w:eastAsia="楷体" w:cs="楷体"/>
          <w:b/>
          <w:bCs/>
          <w:color w:val="auto"/>
          <w:kern w:val="1"/>
          <w:sz w:val="28"/>
          <w:szCs w:val="28"/>
        </w:rPr>
        <w:t>）固定资产的管理</w:t>
      </w:r>
      <w:bookmarkEnd w:id="15"/>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w:t>
      </w:r>
      <w:r>
        <w:rPr>
          <w:rFonts w:hint="eastAsia" w:ascii="仿宋_GB2312" w:hAnsi="仿宋_GB2312" w:eastAsia="仿宋_GB2312" w:cs="仿宋_GB2312"/>
          <w:color w:val="auto"/>
          <w:sz w:val="28"/>
          <w:szCs w:val="28"/>
          <w:lang w:val="en-US" w:eastAsia="zh-CN"/>
        </w:rPr>
        <w:t>单位</w:t>
      </w:r>
      <w:r>
        <w:rPr>
          <w:rFonts w:hint="eastAsia" w:ascii="仿宋_GB2312" w:hAnsi="仿宋_GB2312" w:eastAsia="仿宋_GB2312" w:cs="仿宋_GB2312"/>
          <w:color w:val="auto"/>
          <w:sz w:val="28"/>
          <w:szCs w:val="28"/>
        </w:rPr>
        <w:t>的资产管理详细按照</w:t>
      </w:r>
      <w:r>
        <w:rPr>
          <w:rFonts w:hint="eastAsia" w:ascii="仿宋_GB2312" w:hAnsi="仿宋_GB2312" w:eastAsia="仿宋_GB2312" w:cs="仿宋_GB2312"/>
          <w:color w:val="auto"/>
          <w:sz w:val="28"/>
          <w:szCs w:val="28"/>
          <w:lang w:val="en-US" w:eastAsia="zh-CN"/>
        </w:rPr>
        <w:t>国家和自治区</w:t>
      </w:r>
      <w:r>
        <w:rPr>
          <w:rFonts w:hint="eastAsia" w:ascii="仿宋_GB2312" w:hAnsi="仿宋_GB2312" w:eastAsia="仿宋_GB2312" w:cs="仿宋_GB2312"/>
          <w:color w:val="auto"/>
          <w:sz w:val="28"/>
          <w:szCs w:val="28"/>
        </w:rPr>
        <w:t>的</w:t>
      </w:r>
      <w:r>
        <w:rPr>
          <w:rFonts w:hint="eastAsia" w:ascii="仿宋_GB2312" w:hAnsi="仿宋_GB2312" w:eastAsia="仿宋_GB2312" w:cs="仿宋_GB2312"/>
          <w:color w:val="auto"/>
          <w:sz w:val="28"/>
          <w:szCs w:val="28"/>
          <w:lang w:val="en-US" w:eastAsia="zh-CN"/>
        </w:rPr>
        <w:t>财务管理制度和资产管理办法</w:t>
      </w:r>
      <w:r>
        <w:rPr>
          <w:rFonts w:hint="eastAsia" w:ascii="仿宋_GB2312" w:hAnsi="仿宋_GB2312" w:eastAsia="仿宋_GB2312" w:cs="仿宋_GB2312"/>
          <w:color w:val="auto"/>
          <w:sz w:val="28"/>
          <w:szCs w:val="28"/>
        </w:rPr>
        <w:t>相关要求执行,符合财政部门要求。每年年末定时对我单位的固定资产进行盘点，对盘点过程中发生的盈亏，进行原因查找，并上报局党组研究决策，再上报财政局国有资产管理科进行申报再行处理。</w:t>
      </w:r>
    </w:p>
    <w:p>
      <w:pPr>
        <w:pStyle w:val="16"/>
        <w:keepNext w:val="0"/>
        <w:keepLines w:val="0"/>
        <w:pageBreakBefore w:val="0"/>
        <w:widowControl/>
        <w:numPr>
          <w:ilvl w:val="0"/>
          <w:numId w:val="1"/>
        </w:numPr>
        <w:kinsoku/>
        <w:wordWrap/>
        <w:overflowPunct/>
        <w:topLinePunct w:val="0"/>
        <w:autoSpaceDE/>
        <w:autoSpaceDN/>
        <w:bidi w:val="0"/>
        <w:spacing w:before="40" w:beforeAutospacing="0" w:after="0" w:afterAutospacing="0" w:line="440" w:lineRule="exact"/>
        <w:jc w:val="both"/>
        <w:textAlignment w:val="auto"/>
        <w:outlineLvl w:val="0"/>
        <w:rPr>
          <w:rFonts w:hint="eastAsia" w:ascii="黑体" w:hAnsi="黑体" w:eastAsia="黑体" w:cs="黑体"/>
          <w:color w:val="auto"/>
          <w:sz w:val="28"/>
          <w:szCs w:val="28"/>
        </w:rPr>
      </w:pPr>
      <w:bookmarkStart w:id="16" w:name="_Toc27508"/>
      <w:r>
        <w:rPr>
          <w:rFonts w:hint="eastAsia" w:ascii="黑体" w:hAnsi="黑体" w:eastAsia="黑体" w:cs="黑体"/>
          <w:color w:val="auto"/>
          <w:sz w:val="28"/>
          <w:szCs w:val="28"/>
        </w:rPr>
        <w:t>部门整体支出绩效情况</w:t>
      </w:r>
      <w:bookmarkEnd w:id="16"/>
    </w:p>
    <w:p>
      <w:pPr>
        <w:keepNext w:val="0"/>
        <w:keepLines w:val="0"/>
        <w:pageBreakBefore w:val="0"/>
        <w:kinsoku/>
        <w:wordWrap/>
        <w:overflowPunct/>
        <w:topLinePunct w:val="0"/>
        <w:autoSpaceDE/>
        <w:autoSpaceDN/>
        <w:bidi w:val="0"/>
        <w:snapToGrid w:val="0"/>
        <w:spacing w:line="440" w:lineRule="exact"/>
        <w:ind w:firstLine="560" w:firstLineChars="200"/>
        <w:textAlignment w:val="auto"/>
        <w:rPr>
          <w:rFonts w:hint="eastAsia" w:ascii="仿宋_GB2312" w:hAnsi="仿宋_GB2312" w:eastAsia="仿宋_GB2312" w:cs="仿宋_GB2312"/>
          <w:color w:val="auto"/>
          <w:sz w:val="28"/>
          <w:szCs w:val="28"/>
          <w:highlight w:val="green"/>
        </w:rPr>
      </w:pPr>
      <w:r>
        <w:rPr>
          <w:rFonts w:hint="eastAsia" w:ascii="仿宋_GB2312" w:hAnsi="仿宋_GB2312" w:eastAsia="仿宋_GB2312" w:cs="仿宋_GB2312"/>
          <w:color w:val="auto"/>
          <w:sz w:val="28"/>
          <w:szCs w:val="28"/>
        </w:rPr>
        <w:t>根据自治区《部门单位整体支出绩效评价指标体系》综合评分，部门整体支出绩效自评价</w:t>
      </w:r>
      <w:r>
        <w:rPr>
          <w:rFonts w:hint="eastAsia" w:ascii="仿宋_GB2312" w:hAnsi="仿宋_GB2312" w:eastAsia="仿宋_GB2312" w:cs="仿宋_GB2312"/>
          <w:color w:val="auto"/>
          <w:sz w:val="28"/>
          <w:szCs w:val="28"/>
          <w:highlight w:val="none"/>
        </w:rPr>
        <w:t>打分</w:t>
      </w:r>
      <w:r>
        <w:rPr>
          <w:rFonts w:hint="eastAsia" w:ascii="仿宋_GB2312" w:hAnsi="仿宋_GB2312" w:eastAsia="仿宋_GB2312" w:cs="仿宋_GB2312"/>
          <w:color w:val="auto"/>
          <w:sz w:val="28"/>
          <w:szCs w:val="28"/>
          <w:highlight w:val="none"/>
          <w:lang w:val="en-US" w:eastAsia="zh-CN"/>
        </w:rPr>
        <w:t>99</w:t>
      </w:r>
      <w:r>
        <w:rPr>
          <w:rFonts w:hint="eastAsia" w:ascii="仿宋_GB2312" w:hAnsi="仿宋_GB2312" w:eastAsia="仿宋_GB2312" w:cs="仿宋_GB2312"/>
          <w:color w:val="auto"/>
          <w:sz w:val="28"/>
          <w:szCs w:val="28"/>
          <w:highlight w:val="none"/>
        </w:rPr>
        <w:t>分。</w:t>
      </w:r>
    </w:p>
    <w:tbl>
      <w:tblPr>
        <w:tblStyle w:val="17"/>
        <w:tblW w:w="8897" w:type="dxa"/>
        <w:tblInd w:w="0" w:type="dxa"/>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503"/>
        <w:gridCol w:w="1276"/>
        <w:gridCol w:w="3118"/>
      </w:tblGrid>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评价指标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分值</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绩效得分</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一、投入</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15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15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0"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1.职责明确</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2.活动合规性</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5"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3.活动合理性</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4.部门绩效自评项目占比率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5.在职人员控制率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二、过程</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55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1.预算完成率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2.预算调整率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3.支付进度率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4.结转结余率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5.公用经费控制率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6.政府采购执行率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7.资金使用合规性</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8.预决算信息公开性</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9.基础信息完善性</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10.资产管理完整性</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11.固定资产利用率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三、产出</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20</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19</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1.项目实际完成率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2.项目质量达标率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3.活动关键指标达标率</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四、效果</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10</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19</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1.部门预算绩效管理工作评价</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2.社会公众满意度</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r>
      <w:tr>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9" w:hRule="atLeast"/>
        </w:trPr>
        <w:tc>
          <w:tcPr>
            <w:tcW w:w="4503" w:type="dxa"/>
            <w:noWrap w:val="0"/>
            <w:vAlign w:val="center"/>
          </w:tcPr>
          <w:p>
            <w:pPr>
              <w:keepNext w:val="0"/>
              <w:keepLines w:val="0"/>
              <w:pageBreakBefore w:val="0"/>
              <w:widowControl/>
              <w:kinsoku/>
              <w:wordWrap/>
              <w:overflowPunct/>
              <w:topLinePunct w:val="0"/>
              <w:autoSpaceDE/>
              <w:autoSpaceDN/>
              <w:bidi w:val="0"/>
              <w:spacing w:line="440" w:lineRule="exac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总分</w:t>
            </w:r>
          </w:p>
        </w:tc>
        <w:tc>
          <w:tcPr>
            <w:tcW w:w="1276"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100</w:t>
            </w:r>
          </w:p>
        </w:tc>
        <w:tc>
          <w:tcPr>
            <w:tcW w:w="3118" w:type="dxa"/>
            <w:noWrap w:val="0"/>
            <w:vAlign w:val="center"/>
          </w:tcPr>
          <w:p>
            <w:pPr>
              <w:keepNext w:val="0"/>
              <w:keepLines w:val="0"/>
              <w:pageBreakBefore w:val="0"/>
              <w:widowControl/>
              <w:kinsoku/>
              <w:wordWrap/>
              <w:overflowPunct/>
              <w:topLinePunct w:val="0"/>
              <w:autoSpaceDE/>
              <w:autoSpaceDN/>
              <w:bidi w:val="0"/>
              <w:spacing w:line="440" w:lineRule="exact"/>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99</w:t>
            </w:r>
          </w:p>
        </w:tc>
      </w:tr>
    </w:tbl>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rPr>
      </w:pPr>
      <w:bookmarkStart w:id="17" w:name="_Toc5917"/>
      <w:r>
        <w:rPr>
          <w:rFonts w:hint="eastAsia" w:ascii="楷体" w:hAnsi="楷体" w:eastAsia="楷体" w:cs="楷体"/>
          <w:b/>
          <w:bCs/>
          <w:color w:val="auto"/>
          <w:kern w:val="1"/>
          <w:sz w:val="28"/>
          <w:szCs w:val="28"/>
          <w:lang w:eastAsia="zh-CN"/>
        </w:rPr>
        <w:t>（</w:t>
      </w:r>
      <w:r>
        <w:rPr>
          <w:rFonts w:hint="eastAsia" w:ascii="楷体" w:hAnsi="楷体" w:eastAsia="楷体" w:cs="楷体"/>
          <w:b/>
          <w:bCs/>
          <w:color w:val="auto"/>
          <w:kern w:val="1"/>
          <w:sz w:val="28"/>
          <w:szCs w:val="28"/>
          <w:lang w:val="en-US" w:eastAsia="zh-CN"/>
        </w:rPr>
        <w:t>一</w:t>
      </w:r>
      <w:r>
        <w:rPr>
          <w:rFonts w:hint="eastAsia" w:ascii="楷体" w:hAnsi="楷体" w:eastAsia="楷体" w:cs="楷体"/>
          <w:b/>
          <w:bCs/>
          <w:color w:val="auto"/>
          <w:kern w:val="1"/>
          <w:sz w:val="28"/>
          <w:szCs w:val="28"/>
          <w:lang w:eastAsia="zh-CN"/>
        </w:rPr>
        <w:t>）</w:t>
      </w:r>
      <w:r>
        <w:rPr>
          <w:rFonts w:hint="eastAsia" w:ascii="楷体" w:hAnsi="楷体" w:eastAsia="楷体" w:cs="楷体"/>
          <w:b/>
          <w:bCs/>
          <w:color w:val="auto"/>
          <w:kern w:val="1"/>
          <w:sz w:val="28"/>
          <w:szCs w:val="28"/>
        </w:rPr>
        <w:t>效益</w:t>
      </w:r>
      <w:r>
        <w:rPr>
          <w:rFonts w:hint="eastAsia" w:ascii="楷体" w:hAnsi="楷体" w:eastAsia="楷体" w:cs="楷体"/>
          <w:b/>
          <w:bCs/>
          <w:color w:val="auto"/>
          <w:kern w:val="1"/>
          <w:sz w:val="28"/>
          <w:szCs w:val="28"/>
          <w:lang w:val="en-US" w:eastAsia="zh-CN"/>
        </w:rPr>
        <w:t>性</w:t>
      </w:r>
      <w:r>
        <w:rPr>
          <w:rFonts w:hint="eastAsia" w:ascii="楷体" w:hAnsi="楷体" w:eastAsia="楷体" w:cs="楷体"/>
          <w:b/>
          <w:bCs/>
          <w:color w:val="auto"/>
          <w:kern w:val="1"/>
          <w:sz w:val="28"/>
          <w:szCs w:val="28"/>
        </w:rPr>
        <w:t>评价</w:t>
      </w:r>
      <w:bookmarkEnd w:id="17"/>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b w:val="0"/>
          <w:bCs w:val="0"/>
          <w:sz w:val="28"/>
          <w:szCs w:val="28"/>
        </w:rPr>
      </w:pPr>
      <w:bookmarkStart w:id="18" w:name="_Toc2150"/>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预期目标完成程度</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数量指标：</w:t>
      </w:r>
      <w:r>
        <w:rPr>
          <w:rFonts w:hint="eastAsia" w:ascii="仿宋_GB2312" w:hAnsi="仿宋_GB2312" w:eastAsia="仿宋_GB2312" w:cs="仿宋_GB2312"/>
          <w:sz w:val="28"/>
          <w:szCs w:val="28"/>
          <w:lang w:val="en-US" w:eastAsia="zh-CN"/>
        </w:rPr>
        <w:t>指标1：机关事业单位在职职工养老保险人数</w:t>
      </w:r>
      <w:r>
        <w:rPr>
          <w:rFonts w:hint="eastAsia" w:ascii="仿宋_GB2312" w:hAnsi="仿宋_GB2312" w:eastAsia="仿宋_GB2312" w:cs="仿宋_GB2312"/>
          <w:sz w:val="28"/>
          <w:szCs w:val="28"/>
        </w:rPr>
        <w:t>，预期指标值=4人，指标完成值=4人，指标完成率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数量指标：</w:t>
      </w:r>
      <w:r>
        <w:rPr>
          <w:rFonts w:hint="eastAsia" w:ascii="仿宋_GB2312" w:hAnsi="仿宋_GB2312" w:eastAsia="仿宋_GB2312" w:cs="仿宋_GB2312"/>
          <w:sz w:val="28"/>
          <w:szCs w:val="28"/>
          <w:lang w:val="en-US" w:eastAsia="zh-CN"/>
        </w:rPr>
        <w:t>指标2：人员工资、其他社会保障支出人数</w:t>
      </w:r>
      <w:r>
        <w:rPr>
          <w:rFonts w:hint="eastAsia" w:ascii="仿宋_GB2312" w:hAnsi="仿宋_GB2312" w:eastAsia="仿宋_GB2312" w:cs="仿宋_GB2312"/>
          <w:sz w:val="28"/>
          <w:szCs w:val="28"/>
        </w:rPr>
        <w:t>，预期指标值=4人，指标完成值=4人，指标完成率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ascii="仿宋_GB2312" w:hAnsi="仿宋_GB2312" w:eastAsia="仿宋_GB2312" w:cs="仿宋_GB2312"/>
          <w:sz w:val="28"/>
          <w:szCs w:val="28"/>
        </w:rPr>
      </w:pPr>
      <w:r>
        <w:rPr>
          <w:rFonts w:hint="eastAsia" w:ascii="仿宋_GB2312" w:hAnsi="仿宋_GB2312" w:eastAsia="仿宋_GB2312" w:cs="仿宋_GB2312"/>
          <w:b/>
          <w:bCs/>
          <w:sz w:val="28"/>
          <w:szCs w:val="28"/>
        </w:rPr>
        <w:t>数量指标：</w:t>
      </w:r>
      <w:r>
        <w:rPr>
          <w:rFonts w:hint="eastAsia" w:ascii="仿宋_GB2312" w:hAnsi="仿宋_GB2312" w:eastAsia="仿宋_GB2312" w:cs="仿宋_GB2312"/>
          <w:sz w:val="28"/>
          <w:szCs w:val="28"/>
          <w:lang w:val="en-US" w:eastAsia="zh-CN"/>
        </w:rPr>
        <w:t>指标3：住房公积金人数</w:t>
      </w:r>
      <w:r>
        <w:rPr>
          <w:rFonts w:hint="eastAsia" w:ascii="仿宋_GB2312" w:hAnsi="仿宋_GB2312" w:eastAsia="仿宋_GB2312" w:cs="仿宋_GB2312"/>
          <w:sz w:val="28"/>
          <w:szCs w:val="28"/>
        </w:rPr>
        <w:t>，预期指标值=4人，指标完成值=4人，指标完成率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数量指标：</w:t>
      </w:r>
      <w:r>
        <w:rPr>
          <w:rFonts w:hint="eastAsia" w:ascii="仿宋_GB2312" w:hAnsi="仿宋_GB2312" w:eastAsia="仿宋_GB2312" w:cs="仿宋_GB2312"/>
          <w:sz w:val="28"/>
          <w:szCs w:val="28"/>
          <w:lang w:val="en-US" w:eastAsia="zh-CN"/>
        </w:rPr>
        <w:t>指标4：城乡居民基本医疗救助人数</w:t>
      </w:r>
      <w:r>
        <w:rPr>
          <w:rFonts w:hint="eastAsia" w:ascii="仿宋_GB2312" w:hAnsi="仿宋_GB2312" w:eastAsia="仿宋_GB2312" w:cs="仿宋_GB2312"/>
          <w:sz w:val="28"/>
          <w:szCs w:val="28"/>
        </w:rPr>
        <w:t>，预期指标值≥15580人，指标完成值≥15580人，指标完成率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质量指标：</w:t>
      </w:r>
      <w:r>
        <w:rPr>
          <w:rFonts w:hint="eastAsia" w:ascii="仿宋_GB2312" w:hAnsi="仿宋_GB2312" w:eastAsia="仿宋_GB2312" w:cs="仿宋_GB2312"/>
          <w:sz w:val="28"/>
          <w:szCs w:val="28"/>
          <w:lang w:val="en-US" w:eastAsia="zh-CN"/>
        </w:rPr>
        <w:t>指标1：年初预算、专款专用、计划调剂，确保完成在职人员2020年养老金</w:t>
      </w:r>
      <w:r>
        <w:rPr>
          <w:rFonts w:hint="eastAsia" w:ascii="仿宋_GB2312" w:hAnsi="仿宋_GB2312" w:eastAsia="仿宋_GB2312" w:cs="仿宋_GB2312"/>
          <w:sz w:val="28"/>
          <w:szCs w:val="28"/>
        </w:rPr>
        <w:t>，预期指标值=100%，指标完成值=100%，指标完成率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质量指标：</w:t>
      </w:r>
      <w:r>
        <w:rPr>
          <w:rFonts w:hint="eastAsia" w:ascii="仿宋_GB2312" w:hAnsi="仿宋_GB2312" w:eastAsia="仿宋_GB2312" w:cs="仿宋_GB2312"/>
          <w:sz w:val="28"/>
          <w:szCs w:val="28"/>
          <w:lang w:val="en-US" w:eastAsia="zh-CN"/>
        </w:rPr>
        <w:t>指标2：完成职工工资的发放及社会保障支出，预期指标值=100%，指标完成值=100%，指标完</w:t>
      </w:r>
      <w:r>
        <w:rPr>
          <w:rFonts w:hint="eastAsia" w:ascii="仿宋_GB2312" w:hAnsi="仿宋_GB2312" w:eastAsia="仿宋_GB2312" w:cs="仿宋_GB2312"/>
          <w:sz w:val="28"/>
          <w:szCs w:val="28"/>
        </w:rPr>
        <w:t>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质量指标：</w:t>
      </w:r>
      <w:r>
        <w:rPr>
          <w:rFonts w:hint="eastAsia" w:ascii="仿宋_GB2312" w:hAnsi="仿宋_GB2312" w:eastAsia="仿宋_GB2312" w:cs="仿宋_GB2312"/>
          <w:sz w:val="28"/>
          <w:szCs w:val="28"/>
          <w:lang w:val="en-US" w:eastAsia="zh-CN"/>
        </w:rPr>
        <w:t>指标3：年初预算、专款专用、计划调剂，确保完成在职人员2020年养老金</w:t>
      </w:r>
      <w:r>
        <w:rPr>
          <w:rFonts w:hint="eastAsia" w:ascii="仿宋_GB2312" w:hAnsi="仿宋_GB2312" w:eastAsia="仿宋_GB2312" w:cs="仿宋_GB2312"/>
          <w:sz w:val="28"/>
          <w:szCs w:val="28"/>
        </w:rPr>
        <w:t>，预期指标值=100%，指标完成值=100%，指标完成率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质量指标：</w:t>
      </w:r>
      <w:r>
        <w:rPr>
          <w:rFonts w:hint="eastAsia" w:ascii="仿宋_GB2312" w:hAnsi="仿宋_GB2312" w:eastAsia="仿宋_GB2312" w:cs="仿宋_GB2312"/>
          <w:sz w:val="28"/>
          <w:szCs w:val="28"/>
          <w:lang w:val="en-US" w:eastAsia="zh-CN"/>
        </w:rPr>
        <w:t>指标4：通过财政审批办公费、三公经费、其他工资福利支出等.</w:t>
      </w:r>
      <w:r>
        <w:rPr>
          <w:rFonts w:hint="eastAsia" w:ascii="仿宋_GB2312" w:hAnsi="仿宋_GB2312" w:eastAsia="仿宋_GB2312" w:cs="仿宋_GB2312"/>
          <w:sz w:val="28"/>
          <w:szCs w:val="28"/>
        </w:rPr>
        <w:t>预期指标值=100%，指标完成值=100%，指标完成率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质量指标：</w:t>
      </w:r>
      <w:r>
        <w:rPr>
          <w:rFonts w:hint="eastAsia" w:ascii="仿宋_GB2312" w:hAnsi="仿宋_GB2312" w:eastAsia="仿宋_GB2312" w:cs="仿宋_GB2312"/>
          <w:sz w:val="28"/>
          <w:szCs w:val="28"/>
        </w:rPr>
        <w:t>指标5：购置质量合格率（%）和验收率（%）预期指标值=100%，指标完成值=100%，指标完成率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时效指标：</w:t>
      </w:r>
      <w:r>
        <w:rPr>
          <w:rFonts w:hint="eastAsia" w:ascii="仿宋_GB2312" w:hAnsi="仿宋_GB2312" w:eastAsia="仿宋_GB2312" w:cs="仿宋_GB2312"/>
          <w:sz w:val="28"/>
          <w:szCs w:val="28"/>
          <w:lang w:val="en-US" w:eastAsia="zh-CN"/>
        </w:rPr>
        <w:t>指标1：全年完成养老保险的支出</w:t>
      </w:r>
      <w:r>
        <w:rPr>
          <w:rFonts w:hint="eastAsia" w:ascii="仿宋_GB2312" w:hAnsi="仿宋_GB2312" w:eastAsia="仿宋_GB2312" w:cs="仿宋_GB2312"/>
          <w:sz w:val="28"/>
          <w:szCs w:val="28"/>
        </w:rPr>
        <w:t>，预期指标值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时效指标：</w:t>
      </w:r>
      <w:r>
        <w:rPr>
          <w:rFonts w:hint="eastAsia" w:ascii="仿宋_GB2312" w:hAnsi="仿宋_GB2312" w:eastAsia="仿宋_GB2312" w:cs="仿宋_GB2312"/>
          <w:sz w:val="28"/>
          <w:szCs w:val="28"/>
          <w:lang w:val="en-US" w:eastAsia="zh-CN"/>
        </w:rPr>
        <w:t>指标2：全年完成人员工资、其他社会保险支出</w:t>
      </w:r>
      <w:r>
        <w:rPr>
          <w:rFonts w:hint="eastAsia" w:ascii="仿宋_GB2312" w:hAnsi="仿宋_GB2312" w:eastAsia="仿宋_GB2312" w:cs="仿宋_GB2312"/>
          <w:sz w:val="28"/>
          <w:szCs w:val="28"/>
        </w:rPr>
        <w:t>，预期指标值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时效指标：</w:t>
      </w:r>
      <w:r>
        <w:rPr>
          <w:rFonts w:hint="eastAsia" w:ascii="仿宋_GB2312" w:hAnsi="仿宋_GB2312" w:eastAsia="仿宋_GB2312" w:cs="仿宋_GB2312"/>
          <w:sz w:val="28"/>
          <w:szCs w:val="28"/>
          <w:lang w:val="en-US" w:eastAsia="zh-CN"/>
        </w:rPr>
        <w:t>指标3:完成职工住房公积金</w:t>
      </w:r>
      <w:r>
        <w:rPr>
          <w:rFonts w:hint="eastAsia" w:ascii="仿宋_GB2312" w:hAnsi="仿宋_GB2312" w:eastAsia="仿宋_GB2312" w:cs="仿宋_GB2312"/>
          <w:sz w:val="28"/>
          <w:szCs w:val="28"/>
        </w:rPr>
        <w:t>，预期指标值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时效指标：</w:t>
      </w:r>
      <w:r>
        <w:rPr>
          <w:rFonts w:hint="eastAsia" w:ascii="仿宋_GB2312" w:hAnsi="仿宋_GB2312" w:eastAsia="仿宋_GB2312" w:cs="仿宋_GB2312"/>
          <w:sz w:val="28"/>
          <w:szCs w:val="28"/>
          <w:lang w:val="en-US" w:eastAsia="zh-CN"/>
        </w:rPr>
        <w:t>指标4：合理使用办公费、三公经费</w:t>
      </w:r>
      <w:r>
        <w:rPr>
          <w:rFonts w:hint="eastAsia" w:ascii="仿宋_GB2312" w:hAnsi="仿宋_GB2312" w:eastAsia="仿宋_GB2312" w:cs="仿宋_GB2312"/>
          <w:sz w:val="28"/>
          <w:szCs w:val="28"/>
        </w:rPr>
        <w:t>，预期指标值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时效指标：</w:t>
      </w:r>
      <w:r>
        <w:rPr>
          <w:rFonts w:hint="eastAsia" w:ascii="仿宋_GB2312" w:hAnsi="仿宋_GB2312" w:eastAsia="仿宋_GB2312" w:cs="仿宋_GB2312"/>
          <w:sz w:val="28"/>
          <w:szCs w:val="28"/>
          <w:lang w:val="en-US" w:eastAsia="zh-CN"/>
        </w:rPr>
        <w:t>指标5：医保局业务工作经费</w:t>
      </w:r>
      <w:r>
        <w:rPr>
          <w:rFonts w:hint="eastAsia" w:ascii="仿宋_GB2312" w:hAnsi="仿宋_GB2312" w:eastAsia="仿宋_GB2312" w:cs="仿宋_GB2312"/>
          <w:sz w:val="28"/>
          <w:szCs w:val="28"/>
        </w:rPr>
        <w:t>，预期指标值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，指标完成值</w:t>
      </w:r>
      <w:r>
        <w:rPr>
          <w:rFonts w:hint="eastAsia" w:ascii="仿宋_GB2312" w:hAnsi="仿宋_GB2312" w:eastAsia="仿宋_GB2312" w:cs="仿宋_GB2312"/>
          <w:sz w:val="28"/>
          <w:szCs w:val="28"/>
          <w:lang w:val="en-US" w:eastAsia="zh-CN"/>
        </w:rPr>
        <w:t>=2020年</w:t>
      </w:r>
      <w:r>
        <w:rPr>
          <w:rFonts w:hint="eastAsia" w:ascii="仿宋_GB2312" w:hAnsi="仿宋_GB2312" w:eastAsia="仿宋_GB2312" w:cs="仿宋_GB2312"/>
          <w:sz w:val="28"/>
          <w:szCs w:val="28"/>
        </w:rPr>
        <w:t>，指标完成率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ascii="仿宋_GB2312" w:hAnsi="仿宋_GB2312" w:eastAsia="仿宋_GB2312" w:cs="仿宋_GB2312"/>
          <w:sz w:val="28"/>
          <w:szCs w:val="28"/>
        </w:rPr>
      </w:pPr>
      <w:r>
        <w:rPr>
          <w:rFonts w:hint="eastAsia" w:ascii="仿宋_GB2312" w:hAnsi="仿宋_GB2312" w:eastAsia="仿宋_GB2312" w:cs="仿宋_GB2312"/>
          <w:b/>
          <w:bCs/>
          <w:sz w:val="28"/>
          <w:szCs w:val="28"/>
        </w:rPr>
        <w:t>成本指标：</w:t>
      </w:r>
      <w:r>
        <w:rPr>
          <w:rFonts w:hint="eastAsia" w:ascii="仿宋_GB2312" w:hAnsi="仿宋_GB2312" w:eastAsia="仿宋_GB2312" w:cs="仿宋_GB2312"/>
          <w:sz w:val="28"/>
          <w:szCs w:val="28"/>
          <w:lang w:val="en-US" w:eastAsia="zh-CN"/>
        </w:rPr>
        <w:t>指标1：</w:t>
      </w:r>
      <w:r>
        <w:rPr>
          <w:rFonts w:hint="eastAsia" w:ascii="仿宋_GB2312" w:hAnsi="仿宋_GB2312" w:eastAsia="仿宋_GB2312" w:cs="仿宋_GB2312"/>
          <w:sz w:val="28"/>
          <w:szCs w:val="28"/>
        </w:rPr>
        <w:t>整体支出成本，预期指标值=445.06万元，指标完成值=445.06万元，指标完成率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社会效益指标：</w:t>
      </w:r>
      <w:r>
        <w:rPr>
          <w:rFonts w:hint="eastAsia" w:ascii="仿宋_GB2312" w:hAnsi="仿宋_GB2312" w:eastAsia="仿宋_GB2312" w:cs="仿宋_GB2312"/>
          <w:sz w:val="28"/>
          <w:szCs w:val="28"/>
          <w:lang w:val="en-US" w:eastAsia="zh-CN"/>
        </w:rPr>
        <w:t>指标2：中央、自治区及财政资金支持，让群众进一步感受党和政府对人民群众的关怀、支持</w:t>
      </w:r>
      <w:r>
        <w:rPr>
          <w:rFonts w:hint="eastAsia" w:ascii="仿宋_GB2312" w:hAnsi="仿宋_GB2312" w:eastAsia="仿宋_GB2312" w:cs="仿宋_GB2312"/>
          <w:sz w:val="28"/>
          <w:szCs w:val="28"/>
        </w:rPr>
        <w:t>，预期指标值持续改善，指标完成值持续改善，指标完成率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社会效益指标：</w:t>
      </w:r>
      <w:r>
        <w:rPr>
          <w:rFonts w:hint="eastAsia" w:ascii="仿宋_GB2312" w:hAnsi="仿宋_GB2312" w:eastAsia="仿宋_GB2312" w:cs="仿宋_GB2312"/>
          <w:sz w:val="28"/>
          <w:szCs w:val="28"/>
          <w:lang w:val="en-US" w:eastAsia="zh-CN"/>
        </w:rPr>
        <w:t>指标3：困难群众医疗费用负担减轻程度</w:t>
      </w:r>
      <w:r>
        <w:rPr>
          <w:rFonts w:hint="eastAsia" w:ascii="仿宋_GB2312" w:hAnsi="仿宋_GB2312" w:eastAsia="仿宋_GB2312" w:cs="仿宋_GB2312"/>
          <w:sz w:val="28"/>
          <w:szCs w:val="28"/>
        </w:rPr>
        <w:t>，预期指标值=50%，指标完成值=50%，指标完成率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可持续影响指标：</w:t>
      </w:r>
      <w:r>
        <w:rPr>
          <w:rFonts w:hint="eastAsia" w:ascii="仿宋_GB2312" w:hAnsi="仿宋_GB2312" w:eastAsia="仿宋_GB2312" w:cs="仿宋_GB2312"/>
          <w:sz w:val="28"/>
          <w:szCs w:val="28"/>
          <w:lang w:val="en-US" w:eastAsia="zh-CN"/>
        </w:rPr>
        <w:t>指标1：确保医保局政策全面落实，体现政策导向、长期保障工作平稳进行、干部职工履职履责</w:t>
      </w:r>
      <w:r>
        <w:rPr>
          <w:rFonts w:hint="eastAsia" w:ascii="仿宋_GB2312" w:hAnsi="仿宋_GB2312" w:eastAsia="仿宋_GB2312" w:cs="仿宋_GB2312"/>
          <w:sz w:val="28"/>
          <w:szCs w:val="28"/>
        </w:rPr>
        <w:t>，预期指标值长期保障，指标完成值长期保障，指标完成率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可持续影响指标：</w:t>
      </w:r>
      <w:r>
        <w:rPr>
          <w:rFonts w:hint="eastAsia" w:ascii="仿宋_GB2312" w:hAnsi="仿宋_GB2312" w:eastAsia="仿宋_GB2312" w:cs="仿宋_GB2312"/>
          <w:sz w:val="28"/>
          <w:szCs w:val="28"/>
          <w:lang w:val="en-US" w:eastAsia="zh-CN"/>
        </w:rPr>
        <w:t>指标2：对健全社会救助体系的影响</w:t>
      </w:r>
      <w:r>
        <w:rPr>
          <w:rFonts w:hint="eastAsia" w:ascii="仿宋_GB2312" w:hAnsi="仿宋_GB2312" w:eastAsia="仿宋_GB2312" w:cs="仿宋_GB2312"/>
          <w:sz w:val="28"/>
          <w:szCs w:val="28"/>
        </w:rPr>
        <w:t>，预期指标值效果显著，指标完成值效果显著，指标完成率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rPr>
      </w:pP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643"/>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28"/>
          <w:szCs w:val="28"/>
        </w:rPr>
        <w:t>满意度指标：</w:t>
      </w:r>
      <w:r>
        <w:rPr>
          <w:rFonts w:hint="eastAsia" w:ascii="仿宋_GB2312" w:hAnsi="仿宋_GB2312" w:eastAsia="仿宋_GB2312" w:cs="仿宋_GB2312"/>
          <w:sz w:val="28"/>
          <w:szCs w:val="28"/>
          <w:lang w:val="en-US" w:eastAsia="zh-CN"/>
        </w:rPr>
        <w:t>指标1：群众满意度</w:t>
      </w:r>
      <w:r>
        <w:rPr>
          <w:rFonts w:hint="eastAsia" w:ascii="仿宋_GB2312" w:hAnsi="仿宋_GB2312" w:eastAsia="仿宋_GB2312" w:cs="仿宋_GB2312"/>
          <w:sz w:val="28"/>
          <w:szCs w:val="28"/>
        </w:rPr>
        <w:t>，预期指标值≥98%，指标完成值≥98%，指标完成率</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lang w:eastAsia="zh-CN"/>
        </w:rPr>
      </w:pPr>
      <w:r>
        <w:rPr>
          <w:rFonts w:hint="eastAsia" w:ascii="楷体" w:hAnsi="楷体" w:eastAsia="楷体" w:cs="楷体"/>
          <w:b/>
          <w:bCs/>
          <w:color w:val="auto"/>
          <w:kern w:val="1"/>
          <w:sz w:val="28"/>
          <w:szCs w:val="28"/>
          <w:lang w:eastAsia="zh-CN"/>
        </w:rPr>
        <w:t>（</w:t>
      </w:r>
      <w:r>
        <w:rPr>
          <w:rFonts w:hint="eastAsia" w:ascii="楷体" w:hAnsi="楷体" w:eastAsia="楷体" w:cs="楷体"/>
          <w:b/>
          <w:bCs/>
          <w:color w:val="auto"/>
          <w:kern w:val="1"/>
          <w:sz w:val="28"/>
          <w:szCs w:val="28"/>
          <w:lang w:val="en-US" w:eastAsia="zh-CN"/>
        </w:rPr>
        <w:t>二</w:t>
      </w:r>
      <w:r>
        <w:rPr>
          <w:rFonts w:hint="eastAsia" w:ascii="楷体" w:hAnsi="楷体" w:eastAsia="楷体" w:cs="楷体"/>
          <w:b/>
          <w:bCs/>
          <w:color w:val="auto"/>
          <w:kern w:val="1"/>
          <w:sz w:val="28"/>
          <w:szCs w:val="28"/>
          <w:lang w:eastAsia="zh-CN"/>
        </w:rPr>
        <w:t>）效率性评价</w:t>
      </w:r>
      <w:bookmarkEnd w:id="18"/>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我</w:t>
      </w:r>
      <w:r>
        <w:rPr>
          <w:rFonts w:hint="eastAsia" w:ascii="仿宋_GB2312" w:hAnsi="仿宋_GB2312" w:eastAsia="仿宋_GB2312" w:cs="仿宋_GB2312"/>
          <w:color w:val="auto"/>
          <w:sz w:val="28"/>
          <w:szCs w:val="28"/>
          <w:lang w:val="en-US" w:eastAsia="zh-CN"/>
        </w:rPr>
        <w:t>单位</w:t>
      </w:r>
      <w:r>
        <w:rPr>
          <w:rFonts w:hint="eastAsia" w:ascii="仿宋_GB2312" w:hAnsi="仿宋_GB2312" w:eastAsia="仿宋_GB2312" w:cs="仿宋_GB2312"/>
          <w:color w:val="auto"/>
          <w:sz w:val="28"/>
          <w:szCs w:val="28"/>
        </w:rPr>
        <w:t>各项工作实施及资金使用情况均在绩效目标设定时限完成。预算安排的基本支出保障了正常的工作运转，预算安排的项目支出非常必要，在执行上是严格遵守各项财经纪律，在项目资金的使用上也是放的心的，严守法律底线、纪律底线、道德底线。</w:t>
      </w:r>
    </w:p>
    <w:p>
      <w:pPr>
        <w:keepNext w:val="0"/>
        <w:keepLines w:val="0"/>
        <w:pageBreakBefore w:val="0"/>
        <w:kinsoku/>
        <w:wordWrap/>
        <w:overflowPunct/>
        <w:topLinePunct w:val="0"/>
        <w:autoSpaceDE/>
        <w:autoSpaceDN/>
        <w:bidi w:val="0"/>
        <w:spacing w:line="440" w:lineRule="exact"/>
        <w:ind w:firstLine="562" w:firstLineChars="200"/>
        <w:jc w:val="left"/>
        <w:textAlignment w:val="auto"/>
        <w:outlineLvl w:val="1"/>
        <w:rPr>
          <w:rFonts w:hint="eastAsia" w:ascii="楷体" w:hAnsi="楷体" w:eastAsia="楷体" w:cs="楷体"/>
          <w:b/>
          <w:bCs/>
          <w:color w:val="auto"/>
          <w:kern w:val="1"/>
          <w:sz w:val="28"/>
          <w:szCs w:val="28"/>
          <w:lang w:eastAsia="zh-CN"/>
        </w:rPr>
      </w:pPr>
      <w:bookmarkStart w:id="19" w:name="_Toc21873"/>
      <w:r>
        <w:rPr>
          <w:rFonts w:hint="eastAsia" w:ascii="楷体" w:hAnsi="楷体" w:eastAsia="楷体" w:cs="楷体"/>
          <w:b/>
          <w:bCs/>
          <w:color w:val="auto"/>
          <w:kern w:val="1"/>
          <w:sz w:val="28"/>
          <w:szCs w:val="28"/>
          <w:lang w:eastAsia="zh-CN"/>
        </w:rPr>
        <w:t>（</w:t>
      </w:r>
      <w:r>
        <w:rPr>
          <w:rFonts w:hint="eastAsia" w:ascii="楷体" w:hAnsi="楷体" w:eastAsia="楷体" w:cs="楷体"/>
          <w:b/>
          <w:bCs/>
          <w:color w:val="auto"/>
          <w:kern w:val="1"/>
          <w:sz w:val="28"/>
          <w:szCs w:val="28"/>
          <w:lang w:val="en-US" w:eastAsia="zh-CN"/>
        </w:rPr>
        <w:t>三</w:t>
      </w:r>
      <w:r>
        <w:rPr>
          <w:rFonts w:hint="eastAsia" w:ascii="楷体" w:hAnsi="楷体" w:eastAsia="楷体" w:cs="楷体"/>
          <w:b/>
          <w:bCs/>
          <w:color w:val="auto"/>
          <w:kern w:val="1"/>
          <w:sz w:val="28"/>
          <w:szCs w:val="28"/>
          <w:lang w:eastAsia="zh-CN"/>
        </w:rPr>
        <w:t>）有效性评价</w:t>
      </w:r>
      <w:bookmarkEnd w:id="19"/>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我</w:t>
      </w:r>
      <w:r>
        <w:rPr>
          <w:rFonts w:hint="eastAsia" w:ascii="仿宋_GB2312" w:hAnsi="仿宋_GB2312" w:eastAsia="仿宋_GB2312" w:cs="仿宋_GB2312"/>
          <w:color w:val="auto"/>
          <w:sz w:val="28"/>
          <w:szCs w:val="28"/>
          <w:lang w:val="en-US" w:eastAsia="zh-CN"/>
        </w:rPr>
        <w:t>单位</w:t>
      </w:r>
      <w:r>
        <w:rPr>
          <w:rFonts w:hint="eastAsia" w:ascii="仿宋_GB2312" w:hAnsi="仿宋_GB2312" w:eastAsia="仿宋_GB2312" w:cs="仿宋_GB2312"/>
          <w:color w:val="auto"/>
          <w:sz w:val="28"/>
          <w:szCs w:val="28"/>
        </w:rPr>
        <w:t>基本经费中人员经费支出、公用支出严格执行政府的各项制度，保障全</w:t>
      </w:r>
      <w:r>
        <w:rPr>
          <w:rFonts w:hint="eastAsia" w:ascii="仿宋_GB2312" w:hAnsi="仿宋_GB2312" w:eastAsia="仿宋_GB2312" w:cs="仿宋_GB2312"/>
          <w:color w:val="auto"/>
          <w:sz w:val="28"/>
          <w:szCs w:val="28"/>
          <w:lang w:val="en-US" w:eastAsia="zh-CN"/>
        </w:rPr>
        <w:t>单位</w:t>
      </w:r>
      <w:r>
        <w:rPr>
          <w:rFonts w:hint="eastAsia" w:ascii="仿宋_GB2312" w:hAnsi="仿宋_GB2312" w:eastAsia="仿宋_GB2312" w:cs="仿宋_GB2312"/>
          <w:color w:val="auto"/>
          <w:sz w:val="28"/>
          <w:szCs w:val="28"/>
        </w:rPr>
        <w:t>工作正常运转，三公经费的使用严格控制在预算申报的范围内；在项目经费的使用上，在保证各项任务顺利完成的同时，严格落实厉行节约的原则。</w:t>
      </w:r>
    </w:p>
    <w:p>
      <w:pPr>
        <w:pStyle w:val="16"/>
        <w:keepNext w:val="0"/>
        <w:keepLines w:val="0"/>
        <w:pageBreakBefore w:val="0"/>
        <w:widowControl/>
        <w:numPr>
          <w:ilvl w:val="0"/>
          <w:numId w:val="1"/>
        </w:numPr>
        <w:kinsoku/>
        <w:wordWrap/>
        <w:overflowPunct/>
        <w:topLinePunct w:val="0"/>
        <w:autoSpaceDE/>
        <w:autoSpaceDN/>
        <w:bidi w:val="0"/>
        <w:spacing w:before="40" w:beforeAutospacing="0" w:after="0" w:afterAutospacing="0" w:line="440" w:lineRule="exact"/>
        <w:ind w:left="0" w:leftChars="0" w:firstLine="0" w:firstLineChars="0"/>
        <w:jc w:val="both"/>
        <w:textAlignment w:val="auto"/>
        <w:outlineLvl w:val="0"/>
        <w:rPr>
          <w:rFonts w:hint="eastAsia" w:ascii="黑体" w:hAnsi="黑体" w:eastAsia="黑体" w:cs="黑体"/>
          <w:b/>
          <w:bCs/>
          <w:color w:val="auto"/>
          <w:sz w:val="28"/>
          <w:szCs w:val="28"/>
        </w:rPr>
      </w:pPr>
      <w:bookmarkStart w:id="20" w:name="_Toc21136"/>
      <w:r>
        <w:rPr>
          <w:rFonts w:hint="eastAsia" w:ascii="黑体" w:hAnsi="黑体" w:eastAsia="黑体" w:cs="黑体"/>
          <w:b/>
          <w:bCs/>
          <w:color w:val="auto"/>
          <w:sz w:val="28"/>
          <w:szCs w:val="28"/>
        </w:rPr>
        <w:t>存在的主要问题</w:t>
      </w:r>
      <w:bookmarkEnd w:id="20"/>
    </w:p>
    <w:p>
      <w:pPr>
        <w:pStyle w:val="16"/>
        <w:widowControl/>
        <w:spacing w:before="40" w:beforeAutospacing="0" w:after="0" w:afterAutospacing="0" w:line="520" w:lineRule="atLeast"/>
        <w:ind w:firstLine="640" w:firstLineChars="200"/>
        <w:jc w:val="both"/>
        <w:rPr>
          <w:rFonts w:ascii="仿宋_GB2312" w:hAnsi="仿宋_GB2312" w:eastAsia="仿宋_GB2312" w:cs="仿宋_GB2312"/>
          <w:sz w:val="32"/>
          <w:szCs w:val="32"/>
        </w:rPr>
      </w:pPr>
      <w:bookmarkStart w:id="21" w:name="_Toc18589"/>
      <w:r>
        <w:rPr>
          <w:rFonts w:hint="eastAsia" w:ascii="仿宋_GB2312" w:hAnsi="仿宋_GB2312" w:eastAsia="仿宋_GB2312" w:cs="仿宋_GB2312"/>
          <w:sz w:val="32"/>
          <w:szCs w:val="32"/>
        </w:rPr>
        <w:t>(一)预算执行存在偏差</w:t>
      </w:r>
    </w:p>
    <w:p>
      <w:pPr>
        <w:pStyle w:val="16"/>
        <w:widowControl/>
        <w:spacing w:before="40" w:beforeAutospacing="0" w:after="0" w:afterAutospacing="0" w:line="520" w:lineRule="atLeast"/>
        <w:ind w:firstLine="52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8"/>
        <w:spacing w:line="560" w:lineRule="exact"/>
        <w:ind w:firstLine="624" w:firstLineChars="195"/>
        <w:rPr>
          <w:rFonts w:ascii="仿宋_GB2312" w:hAnsi="仿宋_GB2312" w:eastAsia="仿宋_GB2312" w:cs="仿宋_GB2312"/>
          <w:sz w:val="32"/>
          <w:szCs w:val="32"/>
        </w:rPr>
      </w:pPr>
      <w:r>
        <w:rPr>
          <w:rFonts w:hint="eastAsia" w:ascii="仿宋_GB2312" w:hAnsi="仿宋_GB2312" w:eastAsia="仿宋_GB2312" w:cs="仿宋_GB2312"/>
          <w:sz w:val="32"/>
          <w:szCs w:val="32"/>
        </w:rPr>
        <w:t>（二）项目细化管理工作不足在执行过程中，精神病患者补助资金费、医疗服务能力与保障提升补助费的使用范围并不能把握到位，造成项目遇到各种不确定因素，财政资金无法发挥最大使用效益。</w:t>
      </w:r>
    </w:p>
    <w:p>
      <w:pPr>
        <w:pStyle w:val="28"/>
        <w:spacing w:line="560" w:lineRule="exact"/>
        <w:ind w:firstLine="624" w:firstLineChars="195"/>
        <w:rPr>
          <w:rFonts w:ascii="仿宋_GB2312" w:hAnsi="仿宋_GB2312" w:eastAsia="仿宋_GB2312" w:cs="仿宋_GB2312"/>
          <w:sz w:val="32"/>
          <w:szCs w:val="32"/>
        </w:rPr>
      </w:pPr>
      <w:r>
        <w:rPr>
          <w:rFonts w:hint="eastAsia" w:ascii="仿宋_GB2312" w:hAnsi="仿宋_GB2312" w:eastAsia="仿宋_GB2312" w:cs="仿宋_GB2312"/>
          <w:sz w:val="32"/>
          <w:szCs w:val="32"/>
        </w:rPr>
        <w:t>（三）预算绩效管理水平仍有欠缺。在20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6"/>
        <w:widowControl/>
        <w:spacing w:before="40" w:beforeAutospacing="0" w:after="0" w:afterAutospacing="0" w:line="520" w:lineRule="atLeast"/>
        <w:ind w:firstLine="320" w:firstLineChars="1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（四）固定资产管理水平有待提高</w:t>
      </w:r>
    </w:p>
    <w:p>
      <w:pPr>
        <w:pStyle w:val="16"/>
        <w:widowControl/>
        <w:spacing w:before="40" w:beforeAutospacing="0" w:after="0" w:afterAutospacing="0" w:line="520" w:lineRule="atLeast"/>
        <w:ind w:firstLine="52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固定资产台账未及时与账面资产金额对账且末与实物进行清点及及时清理处置报废资产导致资产台账与账面资产金额存在差异,固定资产管理继续加强中。</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jc w:val="both"/>
        <w:textAlignment w:val="auto"/>
        <w:outlineLvl w:val="0"/>
        <w:rPr>
          <w:rFonts w:hint="eastAsia" w:ascii="黑体" w:hAnsi="黑体" w:eastAsia="黑体" w:cs="黑体"/>
          <w:b/>
          <w:bCs/>
          <w:color w:val="auto"/>
          <w:sz w:val="28"/>
          <w:szCs w:val="28"/>
        </w:rPr>
      </w:pPr>
      <w:r>
        <w:rPr>
          <w:rFonts w:hint="eastAsia" w:ascii="黑体" w:hAnsi="黑体" w:eastAsia="黑体" w:cs="黑体"/>
          <w:b/>
          <w:bCs/>
          <w:color w:val="auto"/>
          <w:sz w:val="28"/>
          <w:szCs w:val="28"/>
        </w:rPr>
        <w:t>七、改进措施和建议</w:t>
      </w:r>
      <w:bookmarkEnd w:id="21"/>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完善管理制度,进-步加强资产管理。严格按照《固定资产管理办法》的规定，加强固定资产管理,及时登记、更新台账，加强资产卡片管理,对各类实物资产进行全面盘点,确保账账、账实相符。</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加强学习。进一步明确如何参照考核体系，科学合理设定绩效目标，充分发挥预算绩效管理工作效用。</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财务上，会计核算要更加详细，为本单位各项工作的开展、总结、评估提供有效数据资料支撑,为各项业务工作更好的开展提供帮助。</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从源头上强化对专项资金预算管理。实行专项资金预算管理，结合单位实际, 按轻重缓急统筹安排编制预算,提高预算编制科学性和合理性,优化资金结构。</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按时间进度分解资金使用计划。专项资金的使用，要事前做计划，事中进行控制，事后总结提高。合理安排资金使用,充分体现资金投向的目标和效益。</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16"/>
        <w:keepNext w:val="0"/>
        <w:keepLines w:val="0"/>
        <w:pageBreakBefore w:val="0"/>
        <w:widowControl/>
        <w:kinsoku/>
        <w:wordWrap/>
        <w:overflowPunct/>
        <w:topLinePunct w:val="0"/>
        <w:autoSpaceDE/>
        <w:autoSpaceDN/>
        <w:bidi w:val="0"/>
        <w:spacing w:before="40" w:beforeAutospacing="0" w:after="0" w:afterAutospacing="0" w:line="440" w:lineRule="exact"/>
        <w:jc w:val="both"/>
        <w:textAlignment w:val="auto"/>
        <w:outlineLvl w:val="0"/>
        <w:rPr>
          <w:rFonts w:ascii="仿宋_GB2312" w:hAnsi="仿宋_GB2312" w:eastAsia="仿宋_GB2312" w:cs="仿宋_GB2312"/>
          <w:b/>
          <w:bCs/>
          <w:color w:val="auto"/>
          <w:sz w:val="28"/>
          <w:szCs w:val="28"/>
          <w:lang w:val="zh-CN"/>
        </w:rPr>
      </w:pPr>
      <w:bookmarkStart w:id="22" w:name="_Toc9528"/>
      <w:r>
        <w:rPr>
          <w:rFonts w:hint="eastAsia" w:ascii="仿宋_GB2312" w:hAnsi="仿宋_GB2312" w:eastAsia="仿宋_GB2312" w:cs="仿宋_GB2312"/>
          <w:b/>
          <w:bCs/>
          <w:color w:val="auto"/>
          <w:sz w:val="28"/>
          <w:szCs w:val="28"/>
          <w:lang w:val="zh-CN"/>
        </w:rPr>
        <w:t>八、绩效自评结果拟应用和公开情况</w:t>
      </w:r>
      <w:bookmarkEnd w:id="22"/>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left="643"/>
        <w:jc w:val="both"/>
        <w:textAlignment w:val="auto"/>
        <w:outlineLvl w:val="1"/>
        <w:rPr>
          <w:color w:val="auto"/>
          <w:sz w:val="28"/>
          <w:szCs w:val="28"/>
        </w:rPr>
      </w:pPr>
      <w:bookmarkStart w:id="23" w:name="_Toc31110"/>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val="zh-CN"/>
        </w:rPr>
        <w:t>绩效自评结果</w:t>
      </w:r>
      <w:r>
        <w:rPr>
          <w:rFonts w:hint="eastAsia" w:ascii="仿宋_GB2312" w:hAnsi="仿宋_GB2312" w:eastAsia="仿宋_GB2312" w:cs="仿宋_GB2312"/>
          <w:color w:val="auto"/>
          <w:sz w:val="28"/>
          <w:szCs w:val="28"/>
        </w:rPr>
        <w:t>的应用</w:t>
      </w:r>
      <w:bookmarkEnd w:id="23"/>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705" w:firstLineChars="252"/>
        <w:jc w:val="both"/>
        <w:textAlignment w:val="auto"/>
        <w:outlineLvl w:val="9"/>
        <w:rPr>
          <w:rFonts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lang w:val="zh-CN"/>
        </w:rPr>
        <w:t>财政部门将绩效评价结果与我单位下年度资金安排直接挂钩，我单位在整体支出监控过程中发现问题，及时进行了整改，并将整改情况</w:t>
      </w:r>
      <w:r>
        <w:rPr>
          <w:rFonts w:hint="eastAsia" w:ascii="仿宋_GB2312" w:hAnsi="仿宋_GB2312" w:eastAsia="仿宋_GB2312" w:cs="仿宋_GB2312"/>
          <w:color w:val="auto"/>
          <w:sz w:val="28"/>
          <w:szCs w:val="28"/>
        </w:rPr>
        <w:t>报送至</w:t>
      </w:r>
      <w:r>
        <w:rPr>
          <w:rFonts w:hint="eastAsia" w:ascii="仿宋_GB2312" w:hAnsi="仿宋_GB2312" w:eastAsia="仿宋_GB2312" w:cs="仿宋_GB2312"/>
          <w:color w:val="auto"/>
          <w:sz w:val="28"/>
          <w:szCs w:val="28"/>
          <w:lang w:val="zh-CN"/>
        </w:rPr>
        <w:t>财政部门</w:t>
      </w:r>
      <w:r>
        <w:rPr>
          <w:rFonts w:hint="eastAsia" w:ascii="仿宋_GB2312" w:hAnsi="仿宋_GB2312" w:eastAsia="仿宋_GB2312" w:cs="仿宋_GB2312"/>
          <w:color w:val="auto"/>
          <w:sz w:val="28"/>
          <w:szCs w:val="28"/>
        </w:rPr>
        <w:t>并在本部门局务会上进行通报</w:t>
      </w:r>
      <w:r>
        <w:rPr>
          <w:rFonts w:hint="eastAsia" w:ascii="仿宋_GB2312" w:hAnsi="仿宋_GB2312" w:eastAsia="仿宋_GB2312" w:cs="仿宋_GB2312"/>
          <w:color w:val="auto"/>
          <w:sz w:val="28"/>
          <w:szCs w:val="28"/>
          <w:lang w:val="zh-CN"/>
        </w:rPr>
        <w:t>。</w:t>
      </w:r>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left="643"/>
        <w:jc w:val="both"/>
        <w:textAlignment w:val="auto"/>
        <w:outlineLvl w:val="1"/>
        <w:rPr>
          <w:rFonts w:ascii="仿宋_GB2312" w:hAnsi="仿宋_GB2312" w:eastAsia="仿宋_GB2312" w:cs="仿宋_GB2312"/>
          <w:color w:val="auto"/>
          <w:sz w:val="28"/>
          <w:szCs w:val="28"/>
        </w:rPr>
      </w:pPr>
      <w:bookmarkStart w:id="24" w:name="_Toc19247"/>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val="zh-CN"/>
        </w:rPr>
        <w:t>绩效自评结果</w:t>
      </w:r>
      <w:r>
        <w:rPr>
          <w:rFonts w:hint="eastAsia" w:ascii="仿宋_GB2312" w:hAnsi="仿宋_GB2312" w:eastAsia="仿宋_GB2312" w:cs="仿宋_GB2312"/>
          <w:color w:val="auto"/>
          <w:sz w:val="28"/>
          <w:szCs w:val="28"/>
        </w:rPr>
        <w:t>的公开</w:t>
      </w:r>
      <w:bookmarkEnd w:id="24"/>
    </w:p>
    <w:p>
      <w:pPr>
        <w:pStyle w:val="16"/>
        <w:keepNext w:val="0"/>
        <w:keepLines w:val="0"/>
        <w:pageBreakBefore w:val="0"/>
        <w:widowControl/>
        <w:kinsoku/>
        <w:wordWrap/>
        <w:overflowPunct/>
        <w:topLinePunct w:val="0"/>
        <w:autoSpaceDE/>
        <w:autoSpaceDN/>
        <w:bidi w:val="0"/>
        <w:adjustRightInd/>
        <w:snapToGrid/>
        <w:spacing w:before="40" w:beforeAutospacing="0" w:after="0" w:afterAutospacing="0" w:line="440" w:lineRule="exact"/>
        <w:ind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zh-CN"/>
        </w:rPr>
        <w:t>将在</w:t>
      </w:r>
      <w:r>
        <w:rPr>
          <w:rFonts w:hint="eastAsia" w:ascii="仿宋_GB2312" w:hAnsi="仿宋_GB2312" w:eastAsia="仿宋_GB2312" w:cs="仿宋_GB2312"/>
          <w:color w:val="auto"/>
          <w:sz w:val="28"/>
          <w:szCs w:val="28"/>
          <w:lang w:val="en-US" w:eastAsia="zh-CN"/>
        </w:rPr>
        <w:t>伊吾县</w:t>
      </w:r>
      <w:r>
        <w:rPr>
          <w:rFonts w:hint="eastAsia" w:ascii="仿宋_GB2312" w:hAnsi="仿宋_GB2312" w:eastAsia="仿宋_GB2312" w:cs="仿宋_GB2312"/>
          <w:color w:val="auto"/>
          <w:sz w:val="28"/>
          <w:szCs w:val="28"/>
        </w:rPr>
        <w:t>政府</w:t>
      </w:r>
      <w:r>
        <w:rPr>
          <w:rFonts w:hint="eastAsia" w:ascii="仿宋_GB2312" w:hAnsi="仿宋_GB2312" w:eastAsia="仿宋_GB2312" w:cs="仿宋_GB2312"/>
          <w:color w:val="auto"/>
          <w:sz w:val="28"/>
          <w:szCs w:val="28"/>
          <w:lang w:val="zh-CN"/>
        </w:rPr>
        <w:t>门户网站上进行公开，</w:t>
      </w:r>
      <w:r>
        <w:rPr>
          <w:rFonts w:hint="eastAsia" w:ascii="仿宋_GB2312" w:hAnsi="仿宋_GB2312" w:eastAsia="仿宋_GB2312" w:cs="仿宋_GB2312"/>
          <w:color w:val="auto"/>
          <w:sz w:val="28"/>
          <w:szCs w:val="28"/>
        </w:rPr>
        <w:t>主动接受社会各界的监督。</w:t>
      </w:r>
    </w:p>
    <w:p>
      <w:pPr>
        <w:pStyle w:val="16"/>
        <w:widowControl/>
        <w:spacing w:before="40" w:beforeAutospacing="0" w:after="0" w:afterAutospacing="0" w:line="520" w:lineRule="atLeast"/>
        <w:ind w:firstLine="643" w:firstLineChars="200"/>
        <w:jc w:val="both"/>
        <w:outlineLvl w:val="9"/>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    </w:t>
      </w:r>
    </w:p>
    <w:p>
      <w:pPr>
        <w:pStyle w:val="16"/>
        <w:widowControl/>
        <w:numPr>
          <w:ilvl w:val="0"/>
          <w:numId w:val="2"/>
        </w:numPr>
        <w:spacing w:before="40" w:beforeAutospacing="0" w:after="0" w:afterAutospacing="0" w:line="520" w:lineRule="atLeast"/>
        <w:jc w:val="both"/>
        <w:outlineLvl w:val="0"/>
        <w:rPr>
          <w:rFonts w:hint="eastAsia" w:ascii="仿宋_GB2312" w:hAnsi="仿宋_GB2312" w:eastAsia="仿宋_GB2312" w:cs="仿宋_GB2312"/>
          <w:b/>
          <w:bCs/>
          <w:color w:val="auto"/>
          <w:sz w:val="32"/>
          <w:szCs w:val="32"/>
        </w:rPr>
      </w:pPr>
      <w:bookmarkStart w:id="25" w:name="_Toc935"/>
      <w:r>
        <w:rPr>
          <w:rFonts w:hint="eastAsia" w:ascii="仿宋_GB2312" w:hAnsi="仿宋_GB2312" w:eastAsia="仿宋_GB2312" w:cs="仿宋_GB2312"/>
          <w:b/>
          <w:bCs/>
          <w:color w:val="auto"/>
          <w:sz w:val="32"/>
          <w:szCs w:val="32"/>
        </w:rPr>
        <w:t>附件</w:t>
      </w:r>
      <w:bookmarkEnd w:id="25"/>
    </w:p>
    <w:tbl>
      <w:tblPr>
        <w:tblStyle w:val="17"/>
        <w:tblW w:w="8600" w:type="dxa"/>
        <w:tblInd w:w="93" w:type="dxa"/>
        <w:shd w:val="clear" w:color="auto" w:fill="auto"/>
        <w:tblLayout w:type="autofit"/>
        <w:tblCellMar>
          <w:top w:w="0" w:type="dxa"/>
          <w:left w:w="108" w:type="dxa"/>
          <w:bottom w:w="0" w:type="dxa"/>
          <w:right w:w="108" w:type="dxa"/>
        </w:tblCellMar>
      </w:tblPr>
      <w:tblGrid>
        <w:gridCol w:w="1662"/>
        <w:gridCol w:w="1471"/>
        <w:gridCol w:w="1669"/>
        <w:gridCol w:w="1216"/>
        <w:gridCol w:w="1216"/>
        <w:gridCol w:w="1366"/>
      </w:tblGrid>
      <w:tr>
        <w:tblPrEx>
          <w:shd w:val="clear" w:color="auto" w:fill="auto"/>
          <w:tblCellMar>
            <w:top w:w="0" w:type="dxa"/>
            <w:left w:w="108" w:type="dxa"/>
            <w:bottom w:w="0" w:type="dxa"/>
            <w:right w:w="108" w:type="dxa"/>
          </w:tblCellMar>
        </w:tblPrEx>
        <w:trPr>
          <w:trHeight w:val="520" w:hRule="atLeast"/>
        </w:trPr>
        <w:tc>
          <w:tcPr>
            <w:tcW w:w="860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部门（单位）整体支出绩效目标表</w:t>
            </w:r>
          </w:p>
        </w:tc>
      </w:tr>
      <w:tr>
        <w:tblPrEx>
          <w:shd w:val="clear" w:color="auto" w:fill="auto"/>
          <w:tblCellMar>
            <w:top w:w="0" w:type="dxa"/>
            <w:left w:w="108" w:type="dxa"/>
            <w:bottom w:w="0" w:type="dxa"/>
            <w:right w:w="108" w:type="dxa"/>
          </w:tblCellMar>
        </w:tblPrEx>
        <w:trPr>
          <w:trHeight w:val="416"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（2020年）</w:t>
            </w:r>
          </w:p>
        </w:tc>
      </w:tr>
      <w:tr>
        <w:tblPrEx>
          <w:shd w:val="clear" w:color="auto" w:fill="auto"/>
          <w:tblCellMar>
            <w:top w:w="0" w:type="dxa"/>
            <w:left w:w="108" w:type="dxa"/>
            <w:bottom w:w="0" w:type="dxa"/>
            <w:right w:w="108" w:type="dxa"/>
          </w:tblCellMar>
        </w:tblPrEx>
        <w:trPr>
          <w:trHeight w:val="479"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部门（单位）名称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伊吾县医疗保障局</w:t>
            </w:r>
          </w:p>
        </w:tc>
      </w:tr>
      <w:tr>
        <w:tblPrEx>
          <w:shd w:val="clear" w:color="auto" w:fill="auto"/>
          <w:tblCellMar>
            <w:top w:w="0" w:type="dxa"/>
            <w:left w:w="108" w:type="dxa"/>
            <w:bottom w:w="0" w:type="dxa"/>
            <w:right w:w="108" w:type="dxa"/>
          </w:tblCellMar>
        </w:tblPrEx>
        <w:trPr>
          <w:trHeight w:val="31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FFFFFF"/>
                <w:sz w:val="24"/>
                <w:szCs w:val="24"/>
                <w:u w:val="none"/>
              </w:rPr>
            </w:pPr>
            <w:r>
              <w:rPr>
                <w:rFonts w:hint="eastAsia" w:ascii="宋体" w:hAnsi="宋体" w:eastAsia="宋体" w:cs="宋体"/>
                <w:b/>
                <w:bCs/>
                <w:i w:val="0"/>
                <w:iCs w:val="0"/>
                <w:color w:val="000000"/>
                <w:kern w:val="0"/>
                <w:sz w:val="24"/>
                <w:szCs w:val="24"/>
                <w:u w:val="none"/>
                <w:lang w:val="en-US" w:eastAsia="zh-CN" w:bidi="ar"/>
              </w:rPr>
              <w:t>菜单</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r>
      <w:tr>
        <w:tblPrEx>
          <w:shd w:val="clear" w:color="auto" w:fill="auto"/>
          <w:tblCellMar>
            <w:top w:w="0" w:type="dxa"/>
            <w:left w:w="108" w:type="dxa"/>
            <w:bottom w:w="0" w:type="dxa"/>
            <w:right w:w="108" w:type="dxa"/>
          </w:tblCellMar>
        </w:tblPrEx>
        <w:trPr>
          <w:trHeight w:val="31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FFFFFF"/>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shd w:val="clear" w:color="auto" w:fill="auto"/>
          <w:tblCellMar>
            <w:top w:w="0" w:type="dxa"/>
            <w:left w:w="108" w:type="dxa"/>
            <w:bottom w:w="0" w:type="dxa"/>
            <w:right w:w="108" w:type="dxa"/>
          </w:tblCellMar>
        </w:tblPrEx>
        <w:trPr>
          <w:trHeight w:val="989"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4450600.00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4450600.00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91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机关事业单位养老保险支出</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9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人员工资、津补贴、其他工资福利支出</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515000.00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515000.00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91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住房公积金</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9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办公费、三公经费</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9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医保局业务工作经费</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159600.00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98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财政对城乡居民的医疗救助补助费</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3551100.00</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3551100.00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71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目标1：2020年度确保完成伊吾县医保局正常业务工作有序开展以及在职职工的收入及各类社会保障支出，实现资金细化率100%，资金覆盖率符合文件对本年度的要求。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2：完成我局办公设备采购、工作经费等。通过建立合理完善的制度体系和高效有序的运转流程，部门整体支出的经济性、效率性、有效性和可持续性都明显增强，切实提升我局整体支出效益，有力推动各项工作开展，实现我局预算管理总体目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目标3：厉行节约，严控“三公经费”。建立健全专项资金制度，强化内部控制，依法依规使用资金，实行预决算及重大项目资金使用的信息公开。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目标4：能够确保对伊吾县城乡居民医疗救助补助费用最大支出化，确保全县居民能够享受到医疗救助。</w:t>
            </w:r>
          </w:p>
        </w:tc>
      </w:tr>
      <w:tr>
        <w:tblPrEx>
          <w:shd w:val="clear" w:color="auto" w:fill="auto"/>
          <w:tblCellMar>
            <w:top w:w="0" w:type="dxa"/>
            <w:left w:w="108" w:type="dxa"/>
            <w:bottom w:w="0" w:type="dxa"/>
            <w:right w:w="108" w:type="dxa"/>
          </w:tblCellMar>
        </w:tblPrEx>
        <w:trPr>
          <w:trHeight w:val="63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FFFFFF"/>
                <w:sz w:val="24"/>
                <w:szCs w:val="24"/>
                <w:u w:val="none"/>
              </w:rPr>
            </w:pPr>
            <w:r>
              <w:rPr>
                <w:rFonts w:hint="eastAsia" w:ascii="宋体" w:hAnsi="宋体" w:eastAsia="宋体" w:cs="宋体"/>
                <w:i w:val="0"/>
                <w:iCs w:val="0"/>
                <w:color w:val="000000"/>
                <w:kern w:val="0"/>
                <w:sz w:val="24"/>
                <w:szCs w:val="24"/>
                <w:u w:val="none"/>
                <w:lang w:val="en-US" w:eastAsia="zh-CN" w:bidi="ar"/>
              </w:rPr>
              <w:t>指标设立</w:t>
            </w:r>
          </w:p>
        </w:tc>
        <w:tc>
          <w:tcPr>
            <w:tcW w:w="0" w:type="auto"/>
            <w:gridSpan w:val="2"/>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r>
      <w:tr>
        <w:tblPrEx>
          <w:shd w:val="clear" w:color="auto" w:fill="auto"/>
          <w:tblCellMar>
            <w:top w:w="0" w:type="dxa"/>
            <w:left w:w="108" w:type="dxa"/>
            <w:bottom w:w="0" w:type="dxa"/>
            <w:right w:w="108" w:type="dxa"/>
          </w:tblCellMar>
        </w:tblPrEx>
        <w:trPr>
          <w:trHeight w:val="1199"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36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9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指标1：机关事业单位在职职工养老保险人数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=4人</w:t>
            </w:r>
          </w:p>
        </w:tc>
      </w:tr>
      <w:tr>
        <w:tblPrEx>
          <w:shd w:val="clear" w:color="auto" w:fill="auto"/>
          <w:tblCellMar>
            <w:top w:w="0" w:type="dxa"/>
            <w:left w:w="108" w:type="dxa"/>
            <w:bottom w:w="0" w:type="dxa"/>
            <w:right w:w="108" w:type="dxa"/>
          </w:tblCellMar>
        </w:tblPrEx>
        <w:trPr>
          <w:trHeight w:val="116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指标2：人员工资、其他社会保障支出人数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=4人</w:t>
            </w:r>
          </w:p>
        </w:tc>
      </w:tr>
      <w:tr>
        <w:tblPrEx>
          <w:shd w:val="clear" w:color="auto" w:fill="auto"/>
          <w:tblCellMar>
            <w:top w:w="0" w:type="dxa"/>
            <w:left w:w="108" w:type="dxa"/>
            <w:bottom w:w="0" w:type="dxa"/>
            <w:right w:w="108" w:type="dxa"/>
          </w:tblCellMar>
        </w:tblPrEx>
        <w:trPr>
          <w:trHeight w:val="92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指标3：住房公积金人数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=4人</w:t>
            </w:r>
          </w:p>
        </w:tc>
      </w:tr>
      <w:tr>
        <w:tblPrEx>
          <w:shd w:val="clear" w:color="auto" w:fill="auto"/>
          <w:tblCellMar>
            <w:top w:w="0" w:type="dxa"/>
            <w:left w:w="108" w:type="dxa"/>
            <w:bottom w:w="0" w:type="dxa"/>
            <w:right w:w="108" w:type="dxa"/>
          </w:tblCellMar>
        </w:tblPrEx>
        <w:trPr>
          <w:trHeight w:val="10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指标4：城乡居民基本医疗救助人数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≥15580人</w:t>
            </w:r>
          </w:p>
        </w:tc>
      </w:tr>
      <w:tr>
        <w:tblPrEx>
          <w:shd w:val="clear" w:color="auto" w:fill="auto"/>
          <w:tblCellMar>
            <w:top w:w="0" w:type="dxa"/>
            <w:left w:w="108" w:type="dxa"/>
            <w:bottom w:w="0" w:type="dxa"/>
            <w:right w:w="108" w:type="dxa"/>
          </w:tblCellMar>
        </w:tblPrEx>
        <w:trPr>
          <w:trHeight w:val="17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指标1：年初预算、专款专用、计划调剂，确保完成在职人员2020年养老金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shd w:val="clear" w:color="auto" w:fill="auto"/>
          <w:tblCellMar>
            <w:top w:w="0" w:type="dxa"/>
            <w:left w:w="108" w:type="dxa"/>
            <w:bottom w:w="0" w:type="dxa"/>
            <w:right w:w="108" w:type="dxa"/>
          </w:tblCellMar>
        </w:tblPrEx>
        <w:trPr>
          <w:trHeight w:val="119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指标2：完成职工工资的发放及社会保障支出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shd w:val="clear" w:color="auto" w:fill="auto"/>
          <w:tblCellMar>
            <w:top w:w="0" w:type="dxa"/>
            <w:left w:w="108" w:type="dxa"/>
            <w:bottom w:w="0" w:type="dxa"/>
            <w:right w:w="108" w:type="dxa"/>
          </w:tblCellMar>
        </w:tblPrEx>
        <w:trPr>
          <w:trHeight w:val="17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指标3：通过财政预算批复住房公积金，确保完成职工2020年住房公积金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shd w:val="clear" w:color="auto" w:fill="auto"/>
          <w:tblCellMar>
            <w:top w:w="0" w:type="dxa"/>
            <w:left w:w="108" w:type="dxa"/>
            <w:bottom w:w="0" w:type="dxa"/>
            <w:right w:w="108" w:type="dxa"/>
          </w:tblCellMar>
        </w:tblPrEx>
        <w:trPr>
          <w:trHeight w:val="15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指标4：通过财政审批办公费、三公经费、其他工资福利支出等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shd w:val="clear" w:color="auto" w:fill="auto"/>
          <w:tblCellMar>
            <w:top w:w="0" w:type="dxa"/>
            <w:left w:w="108" w:type="dxa"/>
            <w:bottom w:w="0" w:type="dxa"/>
            <w:right w:w="108" w:type="dxa"/>
          </w:tblCellMar>
        </w:tblPrEx>
        <w:trPr>
          <w:trHeight w:val="127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指标5：购置质量合格率（%）和验收率（%）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shd w:val="clear" w:color="auto" w:fill="auto"/>
          <w:tblCellMar>
            <w:top w:w="0" w:type="dxa"/>
            <w:left w:w="108" w:type="dxa"/>
            <w:bottom w:w="0" w:type="dxa"/>
            <w:right w:w="108" w:type="dxa"/>
          </w:tblCellMar>
        </w:tblPrEx>
        <w:trPr>
          <w:trHeight w:val="104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指标1：全年完成养老保险的支出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=2020全年</w:t>
            </w:r>
          </w:p>
        </w:tc>
      </w:tr>
      <w:tr>
        <w:tblPrEx>
          <w:shd w:val="clear" w:color="auto" w:fill="auto"/>
          <w:tblCellMar>
            <w:top w:w="0" w:type="dxa"/>
            <w:left w:w="108" w:type="dxa"/>
            <w:bottom w:w="0" w:type="dxa"/>
            <w:right w:w="108" w:type="dxa"/>
          </w:tblCellMar>
        </w:tblPrEx>
        <w:trPr>
          <w:trHeight w:val="127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指标2：全年完成人员工资、其他社会保险支出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=2020全年</w:t>
            </w:r>
          </w:p>
        </w:tc>
      </w:tr>
      <w:tr>
        <w:tblPrEx>
          <w:shd w:val="clear" w:color="auto" w:fill="auto"/>
          <w:tblCellMar>
            <w:top w:w="0" w:type="dxa"/>
            <w:left w:w="108" w:type="dxa"/>
            <w:bottom w:w="0" w:type="dxa"/>
            <w:right w:w="108" w:type="dxa"/>
          </w:tblCellMar>
        </w:tblPrEx>
        <w:trPr>
          <w:trHeight w:val="98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指标3:完成职工住房公积金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=2020全年</w:t>
            </w:r>
          </w:p>
        </w:tc>
      </w:tr>
      <w:tr>
        <w:tblPrEx>
          <w:shd w:val="clear" w:color="auto" w:fill="auto"/>
          <w:tblCellMar>
            <w:top w:w="0" w:type="dxa"/>
            <w:left w:w="108" w:type="dxa"/>
            <w:bottom w:w="0" w:type="dxa"/>
            <w:right w:w="108" w:type="dxa"/>
          </w:tblCellMar>
        </w:tblPrEx>
        <w:trPr>
          <w:trHeight w:val="10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指标4：合理使用办公费、三公经费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=2020全年</w:t>
            </w:r>
          </w:p>
        </w:tc>
      </w:tr>
      <w:tr>
        <w:tblPrEx>
          <w:shd w:val="clear" w:color="auto" w:fill="auto"/>
          <w:tblCellMar>
            <w:top w:w="0" w:type="dxa"/>
            <w:left w:w="108" w:type="dxa"/>
            <w:bottom w:w="0" w:type="dxa"/>
            <w:right w:w="108" w:type="dxa"/>
          </w:tblCellMar>
        </w:tblPrEx>
        <w:trPr>
          <w:trHeight w:val="98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指标5：医保局业务工作经费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=2020全年</w:t>
            </w:r>
          </w:p>
        </w:tc>
      </w:tr>
      <w:tr>
        <w:tblPrEx>
          <w:shd w:val="clear" w:color="auto" w:fill="auto"/>
          <w:tblCellMar>
            <w:top w:w="0" w:type="dxa"/>
            <w:left w:w="108" w:type="dxa"/>
            <w:bottom w:w="0" w:type="dxa"/>
            <w:right w:w="108" w:type="dxa"/>
          </w:tblCellMar>
        </w:tblPrEx>
        <w:trPr>
          <w:trHeight w:val="8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整体支出成本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=445.06万元</w:t>
            </w:r>
          </w:p>
        </w:tc>
      </w:tr>
      <w:tr>
        <w:tblPrEx>
          <w:shd w:val="clear" w:color="auto" w:fill="auto"/>
          <w:tblCellMar>
            <w:top w:w="0" w:type="dxa"/>
            <w:left w:w="108" w:type="dxa"/>
            <w:bottom w:w="0" w:type="dxa"/>
            <w:right w:w="108" w:type="dxa"/>
          </w:tblCellMar>
        </w:tblPrEx>
        <w:trPr>
          <w:trHeight w:val="83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17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指标1：资金使用社会效益好，保障工作的顺利进行，提升医保局服务质量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明显提升</w:t>
            </w:r>
          </w:p>
        </w:tc>
      </w:tr>
      <w:tr>
        <w:tblPrEx>
          <w:shd w:val="clear" w:color="auto" w:fill="auto"/>
          <w:tblCellMar>
            <w:top w:w="0" w:type="dxa"/>
            <w:left w:w="108" w:type="dxa"/>
            <w:bottom w:w="0" w:type="dxa"/>
            <w:right w:w="108" w:type="dxa"/>
          </w:tblCellMar>
        </w:tblPrEx>
        <w:trPr>
          <w:trHeight w:val="22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指标2：中央、自治区及财政资金支持，让群众进一步感受党和政府对</w:t>
            </w:r>
            <w:bookmarkStart w:id="26" w:name="_GoBack"/>
            <w:bookmarkEnd w:id="26"/>
            <w:r>
              <w:rPr>
                <w:rFonts w:hint="eastAsia" w:ascii="宋体" w:hAnsi="宋体" w:cs="宋体"/>
                <w:i w:val="0"/>
                <w:iCs w:val="0"/>
                <w:color w:val="000000"/>
                <w:kern w:val="0"/>
                <w:sz w:val="20"/>
                <w:szCs w:val="20"/>
                <w:u w:val="none"/>
                <w:lang w:val="en-US" w:eastAsia="zh-CN" w:bidi="ar"/>
              </w:rPr>
              <w:t>人民群众</w:t>
            </w:r>
            <w:r>
              <w:rPr>
                <w:rFonts w:hint="eastAsia" w:ascii="宋体" w:hAnsi="宋体" w:eastAsia="宋体" w:cs="宋体"/>
                <w:i w:val="0"/>
                <w:iCs w:val="0"/>
                <w:color w:val="000000"/>
                <w:kern w:val="0"/>
                <w:sz w:val="20"/>
                <w:szCs w:val="20"/>
                <w:u w:val="none"/>
                <w:lang w:val="en-US" w:eastAsia="zh-CN" w:bidi="ar"/>
              </w:rPr>
              <w:t>的关怀、支持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持续改善</w:t>
            </w:r>
          </w:p>
        </w:tc>
      </w:tr>
      <w:tr>
        <w:tblPrEx>
          <w:tblCellMar>
            <w:top w:w="0" w:type="dxa"/>
            <w:left w:w="108" w:type="dxa"/>
            <w:bottom w:w="0" w:type="dxa"/>
            <w:right w:w="108" w:type="dxa"/>
          </w:tblCellMar>
        </w:tblPrEx>
        <w:trPr>
          <w:trHeight w:val="11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指标3：困难群众医疗费用负担减轻程度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CellMar>
            <w:top w:w="0" w:type="dxa"/>
            <w:left w:w="108" w:type="dxa"/>
            <w:bottom w:w="0" w:type="dxa"/>
            <w:right w:w="108" w:type="dxa"/>
          </w:tblCellMar>
        </w:tblPrEx>
        <w:trPr>
          <w:trHeight w:val="83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2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指标1：确保医保局政策全面落实，体现政策导向、长期保障工作平稳进行、干部职工履职履责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长期保障</w:t>
            </w:r>
          </w:p>
        </w:tc>
      </w:tr>
      <w:tr>
        <w:tblPrEx>
          <w:shd w:val="clear" w:color="auto" w:fill="auto"/>
          <w:tblCellMar>
            <w:top w:w="0" w:type="dxa"/>
            <w:left w:w="108" w:type="dxa"/>
            <w:bottom w:w="0" w:type="dxa"/>
            <w:right w:w="108" w:type="dxa"/>
          </w:tblCellMar>
        </w:tblPrEx>
        <w:trPr>
          <w:trHeight w:val="10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指标2：对健全社会救助体系的影响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效果显著</w:t>
            </w:r>
          </w:p>
        </w:tc>
      </w:tr>
      <w:tr>
        <w:tblPrEx>
          <w:shd w:val="clear" w:color="auto" w:fill="auto"/>
          <w:tblCellMar>
            <w:top w:w="0" w:type="dxa"/>
            <w:left w:w="108" w:type="dxa"/>
            <w:bottom w:w="0" w:type="dxa"/>
            <w:right w:w="108" w:type="dxa"/>
          </w:tblCellMar>
        </w:tblPrEx>
        <w:trPr>
          <w:trHeight w:val="9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r>
      <w:tr>
        <w:tblPrEx>
          <w:shd w:val="clear" w:color="auto" w:fill="auto"/>
          <w:tblCellMar>
            <w:top w:w="0" w:type="dxa"/>
            <w:left w:w="108" w:type="dxa"/>
            <w:bottom w:w="0" w:type="dxa"/>
            <w:right w:w="108" w:type="dxa"/>
          </w:tblCellMar>
        </w:tblPrEx>
        <w:trPr>
          <w:trHeight w:val="88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3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其他满意度指标</w:t>
            </w:r>
          </w:p>
        </w:tc>
        <w:tc>
          <w:tcPr>
            <w:tcW w:w="1096"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pStyle w:val="16"/>
        <w:widowControl/>
        <w:spacing w:before="40" w:beforeAutospacing="0" w:after="0" w:afterAutospacing="0" w:line="300" w:lineRule="atLeast"/>
        <w:ind w:firstLine="1600"/>
        <w:jc w:val="both"/>
        <w:outlineLvl w:val="9"/>
        <w:rPr>
          <w:rFonts w:ascii="仿宋_GB2312" w:hAnsi="仿宋_GB2312" w:eastAsia="仿宋_GB2312" w:cs="仿宋_GB2312"/>
          <w:color w:val="auto"/>
          <w:sz w:val="32"/>
          <w:szCs w:val="32"/>
        </w:rPr>
      </w:pPr>
    </w:p>
    <w:sectPr>
      <w:pgSz w:w="11906" w:h="16838"/>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FBFA2"/>
    <w:multiLevelType w:val="singleLevel"/>
    <w:tmpl w:val="C0BFBFA2"/>
    <w:lvl w:ilvl="0" w:tentative="0">
      <w:start w:val="9"/>
      <w:numFmt w:val="chineseCounting"/>
      <w:suff w:val="nothing"/>
      <w:lvlText w:val="%1、"/>
      <w:lvlJc w:val="left"/>
      <w:rPr>
        <w:rFonts w:hint="eastAsia"/>
      </w:rPr>
    </w:lvl>
  </w:abstractNum>
  <w:abstractNum w:abstractNumId="1">
    <w:nsid w:val="504283DA"/>
    <w:multiLevelType w:val="singleLevel"/>
    <w:tmpl w:val="504283DA"/>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420"/>
  <w:hyphenationZone w:val="425"/>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76"/>
    <w:rsid w:val="001037D0"/>
    <w:rsid w:val="001D3A17"/>
    <w:rsid w:val="001F256F"/>
    <w:rsid w:val="003350DE"/>
    <w:rsid w:val="003D5286"/>
    <w:rsid w:val="00434B72"/>
    <w:rsid w:val="004A72CC"/>
    <w:rsid w:val="0052333E"/>
    <w:rsid w:val="00625DDF"/>
    <w:rsid w:val="006A4791"/>
    <w:rsid w:val="00791A76"/>
    <w:rsid w:val="007926C3"/>
    <w:rsid w:val="00912839"/>
    <w:rsid w:val="00A62324"/>
    <w:rsid w:val="00BF5F9F"/>
    <w:rsid w:val="00DC6D84"/>
    <w:rsid w:val="00F259C0"/>
    <w:rsid w:val="01281293"/>
    <w:rsid w:val="01404D71"/>
    <w:rsid w:val="01FB64EA"/>
    <w:rsid w:val="026E5A73"/>
    <w:rsid w:val="027208F0"/>
    <w:rsid w:val="0278359A"/>
    <w:rsid w:val="02A20F63"/>
    <w:rsid w:val="04784974"/>
    <w:rsid w:val="04C35073"/>
    <w:rsid w:val="0545124E"/>
    <w:rsid w:val="05CF73AE"/>
    <w:rsid w:val="06162EFF"/>
    <w:rsid w:val="063425E7"/>
    <w:rsid w:val="063711BE"/>
    <w:rsid w:val="063A6D23"/>
    <w:rsid w:val="064B28C6"/>
    <w:rsid w:val="076B2483"/>
    <w:rsid w:val="07C57B1E"/>
    <w:rsid w:val="08554010"/>
    <w:rsid w:val="08A37BCA"/>
    <w:rsid w:val="08BF17F2"/>
    <w:rsid w:val="0AB73461"/>
    <w:rsid w:val="0BBF357B"/>
    <w:rsid w:val="0C771A50"/>
    <w:rsid w:val="0D792591"/>
    <w:rsid w:val="0E966409"/>
    <w:rsid w:val="0EBD773C"/>
    <w:rsid w:val="100D29D1"/>
    <w:rsid w:val="10BF4673"/>
    <w:rsid w:val="10D4673E"/>
    <w:rsid w:val="116E7F7F"/>
    <w:rsid w:val="11916245"/>
    <w:rsid w:val="127A502F"/>
    <w:rsid w:val="13367020"/>
    <w:rsid w:val="135C1EC0"/>
    <w:rsid w:val="13691B3B"/>
    <w:rsid w:val="145C3C7C"/>
    <w:rsid w:val="14826771"/>
    <w:rsid w:val="154A4C60"/>
    <w:rsid w:val="159E709E"/>
    <w:rsid w:val="162720DE"/>
    <w:rsid w:val="17F93203"/>
    <w:rsid w:val="192C649D"/>
    <w:rsid w:val="19721353"/>
    <w:rsid w:val="19816A1D"/>
    <w:rsid w:val="199F28AA"/>
    <w:rsid w:val="1A1233D6"/>
    <w:rsid w:val="1A895E68"/>
    <w:rsid w:val="1B620DCF"/>
    <w:rsid w:val="1BB17FBF"/>
    <w:rsid w:val="1CD20620"/>
    <w:rsid w:val="1D1F752B"/>
    <w:rsid w:val="1D581812"/>
    <w:rsid w:val="1E792002"/>
    <w:rsid w:val="1EA00D21"/>
    <w:rsid w:val="1F337673"/>
    <w:rsid w:val="1F852D19"/>
    <w:rsid w:val="1FCB108B"/>
    <w:rsid w:val="214308B4"/>
    <w:rsid w:val="226316F0"/>
    <w:rsid w:val="22B20E6D"/>
    <w:rsid w:val="22CD4293"/>
    <w:rsid w:val="23004571"/>
    <w:rsid w:val="23013E1B"/>
    <w:rsid w:val="23735179"/>
    <w:rsid w:val="237D32B9"/>
    <w:rsid w:val="23FF291A"/>
    <w:rsid w:val="242520DB"/>
    <w:rsid w:val="24CA5BDF"/>
    <w:rsid w:val="258414BA"/>
    <w:rsid w:val="26023B92"/>
    <w:rsid w:val="27753E10"/>
    <w:rsid w:val="28107D6A"/>
    <w:rsid w:val="28353FB4"/>
    <w:rsid w:val="29E004B9"/>
    <w:rsid w:val="29EC0467"/>
    <w:rsid w:val="2A610561"/>
    <w:rsid w:val="2A726108"/>
    <w:rsid w:val="2B160213"/>
    <w:rsid w:val="2BDC0A68"/>
    <w:rsid w:val="2C176F6D"/>
    <w:rsid w:val="2C670F23"/>
    <w:rsid w:val="2C900727"/>
    <w:rsid w:val="2CC56E2E"/>
    <w:rsid w:val="2D7406AF"/>
    <w:rsid w:val="2E1E5364"/>
    <w:rsid w:val="2E534CB1"/>
    <w:rsid w:val="2E822D5D"/>
    <w:rsid w:val="2EAC32C0"/>
    <w:rsid w:val="3037298E"/>
    <w:rsid w:val="309B357B"/>
    <w:rsid w:val="31451B42"/>
    <w:rsid w:val="31920FAB"/>
    <w:rsid w:val="323D3DF6"/>
    <w:rsid w:val="329E44D3"/>
    <w:rsid w:val="32AB5C7C"/>
    <w:rsid w:val="32C06333"/>
    <w:rsid w:val="32E17833"/>
    <w:rsid w:val="331214E7"/>
    <w:rsid w:val="33312A19"/>
    <w:rsid w:val="33617CA5"/>
    <w:rsid w:val="35620106"/>
    <w:rsid w:val="362F2068"/>
    <w:rsid w:val="369D5E65"/>
    <w:rsid w:val="37B969B0"/>
    <w:rsid w:val="398F6327"/>
    <w:rsid w:val="39C43E3A"/>
    <w:rsid w:val="39DE2344"/>
    <w:rsid w:val="3A1E2029"/>
    <w:rsid w:val="3A5E1B31"/>
    <w:rsid w:val="3B497FC2"/>
    <w:rsid w:val="3BB83171"/>
    <w:rsid w:val="3D1C2CE2"/>
    <w:rsid w:val="3E8072DC"/>
    <w:rsid w:val="3E950D53"/>
    <w:rsid w:val="3ED30E28"/>
    <w:rsid w:val="3ED40DC7"/>
    <w:rsid w:val="3F591621"/>
    <w:rsid w:val="3FD3697D"/>
    <w:rsid w:val="40505963"/>
    <w:rsid w:val="407E4882"/>
    <w:rsid w:val="4179740A"/>
    <w:rsid w:val="42BA796E"/>
    <w:rsid w:val="42CA0B5E"/>
    <w:rsid w:val="43D67BF0"/>
    <w:rsid w:val="43FE1A44"/>
    <w:rsid w:val="45BD39C3"/>
    <w:rsid w:val="48380467"/>
    <w:rsid w:val="48637250"/>
    <w:rsid w:val="48BB492A"/>
    <w:rsid w:val="491D6F70"/>
    <w:rsid w:val="49EC75DB"/>
    <w:rsid w:val="4A4D5820"/>
    <w:rsid w:val="4ABC4E30"/>
    <w:rsid w:val="4B5E4E73"/>
    <w:rsid w:val="4BA91610"/>
    <w:rsid w:val="4BF06F23"/>
    <w:rsid w:val="4C626D8C"/>
    <w:rsid w:val="4CE0382B"/>
    <w:rsid w:val="4D561D1F"/>
    <w:rsid w:val="4D585C5D"/>
    <w:rsid w:val="4E1C592D"/>
    <w:rsid w:val="4F49009D"/>
    <w:rsid w:val="4F674864"/>
    <w:rsid w:val="4FED4876"/>
    <w:rsid w:val="50EA3C4A"/>
    <w:rsid w:val="51DA1C2D"/>
    <w:rsid w:val="52095DFE"/>
    <w:rsid w:val="52EE3A0D"/>
    <w:rsid w:val="54516CED"/>
    <w:rsid w:val="54795E01"/>
    <w:rsid w:val="54853AF0"/>
    <w:rsid w:val="55916EAC"/>
    <w:rsid w:val="55BA4BDB"/>
    <w:rsid w:val="55F7668F"/>
    <w:rsid w:val="56610BBA"/>
    <w:rsid w:val="56931009"/>
    <w:rsid w:val="57216D03"/>
    <w:rsid w:val="57235C21"/>
    <w:rsid w:val="5737038D"/>
    <w:rsid w:val="57B51153"/>
    <w:rsid w:val="57DC194D"/>
    <w:rsid w:val="58136EC1"/>
    <w:rsid w:val="58680D20"/>
    <w:rsid w:val="587A429F"/>
    <w:rsid w:val="59464FC6"/>
    <w:rsid w:val="59AF7DAB"/>
    <w:rsid w:val="59D345A9"/>
    <w:rsid w:val="59D71B7B"/>
    <w:rsid w:val="59F278EC"/>
    <w:rsid w:val="59FA379C"/>
    <w:rsid w:val="5A23648B"/>
    <w:rsid w:val="5A41443C"/>
    <w:rsid w:val="5A9E1320"/>
    <w:rsid w:val="5AAB2CB2"/>
    <w:rsid w:val="5ABC51BB"/>
    <w:rsid w:val="5AFF674A"/>
    <w:rsid w:val="5B934587"/>
    <w:rsid w:val="5BE37D3E"/>
    <w:rsid w:val="5C9D149E"/>
    <w:rsid w:val="5CBA0276"/>
    <w:rsid w:val="5CC646C3"/>
    <w:rsid w:val="5CE3152F"/>
    <w:rsid w:val="5D9B15DB"/>
    <w:rsid w:val="5E580FAE"/>
    <w:rsid w:val="5EC24CAA"/>
    <w:rsid w:val="5F2D3E45"/>
    <w:rsid w:val="5F3F2709"/>
    <w:rsid w:val="5F400EAE"/>
    <w:rsid w:val="5FEF3380"/>
    <w:rsid w:val="62035C77"/>
    <w:rsid w:val="62F23610"/>
    <w:rsid w:val="63CE062D"/>
    <w:rsid w:val="63E24828"/>
    <w:rsid w:val="64E4322C"/>
    <w:rsid w:val="65351AA4"/>
    <w:rsid w:val="659813E2"/>
    <w:rsid w:val="675B0359"/>
    <w:rsid w:val="67821566"/>
    <w:rsid w:val="6798510F"/>
    <w:rsid w:val="67E2482E"/>
    <w:rsid w:val="686C771D"/>
    <w:rsid w:val="68E639C7"/>
    <w:rsid w:val="69F20EE9"/>
    <w:rsid w:val="6A060A00"/>
    <w:rsid w:val="6A5F21A8"/>
    <w:rsid w:val="6A7C682E"/>
    <w:rsid w:val="6A8C4D22"/>
    <w:rsid w:val="6A9301CF"/>
    <w:rsid w:val="6B29647B"/>
    <w:rsid w:val="6B7444F0"/>
    <w:rsid w:val="6D19617E"/>
    <w:rsid w:val="6DDD22B4"/>
    <w:rsid w:val="6F441AA8"/>
    <w:rsid w:val="6F4F7BA9"/>
    <w:rsid w:val="6F99725B"/>
    <w:rsid w:val="706676F5"/>
    <w:rsid w:val="70E22C67"/>
    <w:rsid w:val="71C96F0A"/>
    <w:rsid w:val="72165898"/>
    <w:rsid w:val="726B07E3"/>
    <w:rsid w:val="74A17A25"/>
    <w:rsid w:val="74A64814"/>
    <w:rsid w:val="74FA1777"/>
    <w:rsid w:val="760D3593"/>
    <w:rsid w:val="76701E6A"/>
    <w:rsid w:val="78E62FA1"/>
    <w:rsid w:val="7986090E"/>
    <w:rsid w:val="79DE05FD"/>
    <w:rsid w:val="7A0970AF"/>
    <w:rsid w:val="7A0E245F"/>
    <w:rsid w:val="7A3C4259"/>
    <w:rsid w:val="7A6A37D4"/>
    <w:rsid w:val="7B470658"/>
    <w:rsid w:val="7CF16236"/>
    <w:rsid w:val="7DE06548"/>
    <w:rsid w:val="7E193200"/>
    <w:rsid w:val="7FF24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nhideWhenUsed="0" w:uiPriority="6"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7"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7"/>
    <w:pPr>
      <w:widowControl w:val="0"/>
      <w:jc w:val="both"/>
    </w:pPr>
    <w:rPr>
      <w:rFonts w:ascii="Calibri" w:hAnsi="Calibri" w:eastAsia="宋体" w:cs="Calibri"/>
      <w:color w:val="000000"/>
      <w:sz w:val="21"/>
      <w:szCs w:val="24"/>
      <w:lang w:val="en-US" w:eastAsia="zh-CN" w:bidi="ar-SA"/>
    </w:rPr>
  </w:style>
  <w:style w:type="paragraph" w:styleId="5">
    <w:name w:val="heading 1"/>
    <w:basedOn w:val="1"/>
    <w:next w:val="1"/>
    <w:qFormat/>
    <w:uiPriority w:val="6"/>
    <w:pPr>
      <w:spacing w:before="100" w:beforeAutospacing="1" w:after="100" w:afterAutospacing="1"/>
      <w:jc w:val="left"/>
      <w:outlineLvl w:val="0"/>
    </w:pPr>
    <w:rPr>
      <w:rFonts w:ascii="宋体" w:hAnsi="宋体" w:cs="Times New Roman"/>
      <w:b/>
      <w:sz w:val="48"/>
      <w:szCs w:val="48"/>
    </w:rPr>
  </w:style>
  <w:style w:type="paragraph" w:styleId="6">
    <w:name w:val="heading 2"/>
    <w:basedOn w:val="1"/>
    <w:next w:val="1"/>
    <w:qFormat/>
    <w:uiPriority w:val="6"/>
    <w:pPr>
      <w:spacing w:before="100" w:beforeAutospacing="1" w:after="100" w:afterAutospacing="1"/>
      <w:jc w:val="left"/>
      <w:outlineLvl w:val="1"/>
    </w:pPr>
    <w:rPr>
      <w:rFonts w:ascii="宋体" w:hAnsi="宋体" w:cs="Times New Roman"/>
      <w:b/>
      <w:sz w:val="36"/>
      <w:szCs w:val="36"/>
    </w:rPr>
  </w:style>
  <w:style w:type="paragraph" w:styleId="7">
    <w:name w:val="heading 3"/>
    <w:basedOn w:val="1"/>
    <w:next w:val="1"/>
    <w:qFormat/>
    <w:uiPriority w:val="6"/>
    <w:pPr>
      <w:spacing w:before="100" w:beforeAutospacing="1" w:after="100" w:afterAutospacing="1"/>
      <w:jc w:val="left"/>
      <w:outlineLvl w:val="2"/>
    </w:pPr>
    <w:rPr>
      <w:rFonts w:ascii="宋体" w:hAnsi="宋体" w:cs="Times New Roman"/>
      <w:b/>
      <w:sz w:val="27"/>
      <w:szCs w:val="27"/>
    </w:rPr>
  </w:style>
  <w:style w:type="paragraph" w:styleId="8">
    <w:name w:val="heading 4"/>
    <w:basedOn w:val="1"/>
    <w:next w:val="1"/>
    <w:qFormat/>
    <w:uiPriority w:val="6"/>
    <w:pPr>
      <w:spacing w:before="100" w:beforeAutospacing="1" w:after="100" w:afterAutospacing="1"/>
      <w:jc w:val="left"/>
      <w:outlineLvl w:val="3"/>
    </w:pPr>
    <w:rPr>
      <w:rFonts w:ascii="宋体" w:hAnsi="宋体" w:cs="Times New Roman"/>
      <w:b/>
      <w:sz w:val="24"/>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ind w:firstLine="444"/>
    </w:pPr>
    <w:rPr>
      <w:b/>
      <w:kern w:val="2"/>
      <w:sz w:val="24"/>
      <w:szCs w:val="24"/>
    </w:rPr>
  </w:style>
  <w:style w:type="paragraph" w:styleId="4">
    <w:name w:val="envelope return"/>
    <w:basedOn w:val="1"/>
    <w:qFormat/>
    <w:uiPriority w:val="0"/>
    <w:pPr>
      <w:snapToGrid w:val="0"/>
    </w:pPr>
    <w:rPr>
      <w:rFonts w:ascii="Arial" w:hAnsi="Arial"/>
    </w:rPr>
  </w:style>
  <w:style w:type="paragraph" w:styleId="9">
    <w:name w:val="annotation text"/>
    <w:basedOn w:val="1"/>
    <w:qFormat/>
    <w:uiPriority w:val="0"/>
    <w:pPr>
      <w:jc w:val="left"/>
    </w:pPr>
  </w:style>
  <w:style w:type="paragraph" w:styleId="10">
    <w:name w:val="Body Text"/>
    <w:basedOn w:val="1"/>
    <w:next w:val="1"/>
    <w:unhideWhenUsed/>
    <w:qFormat/>
    <w:uiPriority w:val="99"/>
    <w:pPr>
      <w:spacing w:after="120"/>
    </w:pPr>
    <w:rPr>
      <w:rFonts w:ascii="Times New Roman" w:hAnsi="Times New Roman"/>
    </w:rPr>
  </w:style>
  <w:style w:type="paragraph" w:styleId="11">
    <w:name w:val="Balloon Text"/>
    <w:basedOn w:val="1"/>
    <w:link w:val="29"/>
    <w:qFormat/>
    <w:uiPriority w:val="0"/>
    <w:rPr>
      <w:sz w:val="18"/>
      <w:szCs w:val="18"/>
    </w:rPr>
  </w:style>
  <w:style w:type="paragraph" w:styleId="12">
    <w:name w:val="footer"/>
    <w:basedOn w:val="1"/>
    <w:qFormat/>
    <w:uiPriority w:val="6"/>
    <w:pPr>
      <w:tabs>
        <w:tab w:val="center" w:pos="4153"/>
        <w:tab w:val="right" w:pos="8305"/>
      </w:tabs>
      <w:jc w:val="left"/>
    </w:pPr>
    <w:rPr>
      <w:kern w:val="1"/>
      <w:sz w:val="18"/>
      <w:szCs w:val="18"/>
    </w:rPr>
  </w:style>
  <w:style w:type="paragraph" w:styleId="13">
    <w:name w:val="header"/>
    <w:basedOn w:val="1"/>
    <w:qFormat/>
    <w:uiPriority w:val="6"/>
    <w:pPr>
      <w:pBdr>
        <w:bottom w:val="single" w:color="000000" w:sz="6" w:space="1"/>
      </w:pBdr>
      <w:tabs>
        <w:tab w:val="center" w:pos="4153"/>
        <w:tab w:val="right" w:pos="8305"/>
      </w:tabs>
      <w:jc w:val="center"/>
    </w:pPr>
    <w:rPr>
      <w:kern w:val="1"/>
      <w:sz w:val="18"/>
      <w:szCs w:val="18"/>
    </w:rPr>
  </w:style>
  <w:style w:type="paragraph" w:styleId="14">
    <w:name w:val="toc 1"/>
    <w:basedOn w:val="1"/>
    <w:next w:val="1"/>
    <w:unhideWhenUsed/>
    <w:qFormat/>
    <w:uiPriority w:val="39"/>
    <w:pPr>
      <w:spacing w:before="120" w:after="120"/>
      <w:jc w:val="left"/>
    </w:pPr>
    <w:rPr>
      <w:b/>
      <w:bCs/>
      <w:caps/>
      <w:sz w:val="20"/>
      <w:szCs w:val="20"/>
    </w:rPr>
  </w:style>
  <w:style w:type="paragraph" w:styleId="15">
    <w:name w:val="toc 2"/>
    <w:basedOn w:val="1"/>
    <w:next w:val="1"/>
    <w:unhideWhenUsed/>
    <w:qFormat/>
    <w:uiPriority w:val="39"/>
    <w:pPr>
      <w:ind w:left="280"/>
      <w:jc w:val="left"/>
    </w:pPr>
    <w:rPr>
      <w:smallCaps/>
      <w:sz w:val="20"/>
      <w:szCs w:val="20"/>
    </w:rPr>
  </w:style>
  <w:style w:type="paragraph" w:styleId="16">
    <w:name w:val="Normal (Web)"/>
    <w:basedOn w:val="1"/>
    <w:qFormat/>
    <w:uiPriority w:val="99"/>
    <w:pPr>
      <w:spacing w:before="100" w:beforeAutospacing="1" w:after="100" w:afterAutospacing="1"/>
      <w:jc w:val="left"/>
    </w:pPr>
    <w:rPr>
      <w:rFonts w:cs="Times New Roman"/>
      <w:sz w:val="24"/>
    </w:rPr>
  </w:style>
  <w:style w:type="character" w:styleId="19">
    <w:name w:val="Strong"/>
    <w:basedOn w:val="18"/>
    <w:qFormat/>
    <w:uiPriority w:val="0"/>
    <w:rPr>
      <w:b/>
      <w:bCs/>
    </w:rPr>
  </w:style>
  <w:style w:type="character" w:styleId="20">
    <w:name w:val="Hyperlink"/>
    <w:basedOn w:val="18"/>
    <w:qFormat/>
    <w:uiPriority w:val="7"/>
    <w:rPr>
      <w:color w:val="0000FF"/>
      <w:u w:val="single"/>
    </w:rPr>
  </w:style>
  <w:style w:type="character" w:styleId="21">
    <w:name w:val="annotation reference"/>
    <w:basedOn w:val="18"/>
    <w:qFormat/>
    <w:uiPriority w:val="0"/>
    <w:rPr>
      <w:sz w:val="21"/>
      <w:szCs w:val="21"/>
    </w:rPr>
  </w:style>
  <w:style w:type="paragraph" w:customStyle="1" w:styleId="22">
    <w:name w:val="_Style 11"/>
    <w:basedOn w:val="1"/>
    <w:next w:val="1"/>
    <w:qFormat/>
    <w:uiPriority w:val="7"/>
    <w:pPr>
      <w:pBdr>
        <w:bottom w:val="single" w:color="000000" w:sz="6" w:space="1"/>
      </w:pBdr>
      <w:jc w:val="center"/>
    </w:pPr>
    <w:rPr>
      <w:rFonts w:ascii="Arial" w:hAnsi="Arial"/>
      <w:vanish/>
      <w:kern w:val="1"/>
      <w:sz w:val="16"/>
    </w:rPr>
  </w:style>
  <w:style w:type="paragraph" w:customStyle="1" w:styleId="23">
    <w:name w:val="_Style 12"/>
    <w:basedOn w:val="1"/>
    <w:next w:val="1"/>
    <w:qFormat/>
    <w:uiPriority w:val="7"/>
    <w:pPr>
      <w:pBdr>
        <w:top w:val="single" w:color="000000" w:sz="6" w:space="1"/>
      </w:pBdr>
      <w:jc w:val="center"/>
    </w:pPr>
    <w:rPr>
      <w:rFonts w:ascii="Arial" w:hAnsi="Arial"/>
      <w:vanish/>
      <w:kern w:val="1"/>
      <w:sz w:val="16"/>
    </w:rPr>
  </w:style>
  <w:style w:type="paragraph" w:customStyle="1" w:styleId="24">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styleId="25">
    <w:name w:val="List Paragraph"/>
    <w:basedOn w:val="1"/>
    <w:qFormat/>
    <w:uiPriority w:val="7"/>
    <w:pPr>
      <w:ind w:firstLine="420"/>
    </w:pPr>
    <w:rPr>
      <w:kern w:val="1"/>
    </w:rPr>
  </w:style>
  <w:style w:type="character" w:customStyle="1" w:styleId="26">
    <w:name w:val="页眉 Char"/>
    <w:basedOn w:val="18"/>
    <w:qFormat/>
    <w:uiPriority w:val="2"/>
    <w:rPr>
      <w:rFonts w:ascii="Calibri" w:hAnsi="Calibri"/>
      <w:kern w:val="1"/>
      <w:sz w:val="18"/>
      <w:szCs w:val="18"/>
    </w:rPr>
  </w:style>
  <w:style w:type="character" w:customStyle="1" w:styleId="27">
    <w:name w:val="页脚 Char"/>
    <w:basedOn w:val="18"/>
    <w:qFormat/>
    <w:uiPriority w:val="2"/>
    <w:rPr>
      <w:rFonts w:ascii="Calibri" w:hAnsi="Calibri"/>
      <w:kern w:val="1"/>
      <w:sz w:val="18"/>
      <w:szCs w:val="18"/>
    </w:rPr>
  </w:style>
  <w:style w:type="paragraph" w:customStyle="1" w:styleId="28">
    <w:name w:val="闻政-正文段落文字"/>
    <w:basedOn w:val="1"/>
    <w:qFormat/>
    <w:uiPriority w:val="3"/>
    <w:pPr>
      <w:spacing w:line="500" w:lineRule="exact"/>
      <w:ind w:firstLine="200"/>
    </w:pPr>
    <w:rPr>
      <w:rFonts w:ascii="Times New Roman" w:hAnsi="Times New Roman" w:cs="Times New Roman"/>
      <w:szCs w:val="28"/>
    </w:rPr>
  </w:style>
  <w:style w:type="character" w:customStyle="1" w:styleId="29">
    <w:name w:val="批注框文本 字符"/>
    <w:basedOn w:val="18"/>
    <w:link w:val="11"/>
    <w:qFormat/>
    <w:uiPriority w:val="0"/>
    <w:rPr>
      <w:rFonts w:cs="Calibri"/>
      <w:color w:val="000000"/>
      <w:sz w:val="18"/>
      <w:szCs w:val="18"/>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1227</Words>
  <Characters>7000</Characters>
  <Lines>58</Lines>
  <Paragraphs>16</Paragraphs>
  <TotalTime>13</TotalTime>
  <ScaleCrop>false</ScaleCrop>
  <LinksUpToDate>false</LinksUpToDate>
  <CharactersWithSpaces>8211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2020-04-23T07:32:00Z</dcterms:created>
  <dc:creator>chenliangpingcz</dc:creator>
  <cp:lastModifiedBy>Administrator</cp:lastModifiedBy>
  <cp:lastPrinted>2020-01-21T02:35:00Z</cp:lastPrinted>
  <dcterms:modified xsi:type="dcterms:W3CDTF">2024-09-10T08:22:05Z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6028AC35A1A740E6A2051054DF00D865</vt:lpwstr>
  </property>
</Properties>
</file>