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bidi w:val="0"/>
        <w:rPr>
          <w:rFonts w:hint="eastAsia" w:ascii="方正小标宋简体" w:hAnsi="方正小标宋简体" w:eastAsia="方正小标宋简体" w:cs="方正小标宋简体"/>
          <w:sz w:val="44"/>
          <w:szCs w:val="32"/>
          <w:lang w:val="en-US" w:eastAsia="zh-CN"/>
        </w:rPr>
      </w:pPr>
      <w:bookmarkStart w:id="186" w:name="_GoBack"/>
      <w:bookmarkEnd w:id="186"/>
    </w:p>
    <w:p>
      <w:pPr>
        <w:pStyle w:val="13"/>
        <w:bidi w:val="0"/>
        <w:rPr>
          <w:rFonts w:hint="eastAsia" w:ascii="方正小标宋简体" w:hAnsi="方正小标宋简体" w:eastAsia="方正小标宋简体" w:cs="方正小标宋简体"/>
          <w:sz w:val="44"/>
          <w:szCs w:val="32"/>
          <w:lang w:val="en-US" w:eastAsia="zh-CN"/>
        </w:rPr>
      </w:pPr>
      <w:r>
        <w:rPr>
          <w:rFonts w:hint="eastAsia" w:ascii="方正小标宋简体" w:hAnsi="方正小标宋简体" w:eastAsia="方正小标宋简体" w:cs="方正小标宋简体"/>
          <w:sz w:val="44"/>
          <w:szCs w:val="32"/>
          <w:lang w:val="en-US" w:eastAsia="zh-CN"/>
        </w:rPr>
        <w:t>哈密市伊吾县天然林保护修复</w:t>
      </w:r>
    </w:p>
    <w:p>
      <w:pPr>
        <w:pStyle w:val="13"/>
        <w:bidi w:val="0"/>
        <w:rPr>
          <w:rFonts w:hint="eastAsia" w:ascii="方正小标宋简体" w:hAnsi="方正小标宋简体" w:eastAsia="方正小标宋简体" w:cs="方正小标宋简体"/>
          <w:spacing w:val="-2"/>
          <w:sz w:val="44"/>
          <w:szCs w:val="44"/>
          <w:lang w:eastAsia="zh-CN"/>
        </w:rPr>
      </w:pPr>
      <w:r>
        <w:rPr>
          <w:rFonts w:hint="eastAsia" w:ascii="方正小标宋简体" w:hAnsi="方正小标宋简体" w:eastAsia="方正小标宋简体" w:cs="方正小标宋简体"/>
          <w:spacing w:val="-2"/>
          <w:sz w:val="44"/>
          <w:szCs w:val="44"/>
          <w:lang w:val="en-US" w:eastAsia="zh-CN"/>
        </w:rPr>
        <w:t>中长期实施方案</w:t>
      </w:r>
      <w:r>
        <w:rPr>
          <w:rFonts w:hint="eastAsia" w:ascii="方正小标宋简体" w:hAnsi="方正小标宋简体" w:eastAsia="方正小标宋简体" w:cs="方正小标宋简体"/>
          <w:spacing w:val="-2"/>
          <w:sz w:val="44"/>
          <w:szCs w:val="44"/>
          <w:lang w:eastAsia="zh-CN"/>
        </w:rPr>
        <w:t>（202</w:t>
      </w:r>
      <w:r>
        <w:rPr>
          <w:rFonts w:hint="eastAsia" w:ascii="方正小标宋简体" w:hAnsi="方正小标宋简体" w:eastAsia="方正小标宋简体" w:cs="方正小标宋简体"/>
          <w:spacing w:val="-2"/>
          <w:sz w:val="44"/>
          <w:szCs w:val="44"/>
          <w:lang w:val="en-US" w:eastAsia="zh-CN"/>
        </w:rPr>
        <w:t>1</w:t>
      </w:r>
      <w:r>
        <w:rPr>
          <w:rFonts w:hint="eastAsia" w:ascii="方正小标宋简体" w:hAnsi="方正小标宋简体" w:eastAsia="方正小标宋简体" w:cs="方正小标宋简体"/>
          <w:spacing w:val="-2"/>
          <w:sz w:val="44"/>
          <w:szCs w:val="44"/>
          <w:lang w:eastAsia="zh-CN"/>
        </w:rPr>
        <w:t>-203</w:t>
      </w:r>
      <w:r>
        <w:rPr>
          <w:rFonts w:hint="eastAsia" w:ascii="方正小标宋简体" w:hAnsi="方正小标宋简体" w:eastAsia="方正小标宋简体" w:cs="方正小标宋简体"/>
          <w:spacing w:val="-2"/>
          <w:sz w:val="44"/>
          <w:szCs w:val="44"/>
          <w:lang w:val="en-US" w:eastAsia="zh-CN"/>
        </w:rPr>
        <w:t>5</w:t>
      </w:r>
      <w:r>
        <w:rPr>
          <w:rFonts w:hint="eastAsia" w:ascii="方正小标宋简体" w:hAnsi="方正小标宋简体" w:eastAsia="方正小标宋简体" w:cs="方正小标宋简体"/>
          <w:spacing w:val="-2"/>
          <w:sz w:val="44"/>
          <w:szCs w:val="44"/>
          <w:lang w:eastAsia="zh-CN"/>
        </w:rPr>
        <w:t>年）</w:t>
      </w:r>
    </w:p>
    <w:p>
      <w:r>
        <w:fldChar w:fldCharType="begin"/>
      </w:r>
      <w:r>
        <w:instrText xml:space="preserve">TOC \h \c "表"</w:instrText>
      </w:r>
      <w:r>
        <w:fldChar w:fldCharType="separate"/>
      </w:r>
      <w:r>
        <w:fldChar w:fldCharType="end"/>
      </w:r>
    </w:p>
    <w:p>
      <w:pPr>
        <w:pStyle w:val="13"/>
        <w:spacing w:line="659" w:lineRule="exact"/>
        <w:rPr>
          <w:lang w:eastAsia="zh-CN"/>
        </w:rPr>
      </w:pPr>
      <w:r>
        <w:rPr>
          <w:w w:val="95"/>
          <w:lang w:eastAsia="zh-CN"/>
        </w:rPr>
        <w:t>（</w:t>
      </w:r>
      <w:r>
        <w:rPr>
          <w:rFonts w:hint="eastAsia"/>
          <w:w w:val="95"/>
          <w:lang w:val="en-US" w:eastAsia="zh-CN"/>
        </w:rPr>
        <w:t>征求意见</w:t>
      </w:r>
      <w:r>
        <w:rPr>
          <w:w w:val="95"/>
          <w:lang w:eastAsia="zh-CN"/>
        </w:rPr>
        <w:t>稿</w:t>
      </w:r>
      <w:r>
        <w:rPr>
          <w:spacing w:val="-10"/>
          <w:w w:val="95"/>
          <w:lang w:eastAsia="zh-CN"/>
        </w:rPr>
        <w:t>）</w:t>
      </w:r>
    </w:p>
    <w:p>
      <w:pPr>
        <w:pStyle w:val="6"/>
        <w:ind w:left="0" w:leftChars="0" w:firstLine="0" w:firstLineChars="0"/>
        <w:rPr>
          <w:rFonts w:ascii="方正小标宋简体"/>
          <w:sz w:val="52"/>
          <w:lang w:eastAsia="zh-CN"/>
        </w:rPr>
      </w:pPr>
    </w:p>
    <w:p>
      <w:pPr>
        <w:pStyle w:val="6"/>
        <w:ind w:left="0"/>
        <w:rPr>
          <w:rFonts w:ascii="方正小标宋简体"/>
          <w:sz w:val="52"/>
          <w:lang w:eastAsia="zh-CN"/>
        </w:rPr>
      </w:pPr>
    </w:p>
    <w:p>
      <w:pPr>
        <w:pStyle w:val="6"/>
        <w:ind w:left="0"/>
        <w:rPr>
          <w:rFonts w:ascii="方正小标宋简体"/>
          <w:sz w:val="52"/>
          <w:lang w:eastAsia="zh-CN"/>
        </w:rPr>
      </w:pPr>
    </w:p>
    <w:p>
      <w:pPr>
        <w:pStyle w:val="6"/>
        <w:ind w:left="0"/>
        <w:rPr>
          <w:rFonts w:ascii="方正小标宋简体"/>
          <w:sz w:val="52"/>
          <w:lang w:eastAsia="zh-CN"/>
        </w:rPr>
      </w:pPr>
    </w:p>
    <w:p>
      <w:pPr>
        <w:pStyle w:val="6"/>
        <w:ind w:left="0"/>
        <w:rPr>
          <w:rFonts w:ascii="方正小标宋简体"/>
          <w:sz w:val="52"/>
          <w:lang w:eastAsia="zh-CN"/>
        </w:rPr>
      </w:pPr>
    </w:p>
    <w:p>
      <w:pPr>
        <w:pStyle w:val="6"/>
        <w:ind w:left="0"/>
        <w:rPr>
          <w:rFonts w:ascii="方正小标宋简体"/>
          <w:sz w:val="52"/>
          <w:lang w:eastAsia="zh-CN"/>
        </w:rPr>
      </w:pPr>
    </w:p>
    <w:p>
      <w:pPr>
        <w:widowControl w:val="0"/>
        <w:kinsoku/>
        <w:adjustRightInd/>
        <w:snapToGrid/>
        <w:spacing w:before="1"/>
        <w:ind w:left="0" w:right="-90" w:firstLine="0" w:firstLineChars="0"/>
        <w:jc w:val="center"/>
        <w:textAlignment w:val="auto"/>
        <w:outlineLvl w:val="9"/>
        <w:rPr>
          <w:rFonts w:ascii="方正仿宋_GB2312" w:hAnsi="方正仿宋_GB2312" w:eastAsia="方正仿宋_GB2312" w:cs="方正仿宋_GB2312"/>
          <w:b/>
          <w:bCs/>
          <w:snapToGrid/>
          <w:spacing w:val="0"/>
          <w:w w:val="95"/>
          <w:kern w:val="0"/>
          <w:sz w:val="32"/>
          <w:szCs w:val="32"/>
          <w:lang w:eastAsia="zh-CN"/>
        </w:rPr>
      </w:pPr>
      <w:bookmarkStart w:id="0" w:name="_Toc22248"/>
      <w:r>
        <w:rPr>
          <w:rFonts w:hint="eastAsia" w:ascii="方正仿宋_GB2312" w:hAnsi="方正仿宋_GB2312" w:eastAsia="方正仿宋_GB2312" w:cs="方正仿宋_GB2312"/>
          <w:b/>
          <w:bCs/>
          <w:snapToGrid/>
          <w:spacing w:val="0"/>
          <w:w w:val="95"/>
          <w:kern w:val="0"/>
          <w:sz w:val="32"/>
          <w:szCs w:val="32"/>
          <w:lang w:val="en-US" w:eastAsia="zh-CN"/>
        </w:rPr>
        <w:t>伊吾县</w:t>
      </w:r>
      <w:r>
        <w:rPr>
          <w:rFonts w:ascii="方正仿宋_GB2312" w:hAnsi="方正仿宋_GB2312" w:eastAsia="方正仿宋_GB2312" w:cs="方正仿宋_GB2312"/>
          <w:b/>
          <w:bCs/>
          <w:snapToGrid/>
          <w:spacing w:val="0"/>
          <w:w w:val="95"/>
          <w:kern w:val="0"/>
          <w:sz w:val="32"/>
          <w:szCs w:val="32"/>
          <w:lang w:eastAsia="zh-CN"/>
        </w:rPr>
        <w:t>林业和草原局</w:t>
      </w:r>
      <w:bookmarkEnd w:id="0"/>
    </w:p>
    <w:p>
      <w:pPr>
        <w:keepNext w:val="0"/>
        <w:keepLines w:val="0"/>
        <w:pageBreakBefore w:val="0"/>
        <w:widowControl w:val="0"/>
        <w:kinsoku/>
        <w:wordWrap/>
        <w:overflowPunct/>
        <w:topLinePunct w:val="0"/>
        <w:autoSpaceDE w:val="0"/>
        <w:autoSpaceDN w:val="0"/>
        <w:bidi w:val="0"/>
        <w:adjustRightInd/>
        <w:snapToGrid/>
        <w:spacing w:before="0" w:beforeLines="50"/>
        <w:ind w:left="0" w:right="-90" w:firstLine="0" w:firstLineChars="0"/>
        <w:jc w:val="center"/>
        <w:textAlignment w:val="auto"/>
        <w:outlineLvl w:val="9"/>
        <w:rPr>
          <w:rFonts w:hint="eastAsia" w:ascii="方正仿宋_GB2312" w:hAnsi="方正仿宋_GB2312" w:eastAsia="方正仿宋_GB2312" w:cs="方正仿宋_GB2312"/>
          <w:b/>
          <w:bCs/>
          <w:snapToGrid/>
          <w:w w:val="95"/>
          <w:sz w:val="32"/>
          <w:szCs w:val="32"/>
          <w:lang w:val="en-US" w:eastAsia="zh-CN"/>
        </w:rPr>
      </w:pPr>
      <w:bookmarkStart w:id="1" w:name="_Toc28842"/>
      <w:r>
        <w:rPr>
          <w:rFonts w:hint="eastAsia" w:ascii="方正仿宋_GB2312" w:hAnsi="方正仿宋_GB2312" w:eastAsia="方正仿宋_GB2312" w:cs="方正仿宋_GB2312"/>
          <w:b/>
          <w:bCs/>
          <w:snapToGrid/>
          <w:w w:val="95"/>
          <w:sz w:val="32"/>
          <w:szCs w:val="32"/>
          <w:lang w:val="en-US" w:eastAsia="zh-CN"/>
        </w:rPr>
        <w:t>国家林业和草原局西北调查规划院</w:t>
      </w:r>
      <w:bookmarkEnd w:id="1"/>
    </w:p>
    <w:p>
      <w:pPr>
        <w:spacing w:before="214"/>
        <w:ind w:left="0" w:right="-90"/>
        <w:jc w:val="center"/>
        <w:rPr>
          <w:rFonts w:ascii="方正仿宋_GB2312" w:hAnsi="方正仿宋_GB2312" w:eastAsia="方正仿宋_GB2312" w:cs="方正仿宋_GB2312"/>
          <w:b/>
          <w:bCs/>
          <w:snapToGrid/>
          <w:color w:val="000000"/>
          <w:spacing w:val="0"/>
          <w:w w:val="95"/>
          <w:kern w:val="0"/>
          <w:sz w:val="32"/>
          <w:szCs w:val="32"/>
          <w:lang w:val="en-US" w:eastAsia="zh-CN" w:bidi="ar-SA"/>
        </w:rPr>
      </w:pPr>
      <w:r>
        <w:rPr>
          <w:rFonts w:hint="eastAsia" w:ascii="方正仿宋_GB2312" w:hAnsi="方正仿宋_GB2312" w:eastAsia="方正仿宋_GB2312" w:cs="方正仿宋_GB2312"/>
          <w:b/>
          <w:bCs/>
          <w:snapToGrid/>
          <w:color w:val="000000"/>
          <w:spacing w:val="0"/>
          <w:w w:val="95"/>
          <w:kern w:val="0"/>
          <w:sz w:val="32"/>
          <w:szCs w:val="32"/>
          <w:lang w:val="en-US" w:eastAsia="zh-CN" w:bidi="ar-SA"/>
        </w:rPr>
        <w:t>2026 年 10 月</w:t>
      </w:r>
    </w:p>
    <w:p>
      <w:pPr>
        <w:jc w:val="center"/>
        <w:rPr>
          <w:rFonts w:ascii="方正仿宋_GB2312" w:eastAsia="方正仿宋_GB2312"/>
          <w:sz w:val="32"/>
        </w:rPr>
        <w:sectPr>
          <w:footerReference r:id="rId5" w:type="default"/>
          <w:pgSz w:w="11910" w:h="16850"/>
          <w:pgMar w:top="1440" w:right="1800" w:bottom="1440" w:left="1800" w:header="720" w:footer="720" w:gutter="0"/>
          <w:pgNumType w:fmt="decimal"/>
          <w:cols w:space="720" w:num="1"/>
        </w:sectPr>
      </w:pPr>
    </w:p>
    <w:p>
      <w:pPr>
        <w:widowControl w:val="0"/>
        <w:tabs>
          <w:tab w:val="left" w:pos="4770"/>
        </w:tabs>
        <w:spacing w:line="700" w:lineRule="exact"/>
        <w:ind w:left="1532" w:leftChars="63" w:hanging="1400" w:hangingChars="500"/>
        <w:rPr>
          <w:rFonts w:hint="eastAsia" w:ascii="Times New Roman" w:hAnsi="Times New Roman" w:eastAsia="黑体" w:cs="Times New Roman"/>
          <w:kern w:val="2"/>
          <w:sz w:val="28"/>
          <w:szCs w:val="28"/>
        </w:rPr>
      </w:pPr>
      <w:bookmarkStart w:id="2" w:name="_Hlk116372775"/>
    </w:p>
    <w:p>
      <w:pPr>
        <w:widowControl w:val="0"/>
        <w:tabs>
          <w:tab w:val="left" w:pos="4770"/>
        </w:tabs>
        <w:spacing w:line="700" w:lineRule="exact"/>
        <w:ind w:left="1432" w:leftChars="63" w:hanging="1300" w:hangingChars="500"/>
        <w:rPr>
          <w:rFonts w:ascii="Times New Roman" w:hAnsi="Times New Roman" w:eastAsia="黑体" w:cs="Times New Roman"/>
          <w:kern w:val="2"/>
          <w:sz w:val="26"/>
          <w:szCs w:val="26"/>
        </w:rPr>
      </w:pPr>
      <w:r>
        <w:rPr>
          <w:rFonts w:hint="eastAsia" w:ascii="Times New Roman" w:hAnsi="Times New Roman" w:eastAsia="黑体" w:cs="Times New Roman"/>
          <w:kern w:val="2"/>
          <w:sz w:val="26"/>
          <w:szCs w:val="26"/>
        </w:rPr>
        <w:t>项目名称：</w:t>
      </w:r>
      <w:r>
        <w:rPr>
          <w:rFonts w:hint="eastAsia" w:ascii="华文楷体" w:hAnsi="华文楷体" w:eastAsia="华文楷体" w:cs="Times New Roman"/>
          <w:snapToGrid/>
          <w:color w:val="auto"/>
          <w:kern w:val="2"/>
          <w:sz w:val="26"/>
          <w:szCs w:val="26"/>
          <w:lang w:eastAsia="zh-CN"/>
        </w:rPr>
        <w:t>哈密市</w:t>
      </w:r>
      <w:r>
        <w:rPr>
          <w:rFonts w:hint="eastAsia" w:ascii="华文楷体" w:hAnsi="华文楷体" w:eastAsia="华文楷体" w:cs="Times New Roman"/>
          <w:snapToGrid/>
          <w:color w:val="auto"/>
          <w:kern w:val="2"/>
          <w:sz w:val="26"/>
          <w:szCs w:val="26"/>
          <w:lang w:val="en-US" w:eastAsia="zh-CN"/>
        </w:rPr>
        <w:t>伊吾县</w:t>
      </w:r>
      <w:r>
        <w:rPr>
          <w:rFonts w:hint="eastAsia" w:ascii="华文楷体" w:hAnsi="华文楷体" w:eastAsia="华文楷体" w:cs="Times New Roman"/>
          <w:snapToGrid/>
          <w:color w:val="auto"/>
          <w:kern w:val="2"/>
          <w:sz w:val="26"/>
          <w:szCs w:val="26"/>
          <w:lang w:eastAsia="zh-CN"/>
        </w:rPr>
        <w:t>天然林保护修复中长期</w:t>
      </w:r>
      <w:r>
        <w:rPr>
          <w:rFonts w:hint="eastAsia" w:ascii="华文楷体" w:hAnsi="华文楷体" w:eastAsia="华文楷体" w:cs="Times New Roman"/>
          <w:snapToGrid/>
          <w:color w:val="auto"/>
          <w:kern w:val="2"/>
          <w:sz w:val="26"/>
          <w:szCs w:val="26"/>
          <w:lang w:val="en-US" w:eastAsia="zh-CN"/>
        </w:rPr>
        <w:t>实施方案</w:t>
      </w:r>
      <w:r>
        <w:rPr>
          <w:rFonts w:hint="eastAsia" w:ascii="华文楷体" w:hAnsi="华文楷体" w:eastAsia="华文楷体" w:cs="Times New Roman"/>
          <w:snapToGrid/>
          <w:color w:val="auto"/>
          <w:kern w:val="2"/>
          <w:sz w:val="26"/>
          <w:szCs w:val="26"/>
          <w:lang w:eastAsia="zh-CN"/>
        </w:rPr>
        <w:t>（202</w:t>
      </w:r>
      <w:r>
        <w:rPr>
          <w:rFonts w:hint="eastAsia" w:ascii="华文楷体" w:hAnsi="华文楷体" w:eastAsia="华文楷体" w:cs="Times New Roman"/>
          <w:snapToGrid/>
          <w:color w:val="auto"/>
          <w:kern w:val="2"/>
          <w:sz w:val="26"/>
          <w:szCs w:val="26"/>
          <w:lang w:val="en-US" w:eastAsia="zh-CN"/>
        </w:rPr>
        <w:t>1</w:t>
      </w:r>
      <w:r>
        <w:rPr>
          <w:rFonts w:hint="eastAsia" w:ascii="华文楷体" w:hAnsi="华文楷体" w:eastAsia="华文楷体" w:cs="Times New Roman"/>
          <w:snapToGrid/>
          <w:color w:val="auto"/>
          <w:kern w:val="2"/>
          <w:sz w:val="26"/>
          <w:szCs w:val="26"/>
          <w:lang w:eastAsia="zh-CN"/>
        </w:rPr>
        <w:t>-203</w:t>
      </w:r>
      <w:r>
        <w:rPr>
          <w:rFonts w:hint="eastAsia" w:ascii="华文楷体" w:hAnsi="华文楷体" w:eastAsia="华文楷体" w:cs="Times New Roman"/>
          <w:snapToGrid/>
          <w:color w:val="auto"/>
          <w:kern w:val="2"/>
          <w:sz w:val="26"/>
          <w:szCs w:val="26"/>
          <w:lang w:val="en-US" w:eastAsia="zh-CN"/>
        </w:rPr>
        <w:t>5</w:t>
      </w:r>
      <w:r>
        <w:rPr>
          <w:rFonts w:hint="eastAsia" w:ascii="华文楷体" w:hAnsi="华文楷体" w:eastAsia="华文楷体" w:cs="Times New Roman"/>
          <w:snapToGrid/>
          <w:color w:val="auto"/>
          <w:kern w:val="2"/>
          <w:sz w:val="26"/>
          <w:szCs w:val="26"/>
          <w:lang w:eastAsia="zh-CN"/>
        </w:rPr>
        <w:t>年）</w:t>
      </w:r>
    </w:p>
    <w:p>
      <w:pPr>
        <w:widowControl w:val="0"/>
        <w:tabs>
          <w:tab w:val="left" w:pos="4770"/>
        </w:tabs>
        <w:spacing w:line="700" w:lineRule="exact"/>
        <w:ind w:left="1432" w:leftChars="63" w:hanging="1300" w:hangingChars="500"/>
        <w:rPr>
          <w:rFonts w:hint="default" w:ascii="华文楷体" w:hAnsi="华文楷体" w:eastAsia="华文楷体" w:cs="Times New Roman"/>
          <w:kern w:val="2"/>
          <w:sz w:val="28"/>
          <w:szCs w:val="28"/>
          <w:lang w:val="en-US" w:eastAsia="zh-CN"/>
        </w:rPr>
      </w:pPr>
      <w:r>
        <w:rPr>
          <w:rFonts w:hint="eastAsia" w:ascii="Times New Roman" w:hAnsi="Times New Roman" w:eastAsia="黑体" w:cs="Times New Roman"/>
          <w:kern w:val="2"/>
          <w:sz w:val="26"/>
          <w:szCs w:val="26"/>
        </w:rPr>
        <w:t>委托方：</w:t>
      </w:r>
      <w:r>
        <w:rPr>
          <w:rFonts w:hint="eastAsia" w:ascii="华文楷体" w:hAnsi="华文楷体" w:eastAsia="华文楷体" w:cs="Times New Roman"/>
          <w:kern w:val="2"/>
          <w:sz w:val="26"/>
          <w:szCs w:val="26"/>
          <w:lang w:val="en-US" w:eastAsia="zh-CN"/>
        </w:rPr>
        <w:t>伊吾县林业和草原局</w:t>
      </w:r>
    </w:p>
    <w:p>
      <w:pPr>
        <w:widowControl w:val="0"/>
        <w:tabs>
          <w:tab w:val="left" w:pos="4770"/>
        </w:tabs>
        <w:spacing w:line="700" w:lineRule="exact"/>
        <w:ind w:left="1432" w:leftChars="63" w:hanging="1300" w:hangingChars="500"/>
        <w:rPr>
          <w:rFonts w:ascii="Times New Roman" w:hAnsi="Times New Roman" w:eastAsia="黑体" w:cs="Times New Roman"/>
          <w:kern w:val="2"/>
          <w:sz w:val="30"/>
          <w:szCs w:val="30"/>
        </w:rPr>
      </w:pPr>
      <w:r>
        <w:rPr>
          <w:rFonts w:hint="eastAsia" w:ascii="Times New Roman" w:hAnsi="Times New Roman" w:eastAsia="黑体" w:cs="Times New Roman"/>
          <w:kern w:val="2"/>
          <w:sz w:val="26"/>
          <w:szCs w:val="26"/>
        </w:rPr>
        <w:t>项目承担方：</w:t>
      </w:r>
      <w:r>
        <w:rPr>
          <w:rFonts w:hint="eastAsia" w:ascii="华文楷体" w:hAnsi="华文楷体" w:eastAsia="华文楷体" w:cs="Times New Roman"/>
          <w:kern w:val="2"/>
          <w:sz w:val="28"/>
          <w:szCs w:val="28"/>
        </w:rPr>
        <w:t>国家林业和草原局西北调查规划院</w:t>
      </w:r>
    </w:p>
    <w:p>
      <w:pPr>
        <w:widowControl w:val="0"/>
        <w:tabs>
          <w:tab w:val="left" w:pos="4770"/>
        </w:tabs>
        <w:spacing w:line="700" w:lineRule="exact"/>
        <w:ind w:left="1432" w:leftChars="63" w:hanging="1300" w:hangingChars="500"/>
        <w:rPr>
          <w:rFonts w:ascii="华文楷体" w:hAnsi="华文楷体" w:eastAsia="华文楷体" w:cs="Times New Roman"/>
          <w:kern w:val="2"/>
          <w:sz w:val="30"/>
          <w:szCs w:val="30"/>
        </w:rPr>
      </w:pPr>
      <w:r>
        <w:rPr>
          <w:rFonts w:hint="eastAsia" w:ascii="Times New Roman" w:hAnsi="Times New Roman" w:eastAsia="黑体" w:cs="Times New Roman"/>
          <w:kern w:val="2"/>
          <w:sz w:val="26"/>
          <w:szCs w:val="26"/>
        </w:rPr>
        <w:t>统一社会信用代码：</w:t>
      </w:r>
      <w:r>
        <w:rPr>
          <w:rFonts w:hint="eastAsia" w:ascii="华文楷体" w:hAnsi="华文楷体" w:eastAsia="华文楷体" w:cs="Times New Roman"/>
          <w:kern w:val="2"/>
          <w:sz w:val="28"/>
          <w:szCs w:val="28"/>
        </w:rPr>
        <w:t>12100000435231000M</w:t>
      </w:r>
    </w:p>
    <w:p>
      <w:pPr>
        <w:widowControl w:val="0"/>
        <w:tabs>
          <w:tab w:val="left" w:pos="4770"/>
        </w:tabs>
        <w:spacing w:line="700" w:lineRule="exact"/>
        <w:ind w:left="1432" w:leftChars="63" w:hanging="1300" w:hangingChars="500"/>
        <w:rPr>
          <w:rFonts w:ascii="Times New Roman" w:hAnsi="Times New Roman" w:eastAsia="黑体" w:cs="Times New Roman"/>
          <w:kern w:val="2"/>
          <w:sz w:val="30"/>
          <w:szCs w:val="30"/>
        </w:rPr>
      </w:pPr>
      <w:r>
        <w:rPr>
          <w:rFonts w:hint="eastAsia" w:ascii="Times New Roman" w:hAnsi="Times New Roman" w:eastAsia="黑体" w:cs="Times New Roman"/>
          <w:kern w:val="2"/>
          <w:sz w:val="26"/>
          <w:szCs w:val="26"/>
        </w:rPr>
        <w:t>林业调查规划设计证书：</w:t>
      </w:r>
      <w:r>
        <w:rPr>
          <w:rFonts w:hint="eastAsia" w:ascii="华文楷体" w:hAnsi="华文楷体" w:eastAsia="华文楷体" w:cs="Times New Roman"/>
          <w:kern w:val="2"/>
          <w:sz w:val="28"/>
          <w:szCs w:val="28"/>
        </w:rPr>
        <w:t>甲A00-004</w:t>
      </w:r>
    </w:p>
    <w:p>
      <w:pPr>
        <w:widowControl w:val="0"/>
        <w:spacing w:line="720" w:lineRule="auto"/>
        <w:ind w:firstLine="420"/>
        <w:jc w:val="both"/>
        <w:rPr>
          <w:rFonts w:ascii="Times New Roman" w:hAnsi="Times New Roman" w:eastAsia="仿宋" w:cs="Times New Roman"/>
          <w:kern w:val="2"/>
          <w:sz w:val="21"/>
          <w:szCs w:val="28"/>
        </w:rPr>
      </w:pPr>
    </w:p>
    <w:tbl>
      <w:tblPr>
        <w:tblStyle w:val="14"/>
        <w:tblW w:w="0" w:type="auto"/>
        <w:tblInd w:w="0" w:type="dxa"/>
        <w:tblLayout w:type="autofit"/>
        <w:tblCellMar>
          <w:top w:w="0" w:type="dxa"/>
          <w:left w:w="108" w:type="dxa"/>
          <w:bottom w:w="0" w:type="dxa"/>
          <w:right w:w="108" w:type="dxa"/>
        </w:tblCellMar>
      </w:tblPr>
      <w:tblGrid>
        <w:gridCol w:w="3553"/>
        <w:gridCol w:w="4753"/>
      </w:tblGrid>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仿宋" w:cs="Times New Roman"/>
                <w:b/>
                <w:bCs/>
                <w:sz w:val="28"/>
                <w:szCs w:val="28"/>
              </w:rPr>
            </w:pPr>
            <w:r>
              <w:rPr>
                <w:rFonts w:hint="eastAsia" w:ascii="Times New Roman" w:hAnsi="Times New Roman" w:eastAsia="黑体" w:cs="Times New Roman"/>
                <w:kern w:val="2"/>
                <w:sz w:val="28"/>
                <w:szCs w:val="28"/>
              </w:rPr>
              <w:t>院长：</w:t>
            </w:r>
          </w:p>
        </w:tc>
        <w:tc>
          <w:tcPr>
            <w:tcW w:w="4753" w:type="dxa"/>
          </w:tcPr>
          <w:p>
            <w:pPr>
              <w:widowControl w:val="0"/>
              <w:spacing w:line="300" w:lineRule="auto"/>
              <w:ind w:firstLine="600"/>
              <w:jc w:val="both"/>
              <w:rPr>
                <w:rFonts w:ascii="华文楷体" w:hAnsi="华文楷体" w:eastAsia="华文楷体" w:cs="Times New Roman"/>
                <w:kern w:val="2"/>
                <w:sz w:val="30"/>
                <w:szCs w:val="30"/>
              </w:rPr>
            </w:pPr>
            <w:r>
              <w:rPr>
                <w:rFonts w:hint="eastAsia" w:ascii="华文楷体" w:hAnsi="华文楷体" w:eastAsia="华文楷体" w:cs="Times New Roman"/>
                <w:kern w:val="2"/>
                <w:sz w:val="30"/>
                <w:szCs w:val="30"/>
              </w:rPr>
              <w:t>李谭宝</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主管副院长：</w:t>
            </w:r>
          </w:p>
        </w:tc>
        <w:tc>
          <w:tcPr>
            <w:tcW w:w="4753" w:type="dxa"/>
          </w:tcPr>
          <w:p>
            <w:pPr>
              <w:widowControl w:val="0"/>
              <w:spacing w:line="300" w:lineRule="auto"/>
              <w:ind w:firstLine="600"/>
              <w:jc w:val="both"/>
              <w:rPr>
                <w:rFonts w:ascii="Times New Roman" w:hAnsi="Times New Roman" w:eastAsia="仿宋" w:cs="Times New Roman"/>
                <w:bCs/>
                <w:sz w:val="21"/>
                <w:szCs w:val="28"/>
              </w:rPr>
            </w:pPr>
            <w:r>
              <w:rPr>
                <w:rFonts w:hint="eastAsia" w:ascii="华文楷体" w:hAnsi="华文楷体" w:eastAsia="华文楷体" w:cs="Times New Roman"/>
                <w:kern w:val="2"/>
                <w:sz w:val="30"/>
                <w:szCs w:val="30"/>
              </w:rPr>
              <w:t>王孝康</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副院长：</w:t>
            </w:r>
          </w:p>
        </w:tc>
        <w:tc>
          <w:tcPr>
            <w:tcW w:w="4753" w:type="dxa"/>
          </w:tcPr>
          <w:p>
            <w:pPr>
              <w:widowControl w:val="0"/>
              <w:spacing w:line="300" w:lineRule="auto"/>
              <w:ind w:firstLine="600"/>
              <w:jc w:val="both"/>
              <w:rPr>
                <w:rFonts w:ascii="华文楷体" w:hAnsi="华文楷体" w:eastAsia="华文楷体" w:cs="Times New Roman"/>
                <w:kern w:val="2"/>
                <w:sz w:val="30"/>
                <w:szCs w:val="30"/>
              </w:rPr>
            </w:pPr>
            <w:r>
              <w:rPr>
                <w:rFonts w:hint="eastAsia" w:ascii="华文楷体" w:hAnsi="华文楷体" w:eastAsia="华文楷体" w:cs="Times New Roman"/>
                <w:kern w:val="2"/>
                <w:sz w:val="30"/>
                <w:szCs w:val="30"/>
              </w:rPr>
              <w:t>饶日光</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生产技术管理处</w:t>
            </w:r>
            <w:r>
              <w:rPr>
                <w:rFonts w:hint="eastAsia" w:ascii="Times New Roman" w:hAnsi="Times New Roman" w:eastAsia="黑体" w:cs="Times New Roman"/>
                <w:kern w:val="2"/>
                <w:sz w:val="28"/>
                <w:szCs w:val="28"/>
                <w:lang w:val="en-US" w:eastAsia="zh-CN"/>
              </w:rPr>
              <w:t>处长</w:t>
            </w:r>
            <w:r>
              <w:rPr>
                <w:rFonts w:hint="eastAsia" w:ascii="Times New Roman" w:hAnsi="Times New Roman" w:eastAsia="黑体" w:cs="Times New Roman"/>
                <w:kern w:val="2"/>
                <w:sz w:val="28"/>
                <w:szCs w:val="28"/>
              </w:rPr>
              <w:t>：</w:t>
            </w:r>
          </w:p>
        </w:tc>
        <w:tc>
          <w:tcPr>
            <w:tcW w:w="4753" w:type="dxa"/>
          </w:tcPr>
          <w:p>
            <w:pPr>
              <w:widowControl w:val="0"/>
              <w:spacing w:line="300" w:lineRule="auto"/>
              <w:ind w:firstLine="600"/>
              <w:jc w:val="both"/>
              <w:rPr>
                <w:rFonts w:ascii="Times New Roman" w:hAnsi="Times New Roman" w:eastAsia="仿宋" w:cs="Times New Roman"/>
                <w:bCs/>
                <w:sz w:val="21"/>
                <w:szCs w:val="28"/>
              </w:rPr>
            </w:pPr>
            <w:r>
              <w:rPr>
                <w:rFonts w:hint="eastAsia" w:ascii="华文楷体" w:hAnsi="华文楷体" w:eastAsia="华文楷体" w:cs="Times New Roman"/>
                <w:kern w:val="2"/>
                <w:sz w:val="30"/>
                <w:szCs w:val="30"/>
              </w:rPr>
              <w:t>张  霖</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hint="eastAsia" w:ascii="Times New Roman" w:hAnsi="Times New Roman" w:eastAsia="黑体" w:cs="Times New Roman"/>
                <w:kern w:val="2"/>
                <w:sz w:val="28"/>
                <w:szCs w:val="28"/>
                <w:lang w:eastAsia="zh-CN"/>
              </w:rPr>
            </w:pPr>
            <w:r>
              <w:rPr>
                <w:rFonts w:hint="eastAsia" w:ascii="Times New Roman" w:hAnsi="Times New Roman" w:eastAsia="黑体" w:cs="Times New Roman"/>
                <w:kern w:val="2"/>
                <w:sz w:val="28"/>
                <w:szCs w:val="28"/>
              </w:rPr>
              <w:t>主管副总工程师</w:t>
            </w:r>
            <w:r>
              <w:rPr>
                <w:rFonts w:hint="eastAsia" w:ascii="Times New Roman" w:hAnsi="Times New Roman" w:eastAsia="黑体" w:cs="Times New Roman"/>
                <w:kern w:val="2"/>
                <w:sz w:val="28"/>
                <w:szCs w:val="28"/>
                <w:lang w:eastAsia="zh-CN"/>
              </w:rPr>
              <w:t>：</w:t>
            </w:r>
          </w:p>
        </w:tc>
        <w:tc>
          <w:tcPr>
            <w:tcW w:w="4753" w:type="dxa"/>
          </w:tcPr>
          <w:p>
            <w:pPr>
              <w:widowControl w:val="0"/>
              <w:spacing w:line="300" w:lineRule="auto"/>
              <w:ind w:firstLine="600"/>
              <w:jc w:val="both"/>
              <w:rPr>
                <w:rFonts w:ascii="Times New Roman" w:hAnsi="Times New Roman" w:eastAsia="仿宋" w:cs="Times New Roman"/>
                <w:bCs/>
                <w:sz w:val="21"/>
                <w:szCs w:val="28"/>
              </w:rPr>
            </w:pPr>
            <w:r>
              <w:rPr>
                <w:rFonts w:hint="eastAsia" w:ascii="华文楷体" w:hAnsi="华文楷体" w:eastAsia="华文楷体" w:cs="Times New Roman"/>
                <w:kern w:val="2"/>
                <w:sz w:val="30"/>
                <w:szCs w:val="30"/>
              </w:rPr>
              <w:t>李愿会</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草原处处长：</w:t>
            </w:r>
          </w:p>
        </w:tc>
        <w:tc>
          <w:tcPr>
            <w:tcW w:w="4753" w:type="dxa"/>
          </w:tcPr>
          <w:p>
            <w:pPr>
              <w:widowControl w:val="0"/>
              <w:spacing w:line="300" w:lineRule="auto"/>
              <w:ind w:firstLine="600"/>
              <w:jc w:val="both"/>
              <w:rPr>
                <w:rFonts w:ascii="Times New Roman" w:hAnsi="Times New Roman" w:eastAsia="仿宋" w:cs="Times New Roman"/>
                <w:bCs/>
                <w:sz w:val="21"/>
                <w:szCs w:val="28"/>
              </w:rPr>
            </w:pPr>
            <w:r>
              <w:rPr>
                <w:rFonts w:hint="eastAsia" w:ascii="华文楷体" w:hAnsi="华文楷体" w:eastAsia="华文楷体" w:cs="Times New Roman"/>
                <w:kern w:val="2"/>
                <w:sz w:val="30"/>
                <w:szCs w:val="30"/>
              </w:rPr>
              <w:t>程  杰</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草原处副处长：</w:t>
            </w:r>
          </w:p>
        </w:tc>
        <w:tc>
          <w:tcPr>
            <w:tcW w:w="4753" w:type="dxa"/>
          </w:tcPr>
          <w:p>
            <w:pPr>
              <w:widowControl w:val="0"/>
              <w:spacing w:line="300" w:lineRule="auto"/>
              <w:ind w:firstLine="600"/>
              <w:jc w:val="both"/>
              <w:rPr>
                <w:rFonts w:ascii="Times New Roman" w:hAnsi="Times New Roman" w:eastAsia="仿宋" w:cs="Times New Roman"/>
                <w:bCs/>
                <w:sz w:val="21"/>
                <w:szCs w:val="28"/>
              </w:rPr>
            </w:pPr>
            <w:r>
              <w:rPr>
                <w:rFonts w:hint="eastAsia" w:ascii="华文楷体" w:hAnsi="华文楷体" w:eastAsia="华文楷体" w:cs="Times New Roman"/>
                <w:kern w:val="2"/>
                <w:sz w:val="30"/>
                <w:szCs w:val="30"/>
              </w:rPr>
              <w:t>张  瑞</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质量（副）主管：</w:t>
            </w:r>
          </w:p>
        </w:tc>
        <w:tc>
          <w:tcPr>
            <w:tcW w:w="4753" w:type="dxa"/>
          </w:tcPr>
          <w:p>
            <w:pPr>
              <w:widowControl w:val="0"/>
              <w:spacing w:line="300" w:lineRule="auto"/>
              <w:ind w:firstLine="600"/>
              <w:jc w:val="both"/>
              <w:rPr>
                <w:rFonts w:ascii="Times New Roman" w:hAnsi="Times New Roman" w:eastAsia="仿宋" w:cs="Times New Roman"/>
                <w:bCs/>
                <w:sz w:val="21"/>
                <w:szCs w:val="28"/>
              </w:rPr>
            </w:pPr>
            <w:r>
              <w:rPr>
                <w:rFonts w:hint="eastAsia" w:ascii="华文楷体" w:hAnsi="华文楷体" w:eastAsia="华文楷体" w:cs="Times New Roman"/>
                <w:kern w:val="2"/>
                <w:sz w:val="30"/>
                <w:szCs w:val="30"/>
              </w:rPr>
              <w:t>李智华</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项目负责人：</w:t>
            </w:r>
          </w:p>
        </w:tc>
        <w:tc>
          <w:tcPr>
            <w:tcW w:w="4753" w:type="dxa"/>
          </w:tcPr>
          <w:p>
            <w:pPr>
              <w:widowControl w:val="0"/>
              <w:spacing w:line="300" w:lineRule="auto"/>
              <w:ind w:firstLine="600"/>
              <w:jc w:val="both"/>
              <w:rPr>
                <w:rFonts w:ascii="Times New Roman" w:hAnsi="Times New Roman" w:eastAsia="仿宋" w:cs="Times New Roman"/>
                <w:bCs/>
                <w:sz w:val="21"/>
                <w:szCs w:val="28"/>
              </w:rPr>
            </w:pPr>
            <w:r>
              <w:rPr>
                <w:rFonts w:hint="eastAsia" w:ascii="华文楷体" w:hAnsi="华文楷体" w:eastAsia="华文楷体" w:cs="Times New Roman"/>
                <w:kern w:val="2"/>
                <w:sz w:val="30"/>
                <w:szCs w:val="30"/>
              </w:rPr>
              <w:t>张  博</w:t>
            </w:r>
          </w:p>
          <w:bookmarkEnd w:id="2"/>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r>
              <w:rPr>
                <w:rFonts w:hint="eastAsia" w:ascii="Times New Roman" w:hAnsi="Times New Roman" w:eastAsia="黑体" w:cs="Times New Roman"/>
                <w:kern w:val="2"/>
                <w:sz w:val="28"/>
                <w:szCs w:val="28"/>
              </w:rPr>
              <w:t>项目参加人员：</w:t>
            </w:r>
          </w:p>
        </w:tc>
        <w:tc>
          <w:tcPr>
            <w:tcW w:w="4753" w:type="dxa"/>
          </w:tcPr>
          <w:p>
            <w:pPr>
              <w:widowControl w:val="0"/>
              <w:spacing w:line="300" w:lineRule="auto"/>
              <w:ind w:firstLine="600"/>
              <w:jc w:val="both"/>
              <w:rPr>
                <w:rFonts w:hint="default" w:ascii="华文楷体" w:hAnsi="华文楷体" w:eastAsia="华文楷体" w:cs="Times New Roman"/>
                <w:kern w:val="2"/>
                <w:sz w:val="30"/>
                <w:szCs w:val="30"/>
                <w:lang w:val="en-US" w:eastAsia="zh-CN"/>
              </w:rPr>
            </w:pPr>
            <w:r>
              <w:rPr>
                <w:rFonts w:hint="eastAsia" w:ascii="华文楷体" w:hAnsi="华文楷体" w:eastAsia="华文楷体" w:cs="Times New Roman"/>
                <w:kern w:val="2"/>
                <w:sz w:val="30"/>
                <w:szCs w:val="30"/>
              </w:rPr>
              <w:t>张  博</w:t>
            </w:r>
            <w:r>
              <w:rPr>
                <w:rFonts w:hint="eastAsia" w:ascii="华文楷体" w:hAnsi="华文楷体" w:eastAsia="华文楷体" w:cs="Times New Roman"/>
                <w:kern w:val="2"/>
                <w:sz w:val="30"/>
                <w:szCs w:val="30"/>
                <w:lang w:eastAsia="zh-CN"/>
              </w:rPr>
              <w:t>、</w:t>
            </w:r>
            <w:r>
              <w:rPr>
                <w:rFonts w:hint="eastAsia" w:ascii="华文楷体" w:hAnsi="华文楷体" w:eastAsia="华文楷体" w:cs="Times New Roman"/>
                <w:kern w:val="2"/>
                <w:sz w:val="30"/>
                <w:szCs w:val="30"/>
                <w:lang w:val="en-US" w:eastAsia="zh-CN"/>
              </w:rPr>
              <w:t>刘祎一</w:t>
            </w:r>
          </w:p>
        </w:tc>
      </w:tr>
      <w:tr>
        <w:tblPrEx>
          <w:tblCellMar>
            <w:top w:w="0" w:type="dxa"/>
            <w:left w:w="108" w:type="dxa"/>
            <w:bottom w:w="0" w:type="dxa"/>
            <w:right w:w="108" w:type="dxa"/>
          </w:tblCellMar>
        </w:tblPrEx>
        <w:tc>
          <w:tcPr>
            <w:tcW w:w="3553" w:type="dxa"/>
          </w:tcPr>
          <w:p>
            <w:pPr>
              <w:widowControl w:val="0"/>
              <w:spacing w:line="300" w:lineRule="auto"/>
              <w:ind w:firstLine="560"/>
              <w:jc w:val="distribute"/>
              <w:rPr>
                <w:rFonts w:ascii="Times New Roman" w:hAnsi="Times New Roman" w:eastAsia="黑体" w:cs="Times New Roman"/>
                <w:kern w:val="2"/>
                <w:sz w:val="28"/>
                <w:szCs w:val="28"/>
              </w:rPr>
            </w:pPr>
          </w:p>
        </w:tc>
        <w:tc>
          <w:tcPr>
            <w:tcW w:w="4753" w:type="dxa"/>
          </w:tcPr>
          <w:p>
            <w:pPr>
              <w:widowControl w:val="0"/>
              <w:spacing w:line="300" w:lineRule="auto"/>
              <w:ind w:firstLine="600"/>
              <w:jc w:val="both"/>
              <w:rPr>
                <w:rFonts w:ascii="华文楷体" w:hAnsi="华文楷体" w:eastAsia="华文楷体" w:cs="Times New Roman"/>
                <w:kern w:val="2"/>
                <w:sz w:val="30"/>
                <w:szCs w:val="30"/>
              </w:rPr>
            </w:pPr>
          </w:p>
        </w:tc>
      </w:tr>
    </w:tbl>
    <w:p/>
    <w:p>
      <w:pPr>
        <w:pStyle w:val="2"/>
        <w:bidi w:val="0"/>
        <w:ind w:left="2725" w:leftChars="0"/>
        <w:outlineLvl w:val="9"/>
        <w:rPr>
          <w:rFonts w:hint="eastAsia"/>
        </w:rPr>
      </w:pPr>
      <w:r>
        <w:rPr>
          <w:rFonts w:hint="eastAsia"/>
        </w:rPr>
        <w:br w:type="page"/>
      </w:r>
    </w:p>
    <w:sdt>
      <w:sdtPr>
        <w:rPr>
          <w:rFonts w:ascii="宋体" w:hAnsi="宋体" w:eastAsia="宋体" w:cs="Arial"/>
          <w:b/>
          <w:bCs/>
          <w:snapToGrid w:val="0"/>
          <w:color w:val="000000"/>
          <w:kern w:val="0"/>
          <w:sz w:val="28"/>
          <w:szCs w:val="28"/>
          <w:lang w:val="en-US" w:eastAsia="en-US" w:bidi="ar-SA"/>
        </w:rPr>
        <w:id w:val="147459235"/>
        <w15:color w:val="DBDBDB"/>
        <w:docPartObj>
          <w:docPartGallery w:val="Table of Contents"/>
          <w:docPartUnique/>
        </w:docPartObj>
      </w:sdtPr>
      <w:sdtEndPr>
        <w:rPr>
          <w:rFonts w:hint="eastAsia" w:ascii="黑体" w:hAnsi="黑体" w:eastAsia="黑体" w:cs="黑体"/>
          <w:b/>
          <w:bCs/>
          <w:snapToGrid w:val="0"/>
          <w:color w:val="000000"/>
          <w:spacing w:val="-8"/>
          <w:kern w:val="0"/>
          <w:sz w:val="21"/>
          <w:szCs w:val="37"/>
          <w:lang w:val="en-US" w:eastAsia="en-US" w:bidi="ar-SA"/>
        </w:rPr>
      </w:sdtEndPr>
      <w:sdtContent>
        <w:p>
          <w:pPr>
            <w:spacing w:before="0" w:beforeLines="0" w:after="0" w:afterLines="0" w:line="240" w:lineRule="auto"/>
            <w:ind w:left="0" w:leftChars="0" w:right="0" w:rightChars="0" w:firstLine="0" w:firstLineChars="0"/>
            <w:jc w:val="center"/>
            <w:rPr>
              <w:rFonts w:ascii="宋体" w:hAnsi="宋体" w:eastAsia="宋体" w:cs="Arial"/>
              <w:b/>
              <w:bCs/>
              <w:snapToGrid w:val="0"/>
              <w:color w:val="000000"/>
              <w:kern w:val="0"/>
              <w:sz w:val="28"/>
              <w:szCs w:val="28"/>
              <w:lang w:val="en-US" w:eastAsia="en-US" w:bidi="ar-SA"/>
            </w:rPr>
          </w:pPr>
          <w:r>
            <w:rPr>
              <w:rFonts w:ascii="宋体" w:hAnsi="宋体" w:eastAsia="宋体" w:cs="Arial"/>
              <w:b/>
              <w:bCs/>
              <w:snapToGrid w:val="0"/>
              <w:color w:val="000000"/>
              <w:kern w:val="0"/>
              <w:sz w:val="28"/>
              <w:szCs w:val="28"/>
              <w:lang w:val="en-US" w:eastAsia="en-US" w:bidi="ar-SA"/>
            </w:rPr>
            <w:t>目</w:t>
          </w:r>
          <w:r>
            <w:rPr>
              <w:rFonts w:hint="eastAsia" w:ascii="宋体" w:hAnsi="宋体" w:eastAsia="宋体" w:cs="Arial"/>
              <w:b/>
              <w:bCs/>
              <w:snapToGrid w:val="0"/>
              <w:color w:val="000000"/>
              <w:kern w:val="0"/>
              <w:sz w:val="28"/>
              <w:szCs w:val="28"/>
              <w:lang w:val="en-US" w:eastAsia="zh-CN" w:bidi="ar-SA"/>
            </w:rPr>
            <w:t xml:space="preserve">  </w:t>
          </w:r>
          <w:r>
            <w:rPr>
              <w:rFonts w:ascii="宋体" w:hAnsi="宋体" w:eastAsia="宋体" w:cs="Arial"/>
              <w:b/>
              <w:bCs/>
              <w:snapToGrid w:val="0"/>
              <w:color w:val="000000"/>
              <w:kern w:val="0"/>
              <w:sz w:val="28"/>
              <w:szCs w:val="28"/>
              <w:lang w:val="en-US" w:eastAsia="en-US" w:bidi="ar-SA"/>
            </w:rPr>
            <w:t>录</w:t>
          </w:r>
        </w:p>
        <w:p>
          <w:pPr>
            <w:pStyle w:val="11"/>
            <w:tabs>
              <w:tab w:val="right" w:leader="dot" w:pos="8306"/>
            </w:tabs>
          </w:pPr>
          <w:r>
            <w:rPr>
              <w:rFonts w:hint="eastAsia" w:ascii="黑体" w:hAnsi="黑体" w:eastAsia="黑体" w:cs="黑体"/>
              <w:bCs/>
              <w:snapToGrid w:val="0"/>
              <w:color w:val="000000"/>
              <w:spacing w:val="-8"/>
              <w:kern w:val="0"/>
              <w:sz w:val="21"/>
              <w:szCs w:val="37"/>
              <w:lang w:val="en-US" w:eastAsia="en-US" w:bidi="ar-SA"/>
            </w:rPr>
            <w:fldChar w:fldCharType="begin"/>
          </w:r>
          <w:r>
            <w:rPr>
              <w:rFonts w:hint="eastAsia" w:ascii="黑体" w:hAnsi="黑体" w:eastAsia="黑体" w:cs="黑体"/>
              <w:bCs/>
              <w:snapToGrid w:val="0"/>
              <w:color w:val="000000"/>
              <w:spacing w:val="-8"/>
              <w:kern w:val="0"/>
              <w:sz w:val="21"/>
              <w:szCs w:val="37"/>
              <w:lang w:val="en-US" w:eastAsia="en-US" w:bidi="ar-SA"/>
            </w:rPr>
            <w:instrText xml:space="preserve">TOC \o "1-3" \h \u </w:instrText>
          </w:r>
          <w:r>
            <w:rPr>
              <w:rFonts w:hint="eastAsia" w:ascii="黑体" w:hAnsi="黑体" w:eastAsia="黑体" w:cs="黑体"/>
              <w:bCs/>
              <w:snapToGrid w:val="0"/>
              <w:color w:val="000000"/>
              <w:spacing w:val="-8"/>
              <w:kern w:val="0"/>
              <w:sz w:val="21"/>
              <w:szCs w:val="37"/>
              <w:lang w:val="en-US" w:eastAsia="en-US" w:bidi="ar-SA"/>
            </w:rPr>
            <w:fldChar w:fldCharType="separate"/>
          </w: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_Toc18126 </w:instrText>
          </w:r>
          <w:r>
            <w:rPr>
              <w:rFonts w:hint="eastAsia" w:ascii="黑体" w:hAnsi="黑体" w:eastAsia="黑体" w:cs="黑体"/>
              <w:bCs/>
              <w:snapToGrid w:val="0"/>
              <w:spacing w:val="-8"/>
              <w:kern w:val="0"/>
              <w:szCs w:val="37"/>
              <w:lang w:val="en-US" w:eastAsia="en-US" w:bidi="ar-SA"/>
            </w:rPr>
            <w:fldChar w:fldCharType="separate"/>
          </w:r>
          <w:r>
            <w:rPr>
              <w:rFonts w:hint="eastAsia"/>
            </w:rPr>
            <w:t xml:space="preserve">第一章 </w:t>
          </w:r>
          <w:r>
            <w:rPr>
              <w:rFonts w:hint="eastAsia"/>
              <w:lang w:val="en-US" w:eastAsia="zh-CN"/>
            </w:rPr>
            <w:t>基本情况</w:t>
          </w:r>
          <w:r>
            <w:tab/>
          </w:r>
          <w:r>
            <w:fldChar w:fldCharType="begin"/>
          </w:r>
          <w:r>
            <w:instrText xml:space="preserve"> PAGEREF _Toc18126 \h </w:instrText>
          </w:r>
          <w:r>
            <w:fldChar w:fldCharType="separate"/>
          </w:r>
          <w:r>
            <w:t>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_Toc19934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第一节 区域概况</w:t>
          </w:r>
          <w:r>
            <w:tab/>
          </w:r>
          <w:r>
            <w:fldChar w:fldCharType="begin"/>
          </w:r>
          <w:r>
            <w:instrText xml:space="preserve"> PAGEREF _Toc19934 \h </w:instrText>
          </w:r>
          <w:r>
            <w:fldChar w:fldCharType="separate"/>
          </w:r>
          <w:r>
            <w:t>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_Toc22170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地理位置</w:t>
          </w:r>
          <w:r>
            <w:tab/>
          </w:r>
          <w:r>
            <w:fldChar w:fldCharType="begin"/>
          </w:r>
          <w:r>
            <w:instrText xml:space="preserve"> PAGEREF _Toc22170 \h </w:instrText>
          </w:r>
          <w:r>
            <w:fldChar w:fldCharType="separate"/>
          </w:r>
          <w:r>
            <w:t>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_Toc11470 </w:instrText>
          </w:r>
          <w:r>
            <w:rPr>
              <w:rFonts w:hint="eastAsia" w:ascii="黑体" w:hAnsi="黑体" w:eastAsia="黑体" w:cs="黑体"/>
              <w:bCs/>
              <w:snapToGrid w:val="0"/>
              <w:spacing w:val="-8"/>
              <w:kern w:val="0"/>
              <w:szCs w:val="37"/>
              <w:lang w:val="en-US" w:eastAsia="en-US" w:bidi="ar-SA"/>
            </w:rPr>
            <w:fldChar w:fldCharType="separate"/>
          </w:r>
          <w:r>
            <w:rPr>
              <w:rFonts w:hint="eastAsia" w:ascii="黑体" w:hAnsi="黑体" w:eastAsia="黑体" w:cs="黑体"/>
              <w:bCs/>
              <w:spacing w:val="-5"/>
              <w:szCs w:val="28"/>
              <w:lang w:val="en-US" w:eastAsia="zh-CN"/>
            </w:rPr>
            <w:t xml:space="preserve">二、 </w:t>
          </w:r>
          <w:r>
            <w:rPr>
              <w:rFonts w:hint="eastAsia"/>
              <w:lang w:val="en-US" w:eastAsia="zh-CN"/>
            </w:rPr>
            <w:t>地形地貌</w:t>
          </w:r>
          <w:r>
            <w:tab/>
          </w:r>
          <w:r>
            <w:fldChar w:fldCharType="begin"/>
          </w:r>
          <w:r>
            <w:instrText xml:space="preserve"> PAGEREF _Toc11470 \h </w:instrText>
          </w:r>
          <w:r>
            <w:fldChar w:fldCharType="separate"/>
          </w:r>
          <w:r>
            <w:t>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_Toc14949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三、 气候水文条件</w:t>
          </w:r>
          <w:r>
            <w:tab/>
          </w:r>
          <w:r>
            <w:fldChar w:fldCharType="begin"/>
          </w:r>
          <w:r>
            <w:instrText xml:space="preserve"> PAGEREF _Toc14949 \h </w:instrText>
          </w:r>
          <w:r>
            <w:fldChar w:fldCharType="separate"/>
          </w:r>
          <w:r>
            <w:t>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_Toc31928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四、 土壤</w:t>
          </w:r>
          <w:r>
            <w:tab/>
          </w:r>
          <w:r>
            <w:fldChar w:fldCharType="begin"/>
          </w:r>
          <w:r>
            <w:instrText xml:space="preserve"> PAGEREF _Toc31928 \h </w:instrText>
          </w:r>
          <w:r>
            <w:fldChar w:fldCharType="separate"/>
          </w:r>
          <w:r>
            <w:t>2</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_Toc24939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五、 植被</w:t>
          </w:r>
          <w:r>
            <w:tab/>
          </w:r>
          <w:r>
            <w:fldChar w:fldCharType="begin"/>
          </w:r>
          <w:r>
            <w:instrText xml:space="preserve"> PAGEREF _Toc24939 \h </w:instrText>
          </w:r>
          <w:r>
            <w:fldChar w:fldCharType="separate"/>
          </w:r>
          <w:r>
            <w:t>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_Toc10619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六、 野生动植物资源</w:t>
          </w:r>
          <w:r>
            <w:tab/>
          </w:r>
          <w:r>
            <w:fldChar w:fldCharType="begin"/>
          </w:r>
          <w:r>
            <w:instrText xml:space="preserve"> PAGEREF _Toc10619 \h </w:instrText>
          </w:r>
          <w:r>
            <w:fldChar w:fldCharType="separate"/>
          </w:r>
          <w:r>
            <w:t>4</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_Toc17212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第二节 森林资源现状</w:t>
          </w:r>
          <w:r>
            <w:tab/>
          </w:r>
          <w:r>
            <w:fldChar w:fldCharType="begin"/>
          </w:r>
          <w:r>
            <w:instrText xml:space="preserve"> PAGEREF _Toc17212 \h </w:instrText>
          </w:r>
          <w:r>
            <w:fldChar w:fldCharType="separate"/>
          </w:r>
          <w:r>
            <w:t>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_Toc25303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森林资源总体概况</w:t>
          </w:r>
          <w:r>
            <w:tab/>
          </w:r>
          <w:r>
            <w:fldChar w:fldCharType="begin"/>
          </w:r>
          <w:r>
            <w:instrText xml:space="preserve"> PAGEREF _Toc25303 \h </w:instrText>
          </w:r>
          <w:r>
            <w:fldChar w:fldCharType="separate"/>
          </w:r>
          <w:r>
            <w:t>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_Toc13662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天然林资源概况</w:t>
          </w:r>
          <w:r>
            <w:tab/>
          </w:r>
          <w:r>
            <w:fldChar w:fldCharType="begin"/>
          </w:r>
          <w:r>
            <w:instrText xml:space="preserve"> PAGEREF _Toc13662 \h </w:instrText>
          </w:r>
          <w:r>
            <w:fldChar w:fldCharType="separate"/>
          </w:r>
          <w:r>
            <w:t>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_Toc496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三、 非天然林资源概况</w:t>
          </w:r>
          <w:r>
            <w:tab/>
          </w:r>
          <w:r>
            <w:fldChar w:fldCharType="begin"/>
          </w:r>
          <w:r>
            <w:instrText xml:space="preserve"> PAGEREF _Toc496 \h </w:instrText>
          </w:r>
          <w:r>
            <w:fldChar w:fldCharType="separate"/>
          </w:r>
          <w:r>
            <w:t>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_Toc1847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第三节 保护修复基础</w:t>
          </w:r>
          <w:r>
            <w:tab/>
          </w:r>
          <w:r>
            <w:fldChar w:fldCharType="begin"/>
          </w:r>
          <w:r>
            <w:instrText xml:space="preserve"> PAGEREF _Toc1847 \h </w:instrText>
          </w:r>
          <w:r>
            <w:fldChar w:fldCharType="separate"/>
          </w:r>
          <w:r>
            <w:t>9</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_Toc20514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既有工作成效</w:t>
          </w:r>
          <w:r>
            <w:tab/>
          </w:r>
          <w:r>
            <w:fldChar w:fldCharType="begin"/>
          </w:r>
          <w:r>
            <w:instrText xml:space="preserve"> PAGEREF _Toc20514 \h </w:instrText>
          </w:r>
          <w:r>
            <w:fldChar w:fldCharType="separate"/>
          </w:r>
          <w:r>
            <w:t>9</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_Toc24080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现有管护能力</w:t>
          </w:r>
          <w:r>
            <w:tab/>
          </w:r>
          <w:r>
            <w:fldChar w:fldCharType="begin"/>
          </w:r>
          <w:r>
            <w:instrText xml:space="preserve"> PAGEREF _Toc24080 \h </w:instrText>
          </w:r>
          <w:r>
            <w:fldChar w:fldCharType="separate"/>
          </w:r>
          <w:r>
            <w:t>11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_Toc24935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 xml:space="preserve">第四节 </w:t>
          </w:r>
          <w:r>
            <w:rPr>
              <w:rFonts w:hint="default"/>
              <w:lang w:val="en-US" w:eastAsia="zh-CN"/>
            </w:rPr>
            <w:t>面临的形势与问题</w:t>
          </w:r>
          <w:r>
            <w:tab/>
          </w:r>
          <w:r>
            <w:fldChar w:fldCharType="begin"/>
          </w:r>
          <w:r>
            <w:instrText xml:space="preserve"> PAGEREF _Toc24935 \h </w:instrText>
          </w:r>
          <w:r>
            <w:fldChar w:fldCharType="separate"/>
          </w:r>
          <w:r>
            <w:t>14</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_Toc23155 </w:instrText>
          </w:r>
          <w:r>
            <w:rPr>
              <w:rFonts w:hint="eastAsia" w:ascii="黑体" w:hAnsi="黑体" w:eastAsia="黑体" w:cs="黑体"/>
              <w:bCs/>
              <w:snapToGrid w:val="0"/>
              <w:spacing w:val="-8"/>
              <w:kern w:val="0"/>
              <w:szCs w:val="37"/>
              <w:lang w:val="en-US" w:eastAsia="en-US" w:bidi="ar-SA"/>
            </w:rPr>
            <w:fldChar w:fldCharType="separate"/>
          </w:r>
          <w:r>
            <w:rPr>
              <w:rFonts w:hint="eastAsia"/>
              <w:snapToGrid/>
              <w:kern w:val="2"/>
              <w:lang w:val="en-US" w:eastAsia="zh-CN"/>
            </w:rPr>
            <w:t xml:space="preserve">一、 </w:t>
          </w:r>
          <w:r>
            <w:rPr>
              <w:rFonts w:hint="default"/>
              <w:snapToGrid/>
              <w:kern w:val="2"/>
              <w:lang w:val="en-US" w:eastAsia="zh-CN"/>
            </w:rPr>
            <w:t>面临形势</w:t>
          </w:r>
          <w:r>
            <w:tab/>
          </w:r>
          <w:r>
            <w:fldChar w:fldCharType="begin"/>
          </w:r>
          <w:r>
            <w:instrText xml:space="preserve"> PAGEREF _Toc23155 \h </w:instrText>
          </w:r>
          <w:r>
            <w:fldChar w:fldCharType="separate"/>
          </w:r>
          <w:r>
            <w:t>14</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_Toc1741 </w:instrText>
          </w:r>
          <w:r>
            <w:rPr>
              <w:rFonts w:hint="eastAsia" w:ascii="黑体" w:hAnsi="黑体" w:eastAsia="黑体" w:cs="黑体"/>
              <w:bCs/>
              <w:snapToGrid w:val="0"/>
              <w:spacing w:val="-8"/>
              <w:kern w:val="0"/>
              <w:szCs w:val="37"/>
              <w:lang w:val="en-US" w:eastAsia="en-US" w:bidi="ar-SA"/>
            </w:rPr>
            <w:fldChar w:fldCharType="separate"/>
          </w:r>
          <w:r>
            <w:rPr>
              <w:rFonts w:hint="eastAsia"/>
              <w:snapToGrid/>
              <w:kern w:val="2"/>
              <w:lang w:val="en-US" w:eastAsia="zh-CN"/>
            </w:rPr>
            <w:t xml:space="preserve">二、 </w:t>
          </w:r>
          <w:r>
            <w:rPr>
              <w:rFonts w:hint="default"/>
              <w:snapToGrid/>
              <w:kern w:val="2"/>
              <w:lang w:val="en-US" w:eastAsia="zh-CN"/>
            </w:rPr>
            <w:t>主要问题及对策</w:t>
          </w:r>
          <w:r>
            <w:tab/>
          </w:r>
          <w:r>
            <w:fldChar w:fldCharType="begin"/>
          </w:r>
          <w:r>
            <w:instrText xml:space="preserve"> PAGEREF _Toc1741 \h </w:instrText>
          </w:r>
          <w:r>
            <w:fldChar w:fldCharType="separate"/>
          </w:r>
          <w:r>
            <w:t>15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1"/>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_Toc6449 </w:instrText>
          </w:r>
          <w:r>
            <w:rPr>
              <w:rFonts w:hint="eastAsia" w:ascii="黑体" w:hAnsi="黑体" w:eastAsia="黑体" w:cs="黑体"/>
              <w:bCs/>
              <w:snapToGrid w:val="0"/>
              <w:spacing w:val="-8"/>
              <w:kern w:val="0"/>
              <w:szCs w:val="37"/>
              <w:lang w:val="en-US" w:eastAsia="en-US" w:bidi="ar-SA"/>
            </w:rPr>
            <w:fldChar w:fldCharType="separate"/>
          </w:r>
          <w:r>
            <w:rPr>
              <w:rFonts w:hint="eastAsia"/>
            </w:rPr>
            <w:t>第</w:t>
          </w:r>
          <w:r>
            <w:rPr>
              <w:rFonts w:hint="eastAsia"/>
              <w:lang w:val="en-US" w:eastAsia="zh-CN"/>
            </w:rPr>
            <w:t>二</w:t>
          </w:r>
          <w:r>
            <w:rPr>
              <w:rFonts w:hint="eastAsia"/>
            </w:rPr>
            <w:t xml:space="preserve">章 </w:t>
          </w:r>
          <w:r>
            <w:rPr>
              <w:rFonts w:hint="eastAsia"/>
              <w:lang w:val="en-US" w:eastAsia="zh-CN"/>
            </w:rPr>
            <w:t>总体要求</w:t>
          </w:r>
          <w:r>
            <w:tab/>
          </w:r>
          <w:r>
            <w:fldChar w:fldCharType="begin"/>
          </w:r>
          <w:r>
            <w:instrText xml:space="preserve"> PAGEREF _Toc6449 \h </w:instrText>
          </w:r>
          <w:r>
            <w:fldChar w:fldCharType="separate"/>
          </w:r>
          <w:r>
            <w:t>21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_Toc16859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第一节 指导思想</w:t>
          </w:r>
          <w:r>
            <w:tab/>
          </w:r>
          <w:r>
            <w:fldChar w:fldCharType="begin"/>
          </w:r>
          <w:r>
            <w:instrText xml:space="preserve"> PAGEREF _Toc16859 \h </w:instrText>
          </w:r>
          <w:r>
            <w:fldChar w:fldCharType="separate"/>
          </w:r>
          <w:r>
            <w:t>21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_Toc30158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第二节 基本原则</w:t>
          </w:r>
          <w:r>
            <w:tab/>
          </w:r>
          <w:r>
            <w:fldChar w:fldCharType="begin"/>
          </w:r>
          <w:r>
            <w:instrText xml:space="preserve"> PAGEREF _Toc30158 \h </w:instrText>
          </w:r>
          <w:r>
            <w:fldChar w:fldCharType="separate"/>
          </w:r>
          <w:r>
            <w:t>21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_Toc10192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第三节 编制依据</w:t>
          </w:r>
          <w:r>
            <w:tab/>
          </w:r>
          <w:r>
            <w:fldChar w:fldCharType="begin"/>
          </w:r>
          <w:r>
            <w:instrText xml:space="preserve"> PAGEREF _Toc10192 \h </w:instrText>
          </w:r>
          <w:r>
            <w:fldChar w:fldCharType="separate"/>
          </w:r>
          <w:r>
            <w:t>23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_Toc24876 </w:instrText>
          </w:r>
          <w:r>
            <w:rPr>
              <w:rFonts w:hint="eastAsia" w:ascii="黑体" w:hAnsi="黑体" w:eastAsia="黑体" w:cs="黑体"/>
              <w:bCs/>
              <w:snapToGrid w:val="0"/>
              <w:spacing w:val="-8"/>
              <w:kern w:val="0"/>
              <w:szCs w:val="37"/>
              <w:lang w:val="en-US" w:eastAsia="en-US" w:bidi="ar-SA"/>
            </w:rPr>
            <w:fldChar w:fldCharType="separate"/>
          </w:r>
          <w:r>
            <w:rPr>
              <w:rFonts w:hint="eastAsia"/>
              <w:snapToGrid/>
              <w:kern w:val="2"/>
              <w:lang w:val="en-US" w:eastAsia="zh-CN"/>
            </w:rPr>
            <w:t>一、 法律法规</w:t>
          </w:r>
          <w:r>
            <w:tab/>
          </w:r>
          <w:r>
            <w:fldChar w:fldCharType="begin"/>
          </w:r>
          <w:r>
            <w:instrText xml:space="preserve"> PAGEREF _Toc24876 \h </w:instrText>
          </w:r>
          <w:r>
            <w:fldChar w:fldCharType="separate"/>
          </w:r>
          <w:r>
            <w:t>23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_Toc23582 </w:instrText>
          </w:r>
          <w:r>
            <w:rPr>
              <w:rFonts w:hint="eastAsia" w:ascii="黑体" w:hAnsi="黑体" w:eastAsia="黑体" w:cs="黑体"/>
              <w:bCs/>
              <w:snapToGrid w:val="0"/>
              <w:spacing w:val="-8"/>
              <w:kern w:val="0"/>
              <w:szCs w:val="37"/>
              <w:lang w:val="en-US" w:eastAsia="en-US" w:bidi="ar-SA"/>
            </w:rPr>
            <w:fldChar w:fldCharType="separate"/>
          </w:r>
          <w:r>
            <w:rPr>
              <w:rFonts w:hint="eastAsia"/>
              <w:snapToGrid/>
              <w:kern w:val="2"/>
              <w:lang w:val="en-US" w:eastAsia="zh-CN"/>
            </w:rPr>
            <w:t>二、 自治区政策文件</w:t>
          </w:r>
          <w:r>
            <w:tab/>
          </w:r>
          <w:r>
            <w:fldChar w:fldCharType="begin"/>
          </w:r>
          <w:r>
            <w:instrText xml:space="preserve"> PAGEREF _Toc23582 \h </w:instrText>
          </w:r>
          <w:r>
            <w:fldChar w:fldCharType="separate"/>
          </w:r>
          <w:r>
            <w:t>23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_Toc30377 </w:instrText>
          </w:r>
          <w:r>
            <w:rPr>
              <w:rFonts w:hint="eastAsia" w:ascii="黑体" w:hAnsi="黑体" w:eastAsia="黑体" w:cs="黑体"/>
              <w:bCs/>
              <w:snapToGrid w:val="0"/>
              <w:spacing w:val="-8"/>
              <w:kern w:val="0"/>
              <w:szCs w:val="37"/>
              <w:lang w:val="en-US" w:eastAsia="en-US" w:bidi="ar-SA"/>
            </w:rPr>
            <w:fldChar w:fldCharType="separate"/>
          </w:r>
          <w:r>
            <w:rPr>
              <w:rFonts w:hint="eastAsia"/>
              <w:snapToGrid/>
              <w:kern w:val="2"/>
              <w:lang w:val="en-US" w:eastAsia="zh-CN"/>
            </w:rPr>
            <w:t>三、 规划纲要</w:t>
          </w:r>
          <w:r>
            <w:tab/>
          </w:r>
          <w:r>
            <w:fldChar w:fldCharType="begin"/>
          </w:r>
          <w:r>
            <w:instrText xml:space="preserve"> PAGEREF _Toc30377 \h </w:instrText>
          </w:r>
          <w:r>
            <w:fldChar w:fldCharType="separate"/>
          </w:r>
          <w:r>
            <w:t>24</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_Toc17304 </w:instrText>
          </w:r>
          <w:r>
            <w:rPr>
              <w:rFonts w:hint="eastAsia" w:ascii="黑体" w:hAnsi="黑体" w:eastAsia="黑体" w:cs="黑体"/>
              <w:bCs/>
              <w:snapToGrid w:val="0"/>
              <w:spacing w:val="-8"/>
              <w:kern w:val="0"/>
              <w:szCs w:val="37"/>
              <w:lang w:val="en-US" w:eastAsia="en-US" w:bidi="ar-SA"/>
            </w:rPr>
            <w:fldChar w:fldCharType="separate"/>
          </w:r>
          <w:r>
            <w:rPr>
              <w:rFonts w:hint="eastAsia"/>
              <w:snapToGrid/>
              <w:kern w:val="2"/>
              <w:lang w:val="en-US" w:eastAsia="zh-CN"/>
            </w:rPr>
            <w:t>四、 标准规范</w:t>
          </w:r>
          <w:r>
            <w:tab/>
          </w:r>
          <w:r>
            <w:fldChar w:fldCharType="begin"/>
          </w:r>
          <w:r>
            <w:instrText xml:space="preserve"> PAGEREF _Toc17304 \h </w:instrText>
          </w:r>
          <w:r>
            <w:fldChar w:fldCharType="separate"/>
          </w:r>
          <w:r>
            <w:t>25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_Toc2826 </w:instrText>
          </w:r>
          <w:r>
            <w:rPr>
              <w:rFonts w:hint="eastAsia" w:ascii="黑体" w:hAnsi="黑体" w:eastAsia="黑体" w:cs="黑体"/>
              <w:bCs/>
              <w:snapToGrid w:val="0"/>
              <w:spacing w:val="-8"/>
              <w:kern w:val="0"/>
              <w:szCs w:val="37"/>
              <w:lang w:val="en-US" w:eastAsia="en-US" w:bidi="ar-SA"/>
            </w:rPr>
            <w:fldChar w:fldCharType="separate"/>
          </w:r>
          <w:r>
            <w:rPr>
              <w:rFonts w:hint="eastAsia"/>
              <w:snapToGrid/>
              <w:kern w:val="2"/>
              <w:lang w:val="en-US" w:eastAsia="zh-CN"/>
            </w:rPr>
            <w:t>五、 其他</w:t>
          </w:r>
          <w:r>
            <w:tab/>
          </w:r>
          <w:r>
            <w:fldChar w:fldCharType="begin"/>
          </w:r>
          <w:r>
            <w:instrText xml:space="preserve"> PAGEREF _Toc2826 \h </w:instrText>
          </w:r>
          <w:r>
            <w:fldChar w:fldCharType="separate"/>
          </w:r>
          <w:r>
            <w:t>25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_Toc24102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第四节 范围期限</w:t>
          </w:r>
          <w:r>
            <w:tab/>
          </w:r>
          <w:r>
            <w:fldChar w:fldCharType="begin"/>
          </w:r>
          <w:r>
            <w:instrText xml:space="preserve"> PAGEREF _Toc24102 \h </w:instrText>
          </w:r>
          <w:r>
            <w:fldChar w:fldCharType="separate"/>
          </w:r>
          <w:r>
            <w:t>25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_Toc3052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范围</w:t>
          </w:r>
          <w:r>
            <w:tab/>
          </w:r>
          <w:r>
            <w:fldChar w:fldCharType="begin"/>
          </w:r>
          <w:r>
            <w:instrText xml:space="preserve"> PAGEREF _Toc3052 \h </w:instrText>
          </w:r>
          <w:r>
            <w:fldChar w:fldCharType="separate"/>
          </w:r>
          <w:r>
            <w:t>25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_Toc25340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期限</w:t>
          </w:r>
          <w:r>
            <w:tab/>
          </w:r>
          <w:r>
            <w:fldChar w:fldCharType="begin"/>
          </w:r>
          <w:r>
            <w:instrText xml:space="preserve"> PAGEREF _Toc25340 \h </w:instrText>
          </w:r>
          <w:r>
            <w:fldChar w:fldCharType="separate"/>
          </w:r>
          <w:r>
            <w:t>25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_Toc31635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第五节 目标任务</w:t>
          </w:r>
          <w:r>
            <w:tab/>
          </w:r>
          <w:r>
            <w:fldChar w:fldCharType="begin"/>
          </w:r>
          <w:r>
            <w:instrText xml:space="preserve"> PAGEREF _Toc31635 \h </w:instrText>
          </w:r>
          <w:r>
            <w:fldChar w:fldCharType="separate"/>
          </w:r>
          <w:r>
            <w:t>26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_Toc23463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方案目标</w:t>
          </w:r>
          <w:r>
            <w:tab/>
          </w:r>
          <w:r>
            <w:fldChar w:fldCharType="begin"/>
          </w:r>
          <w:r>
            <w:instrText xml:space="preserve"> PAGEREF _Toc23463 \h </w:instrText>
          </w:r>
          <w:r>
            <w:fldChar w:fldCharType="separate"/>
          </w:r>
          <w:r>
            <w:t>26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_Toc29771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主要任务</w:t>
          </w:r>
          <w:r>
            <w:tab/>
          </w:r>
          <w:r>
            <w:fldChar w:fldCharType="begin"/>
          </w:r>
          <w:r>
            <w:instrText xml:space="preserve"> PAGEREF _Toc29771 \h </w:instrText>
          </w:r>
          <w:r>
            <w:fldChar w:fldCharType="separate"/>
          </w:r>
          <w:r>
            <w:t>27</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1"/>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_Toc7282 </w:instrText>
          </w:r>
          <w:r>
            <w:rPr>
              <w:rFonts w:hint="eastAsia" w:ascii="黑体" w:hAnsi="黑体" w:eastAsia="黑体" w:cs="黑体"/>
              <w:bCs/>
              <w:snapToGrid w:val="0"/>
              <w:spacing w:val="-8"/>
              <w:kern w:val="0"/>
              <w:szCs w:val="37"/>
              <w:lang w:val="en-US" w:eastAsia="en-US" w:bidi="ar-SA"/>
            </w:rPr>
            <w:fldChar w:fldCharType="separate"/>
          </w:r>
          <w:r>
            <w:rPr>
              <w:rFonts w:hint="eastAsia"/>
            </w:rPr>
            <w:t>第</w:t>
          </w:r>
          <w:r>
            <w:rPr>
              <w:rFonts w:hint="eastAsia"/>
              <w:lang w:val="en-US" w:eastAsia="zh-CN"/>
            </w:rPr>
            <w:t>三</w:t>
          </w:r>
          <w:r>
            <w:rPr>
              <w:rFonts w:hint="eastAsia"/>
            </w:rPr>
            <w:t xml:space="preserve">章 </w:t>
          </w:r>
          <w:r>
            <w:rPr>
              <w:rFonts w:hint="eastAsia"/>
              <w:lang w:val="en-US" w:eastAsia="zh-CN"/>
            </w:rPr>
            <w:t>保护修复布局</w:t>
          </w:r>
          <w:r>
            <w:tab/>
          </w:r>
          <w:r>
            <w:fldChar w:fldCharType="begin"/>
          </w:r>
          <w:r>
            <w:instrText xml:space="preserve"> PAGEREF _Toc7282 \h </w:instrText>
          </w:r>
          <w:r>
            <w:fldChar w:fldCharType="separate"/>
          </w:r>
          <w:r>
            <w:t>30</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_Toc14263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第一节 分类管控</w:t>
          </w:r>
          <w:r>
            <w:tab/>
          </w:r>
          <w:r>
            <w:fldChar w:fldCharType="begin"/>
          </w:r>
          <w:r>
            <w:instrText xml:space="preserve"> PAGEREF _Toc14263 \h </w:instrText>
          </w:r>
          <w:r>
            <w:fldChar w:fldCharType="separate"/>
          </w:r>
          <w:r>
            <w:t>30</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_Toc11496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一般保护区域</w:t>
          </w:r>
          <w:r>
            <w:tab/>
          </w:r>
          <w:r>
            <w:fldChar w:fldCharType="begin"/>
          </w:r>
          <w:r>
            <w:instrText xml:space="preserve"> PAGEREF _Toc11496 \h </w:instrText>
          </w:r>
          <w:r>
            <w:fldChar w:fldCharType="separate"/>
          </w:r>
          <w:r>
            <w:t>30</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_Toc12744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第二节 分区修复</w:t>
          </w:r>
          <w:r>
            <w:tab/>
          </w:r>
          <w:r>
            <w:fldChar w:fldCharType="begin"/>
          </w:r>
          <w:r>
            <w:instrText xml:space="preserve"> PAGEREF _Toc12744 \h </w:instrText>
          </w:r>
          <w:r>
            <w:fldChar w:fldCharType="separate"/>
          </w:r>
          <w:r>
            <w:t>32</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_Toc2435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伊吾县东天山北坡保护修复小区</w:t>
          </w:r>
          <w:r>
            <w:tab/>
          </w:r>
          <w:r>
            <w:fldChar w:fldCharType="begin"/>
          </w:r>
          <w:r>
            <w:instrText xml:space="preserve"> PAGEREF _Toc2435 \h </w:instrText>
          </w:r>
          <w:r>
            <w:fldChar w:fldCharType="separate"/>
          </w:r>
          <w:r>
            <w:t>32</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_Toc21549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伊吾县河谷盆地保护修复小区</w:t>
          </w:r>
          <w:r>
            <w:tab/>
          </w:r>
          <w:r>
            <w:fldChar w:fldCharType="begin"/>
          </w:r>
          <w:r>
            <w:instrText xml:space="preserve"> PAGEREF _Toc21549 \h </w:instrText>
          </w:r>
          <w:r>
            <w:fldChar w:fldCharType="separate"/>
          </w:r>
          <w:r>
            <w:t>33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_Toc12239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三、 伊吾县诺敏戈壁保护修复小区</w:t>
          </w:r>
          <w:r>
            <w:tab/>
          </w:r>
          <w:r>
            <w:fldChar w:fldCharType="begin"/>
          </w:r>
          <w:r>
            <w:instrText xml:space="preserve"> PAGEREF _Toc12239 \h </w:instrText>
          </w:r>
          <w:r>
            <w:fldChar w:fldCharType="separate"/>
          </w:r>
          <w:r>
            <w:t>35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1"/>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_Toc5753 </w:instrText>
          </w:r>
          <w:r>
            <w:rPr>
              <w:rFonts w:hint="eastAsia" w:ascii="黑体" w:hAnsi="黑体" w:eastAsia="黑体" w:cs="黑体"/>
              <w:bCs/>
              <w:snapToGrid w:val="0"/>
              <w:spacing w:val="-8"/>
              <w:kern w:val="0"/>
              <w:szCs w:val="37"/>
              <w:lang w:val="en-US" w:eastAsia="en-US" w:bidi="ar-SA"/>
            </w:rPr>
            <w:fldChar w:fldCharType="separate"/>
          </w:r>
          <w:r>
            <w:rPr>
              <w:rFonts w:hint="eastAsia"/>
            </w:rPr>
            <w:t>第</w:t>
          </w:r>
          <w:r>
            <w:rPr>
              <w:rFonts w:hint="eastAsia"/>
              <w:lang w:val="en-US" w:eastAsia="zh-CN"/>
            </w:rPr>
            <w:t>四</w:t>
          </w:r>
          <w:r>
            <w:rPr>
              <w:rFonts w:hint="eastAsia"/>
            </w:rPr>
            <w:t xml:space="preserve">章 </w:t>
          </w:r>
          <w:r>
            <w:rPr>
              <w:rFonts w:hint="eastAsia"/>
              <w:lang w:val="en-US" w:eastAsia="zh-CN"/>
            </w:rPr>
            <w:t>科学保护</w:t>
          </w:r>
          <w:r>
            <w:tab/>
          </w:r>
          <w:r>
            <w:fldChar w:fldCharType="begin"/>
          </w:r>
          <w:r>
            <w:instrText xml:space="preserve"> PAGEREF _Toc5753 \h </w:instrText>
          </w:r>
          <w:r>
            <w:fldChar w:fldCharType="separate"/>
          </w:r>
          <w:r>
            <w:t>38</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_Toc12412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第一节 现状评价</w:t>
          </w:r>
          <w:r>
            <w:tab/>
          </w:r>
          <w:r>
            <w:fldChar w:fldCharType="begin"/>
          </w:r>
          <w:r>
            <w:instrText xml:space="preserve"> PAGEREF _Toc12412 \h </w:instrText>
          </w:r>
          <w:r>
            <w:fldChar w:fldCharType="separate"/>
          </w:r>
          <w:r>
            <w:t>38</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_Toc2138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第二节 资源保护</w:t>
          </w:r>
          <w:r>
            <w:tab/>
          </w:r>
          <w:r>
            <w:fldChar w:fldCharType="begin"/>
          </w:r>
          <w:r>
            <w:instrText xml:space="preserve"> PAGEREF _Toc2138 \h </w:instrText>
          </w:r>
          <w:r>
            <w:fldChar w:fldCharType="separate"/>
          </w:r>
          <w:r>
            <w:t>38</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_Toc7997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森林防火体系优化</w:t>
          </w:r>
          <w:r>
            <w:tab/>
          </w:r>
          <w:r>
            <w:fldChar w:fldCharType="begin"/>
          </w:r>
          <w:r>
            <w:instrText xml:space="preserve"> PAGEREF _Toc7997 \h </w:instrText>
          </w:r>
          <w:r>
            <w:fldChar w:fldCharType="separate"/>
          </w:r>
          <w:r>
            <w:t>38</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_Toc3724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有害生物综合防控</w:t>
          </w:r>
          <w:r>
            <w:tab/>
          </w:r>
          <w:r>
            <w:fldChar w:fldCharType="begin"/>
          </w:r>
          <w:r>
            <w:instrText xml:space="preserve"> PAGEREF _Toc3724 \h </w:instrText>
          </w:r>
          <w:r>
            <w:fldChar w:fldCharType="separate"/>
          </w:r>
          <w:r>
            <w:t>39</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_Toc13927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三、 生物多样性系统保护</w:t>
          </w:r>
          <w:r>
            <w:tab/>
          </w:r>
          <w:r>
            <w:fldChar w:fldCharType="begin"/>
          </w:r>
          <w:r>
            <w:instrText xml:space="preserve"> PAGEREF _Toc13927 \h </w:instrText>
          </w:r>
          <w:r>
            <w:fldChar w:fldCharType="separate"/>
          </w:r>
          <w:r>
            <w:t>40</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_Toc26740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四、 林地生产力系统维护</w:t>
          </w:r>
          <w:r>
            <w:tab/>
          </w:r>
          <w:r>
            <w:fldChar w:fldCharType="begin"/>
          </w:r>
          <w:r>
            <w:instrText xml:space="preserve"> PAGEREF _Toc26740 \h </w:instrText>
          </w:r>
          <w:r>
            <w:fldChar w:fldCharType="separate"/>
          </w:r>
          <w:r>
            <w:t>41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_Toc29858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第三节 全面管护</w:t>
          </w:r>
          <w:r>
            <w:tab/>
          </w:r>
          <w:r>
            <w:fldChar w:fldCharType="begin"/>
          </w:r>
          <w:r>
            <w:instrText xml:space="preserve"> PAGEREF _Toc29858 \h </w:instrText>
          </w:r>
          <w:r>
            <w:fldChar w:fldCharType="separate"/>
          </w:r>
          <w:r>
            <w:t>43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_Toc19336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管护任务统筹</w:t>
          </w:r>
          <w:r>
            <w:tab/>
          </w:r>
          <w:r>
            <w:fldChar w:fldCharType="begin"/>
          </w:r>
          <w:r>
            <w:instrText xml:space="preserve"> PAGEREF _Toc19336 \h </w:instrText>
          </w:r>
          <w:r>
            <w:fldChar w:fldCharType="separate"/>
          </w:r>
          <w:r>
            <w:t>43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_Toc27961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管护责任落实</w:t>
          </w:r>
          <w:r>
            <w:tab/>
          </w:r>
          <w:r>
            <w:fldChar w:fldCharType="begin"/>
          </w:r>
          <w:r>
            <w:instrText xml:space="preserve"> PAGEREF _Toc27961 \h </w:instrText>
          </w:r>
          <w:r>
            <w:fldChar w:fldCharType="separate"/>
          </w:r>
          <w:r>
            <w:t>44</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_Toc2791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三、 管护能力提升</w:t>
          </w:r>
          <w:r>
            <w:tab/>
          </w:r>
          <w:r>
            <w:fldChar w:fldCharType="begin"/>
          </w:r>
          <w:r>
            <w:instrText xml:space="preserve"> PAGEREF _Toc2791 \h </w:instrText>
          </w:r>
          <w:r>
            <w:fldChar w:fldCharType="separate"/>
          </w:r>
          <w:r>
            <w:t>44</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1"/>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_Toc1992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第五章 林区转型发展</w:t>
          </w:r>
          <w:r>
            <w:tab/>
          </w:r>
          <w:r>
            <w:fldChar w:fldCharType="begin"/>
          </w:r>
          <w:r>
            <w:instrText xml:space="preserve"> PAGEREF _Toc1992 \h </w:instrText>
          </w:r>
          <w:r>
            <w:fldChar w:fldCharType="separate"/>
          </w:r>
          <w:r>
            <w:t>47</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_Toc13525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第一节 民生保障</w:t>
          </w:r>
          <w:r>
            <w:tab/>
          </w:r>
          <w:r>
            <w:fldChar w:fldCharType="begin"/>
          </w:r>
          <w:r>
            <w:instrText xml:space="preserve"> PAGEREF _Toc13525 \h </w:instrText>
          </w:r>
          <w:r>
            <w:fldChar w:fldCharType="separate"/>
          </w:r>
          <w:r>
            <w:t>47</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_Toc4685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现状</w:t>
          </w:r>
          <w:r>
            <w:tab/>
          </w:r>
          <w:r>
            <w:fldChar w:fldCharType="begin"/>
          </w:r>
          <w:r>
            <w:instrText xml:space="preserve"> PAGEREF _Toc4685 \h </w:instrText>
          </w:r>
          <w:r>
            <w:fldChar w:fldCharType="separate"/>
          </w:r>
          <w:r>
            <w:t>47</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_Toc7416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职工就业</w:t>
          </w:r>
          <w:r>
            <w:tab/>
          </w:r>
          <w:r>
            <w:fldChar w:fldCharType="begin"/>
          </w:r>
          <w:r>
            <w:instrText xml:space="preserve"> PAGEREF _Toc7416 \h </w:instrText>
          </w:r>
          <w:r>
            <w:fldChar w:fldCharType="separate"/>
          </w:r>
          <w:r>
            <w:t>48</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_Toc24819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三、 运行管理</w:t>
          </w:r>
          <w:r>
            <w:tab/>
          </w:r>
          <w:r>
            <w:fldChar w:fldCharType="begin"/>
          </w:r>
          <w:r>
            <w:instrText xml:space="preserve"> PAGEREF _Toc24819 \h </w:instrText>
          </w:r>
          <w:r>
            <w:fldChar w:fldCharType="separate"/>
          </w:r>
          <w:r>
            <w:t>49</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_Toc16767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第二节 转型发展</w:t>
          </w:r>
          <w:r>
            <w:tab/>
          </w:r>
          <w:r>
            <w:fldChar w:fldCharType="begin"/>
          </w:r>
          <w:r>
            <w:instrText xml:space="preserve"> PAGEREF _Toc16767 \h </w:instrText>
          </w:r>
          <w:r>
            <w:fldChar w:fldCharType="separate"/>
          </w:r>
          <w:r>
            <w:t>51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1"/>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_Toc20753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第六章 投资估算与资金筹措</w:t>
          </w:r>
          <w:r>
            <w:tab/>
          </w:r>
          <w:r>
            <w:fldChar w:fldCharType="begin"/>
          </w:r>
          <w:r>
            <w:instrText xml:space="preserve"> PAGEREF _Toc20753 \h </w:instrText>
          </w:r>
          <w:r>
            <w:fldChar w:fldCharType="separate"/>
          </w:r>
          <w:r>
            <w:t>53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_Toc10920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第一节 投资估算依据</w:t>
          </w:r>
          <w:r>
            <w:tab/>
          </w:r>
          <w:r>
            <w:fldChar w:fldCharType="begin"/>
          </w:r>
          <w:r>
            <w:instrText xml:space="preserve"> PAGEREF _Toc10920 \h </w:instrText>
          </w:r>
          <w:r>
            <w:fldChar w:fldCharType="separate"/>
          </w:r>
          <w:r>
            <w:t>53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_Toc28972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估算依据</w:t>
          </w:r>
          <w:r>
            <w:tab/>
          </w:r>
          <w:r>
            <w:fldChar w:fldCharType="begin"/>
          </w:r>
          <w:r>
            <w:instrText xml:space="preserve"> PAGEREF _Toc28972 \h </w:instrText>
          </w:r>
          <w:r>
            <w:fldChar w:fldCharType="separate"/>
          </w:r>
          <w:r>
            <w:t>53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_Toc7991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估算原则</w:t>
          </w:r>
          <w:r>
            <w:tab/>
          </w:r>
          <w:r>
            <w:fldChar w:fldCharType="begin"/>
          </w:r>
          <w:r>
            <w:instrText xml:space="preserve"> PAGEREF _Toc7991 \h </w:instrText>
          </w:r>
          <w:r>
            <w:fldChar w:fldCharType="separate"/>
          </w:r>
          <w:r>
            <w:t>53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_Toc24064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第二节 投资估算</w:t>
          </w:r>
          <w:r>
            <w:tab/>
          </w:r>
          <w:r>
            <w:fldChar w:fldCharType="begin"/>
          </w:r>
          <w:r>
            <w:instrText xml:space="preserve"> PAGEREF _Toc24064 \h </w:instrText>
          </w:r>
          <w:r>
            <w:fldChar w:fldCharType="separate"/>
          </w:r>
          <w:r>
            <w:t>53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_Toc7643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投资总规模</w:t>
          </w:r>
          <w:r>
            <w:tab/>
          </w:r>
          <w:r>
            <w:fldChar w:fldCharType="begin"/>
          </w:r>
          <w:r>
            <w:instrText xml:space="preserve"> PAGEREF _Toc7643 \h </w:instrText>
          </w:r>
          <w:r>
            <w:fldChar w:fldCharType="separate"/>
          </w:r>
          <w:r>
            <w:t>53</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_Toc9434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投资构成</w:t>
          </w:r>
          <w:r>
            <w:tab/>
          </w:r>
          <w:r>
            <w:fldChar w:fldCharType="begin"/>
          </w:r>
          <w:r>
            <w:instrText xml:space="preserve"> PAGEREF _Toc9434 \h </w:instrText>
          </w:r>
          <w:r>
            <w:fldChar w:fldCharType="separate"/>
          </w:r>
          <w:r>
            <w:t>55</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_Toc19099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第三节 保护修复投资估算</w:t>
          </w:r>
          <w:r>
            <w:tab/>
          </w:r>
          <w:r>
            <w:fldChar w:fldCharType="begin"/>
          </w:r>
          <w:r>
            <w:instrText xml:space="preserve"> PAGEREF _Toc19099 \h </w:instrText>
          </w:r>
          <w:r>
            <w:fldChar w:fldCharType="separate"/>
          </w:r>
          <w:r>
            <w:t>56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_Toc15824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保护投资总体情况</w:t>
          </w:r>
          <w:r>
            <w:tab/>
          </w:r>
          <w:r>
            <w:fldChar w:fldCharType="begin"/>
          </w:r>
          <w:r>
            <w:instrText xml:space="preserve"> PAGEREF _Toc15824 \h </w:instrText>
          </w:r>
          <w:r>
            <w:fldChar w:fldCharType="separate"/>
          </w:r>
          <w:r>
            <w:t>56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_Toc14521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修复投资总体情况</w:t>
          </w:r>
          <w:r>
            <w:tab/>
          </w:r>
          <w:r>
            <w:fldChar w:fldCharType="begin"/>
          </w:r>
          <w:r>
            <w:instrText xml:space="preserve"> PAGEREF _Toc14521 \h </w:instrText>
          </w:r>
          <w:r>
            <w:fldChar w:fldCharType="separate"/>
          </w:r>
          <w:r>
            <w:t>56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2"/>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_Toc1170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第四节 资金筹措</w:t>
          </w:r>
          <w:r>
            <w:tab/>
          </w:r>
          <w:r>
            <w:fldChar w:fldCharType="begin"/>
          </w:r>
          <w:r>
            <w:instrText xml:space="preserve"> PAGEREF _Toc1170 \h </w:instrText>
          </w:r>
          <w:r>
            <w:fldChar w:fldCharType="separate"/>
          </w:r>
          <w:r>
            <w:t>56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_Toc31927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资金来源</w:t>
          </w:r>
          <w:r>
            <w:tab/>
          </w:r>
          <w:r>
            <w:fldChar w:fldCharType="begin"/>
          </w:r>
          <w:r>
            <w:instrText xml:space="preserve"> PAGEREF _Toc31927 \h </w:instrText>
          </w:r>
          <w:r>
            <w:fldChar w:fldCharType="separate"/>
          </w:r>
          <w:r>
            <w:t>56</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11"/>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_Toc3308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第七章 支撑保障</w:t>
          </w:r>
          <w:r>
            <w:tab/>
          </w:r>
          <w:r>
            <w:fldChar w:fldCharType="begin"/>
          </w:r>
          <w:r>
            <w:instrText xml:space="preserve"> PAGEREF _Toc3308 \h </w:instrText>
          </w:r>
          <w:r>
            <w:fldChar w:fldCharType="separate"/>
          </w:r>
          <w:r>
            <w:t>57</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_Toc3925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一、 加强组织领导</w:t>
          </w:r>
          <w:r>
            <w:tab/>
          </w:r>
          <w:r>
            <w:fldChar w:fldCharType="begin"/>
          </w:r>
          <w:r>
            <w:instrText xml:space="preserve"> PAGEREF _Toc3925 \h </w:instrText>
          </w:r>
          <w:r>
            <w:fldChar w:fldCharType="separate"/>
          </w:r>
          <w:r>
            <w:t>57</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_Toc22576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二、 强化资金保障</w:t>
          </w:r>
          <w:r>
            <w:tab/>
          </w:r>
          <w:r>
            <w:fldChar w:fldCharType="begin"/>
          </w:r>
          <w:r>
            <w:instrText xml:space="preserve"> PAGEREF _Toc22576 \h </w:instrText>
          </w:r>
          <w:r>
            <w:fldChar w:fldCharType="separate"/>
          </w:r>
          <w:r>
            <w:t>57</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_Toc4555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三、 健全制度体系</w:t>
          </w:r>
          <w:r>
            <w:tab/>
          </w:r>
          <w:r>
            <w:fldChar w:fldCharType="begin"/>
          </w:r>
          <w:r>
            <w:instrText xml:space="preserve"> PAGEREF _Toc4555 \h </w:instrText>
          </w:r>
          <w:r>
            <w:fldChar w:fldCharType="separate"/>
          </w:r>
          <w:r>
            <w:t>58</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_Toc23332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四、 加大科技支撑</w:t>
          </w:r>
          <w:r>
            <w:tab/>
          </w:r>
          <w:r>
            <w:fldChar w:fldCharType="begin"/>
          </w:r>
          <w:r>
            <w:instrText xml:space="preserve"> PAGEREF _Toc23332 \h </w:instrText>
          </w:r>
          <w:r>
            <w:fldChar w:fldCharType="separate"/>
          </w:r>
          <w:r>
            <w:t>59</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pStyle w:val="8"/>
            <w:tabs>
              <w:tab w:val="right" w:leader="dot" w:pos="8306"/>
            </w:tabs>
          </w:pPr>
          <w:r>
            <w:rPr>
              <w:rFonts w:hint="eastAsia" w:ascii="黑体" w:hAnsi="黑体" w:eastAsia="黑体" w:cs="黑体"/>
              <w:bCs/>
              <w:snapToGrid w:val="0"/>
              <w:color w:val="000000"/>
              <w:spacing w:val="-8"/>
              <w:kern w:val="0"/>
              <w:szCs w:val="37"/>
              <w:lang w:val="en-US" w:eastAsia="en-US" w:bidi="ar-SA"/>
            </w:rPr>
            <w:fldChar w:fldCharType="begin"/>
          </w:r>
          <w:r>
            <w:rPr>
              <w:rFonts w:hint="eastAsia" w:ascii="黑体" w:hAnsi="黑体" w:eastAsia="黑体" w:cs="黑体"/>
              <w:bCs/>
              <w:snapToGrid w:val="0"/>
              <w:spacing w:val="-8"/>
              <w:kern w:val="0"/>
              <w:szCs w:val="37"/>
              <w:lang w:val="en-US" w:eastAsia="en-US" w:bidi="ar-SA"/>
            </w:rPr>
            <w:instrText xml:space="preserve"> HYPERLINK \l _Toc17548 </w:instrText>
          </w:r>
          <w:r>
            <w:rPr>
              <w:rFonts w:hint="eastAsia" w:ascii="黑体" w:hAnsi="黑体" w:eastAsia="黑体" w:cs="黑体"/>
              <w:bCs/>
              <w:snapToGrid w:val="0"/>
              <w:spacing w:val="-8"/>
              <w:kern w:val="0"/>
              <w:szCs w:val="37"/>
              <w:lang w:val="en-US" w:eastAsia="en-US" w:bidi="ar-SA"/>
            </w:rPr>
            <w:fldChar w:fldCharType="separate"/>
          </w:r>
          <w:r>
            <w:rPr>
              <w:rFonts w:hint="eastAsia"/>
              <w:lang w:val="en-US" w:eastAsia="zh-CN"/>
            </w:rPr>
            <w:t>五、 优化项目管理</w:t>
          </w:r>
          <w:r>
            <w:tab/>
          </w:r>
          <w:r>
            <w:fldChar w:fldCharType="begin"/>
          </w:r>
          <w:r>
            <w:instrText xml:space="preserve"> PAGEREF _Toc17548 \h </w:instrText>
          </w:r>
          <w:r>
            <w:fldChar w:fldCharType="separate"/>
          </w:r>
          <w:r>
            <w:t>61</w:t>
          </w:r>
          <w:r>
            <w:fldChar w:fldCharType="end"/>
          </w:r>
          <w:r>
            <w:rPr>
              <w:rFonts w:hint="eastAsia" w:ascii="黑体" w:hAnsi="黑体" w:eastAsia="黑体" w:cs="黑体"/>
              <w:bCs/>
              <w:snapToGrid w:val="0"/>
              <w:color w:val="000000"/>
              <w:spacing w:val="-8"/>
              <w:kern w:val="0"/>
              <w:szCs w:val="37"/>
              <w:lang w:val="en-US" w:eastAsia="en-US" w:bidi="ar-SA"/>
            </w:rPr>
            <w:fldChar w:fldCharType="end"/>
          </w:r>
        </w:p>
        <w:p>
          <w:pPr>
            <w:kinsoku w:val="0"/>
            <w:autoSpaceDE w:val="0"/>
            <w:autoSpaceDN w:val="0"/>
            <w:bidi w:val="0"/>
            <w:adjustRightInd w:val="0"/>
            <w:snapToGrid w:val="0"/>
            <w:spacing w:before="120" w:line="222" w:lineRule="auto"/>
            <w:ind w:left="0" w:leftChars="0" w:firstLine="0" w:firstLineChars="0"/>
            <w:jc w:val="left"/>
            <w:textAlignment w:val="baseline"/>
            <w:outlineLvl w:val="9"/>
            <w:rPr>
              <w:rFonts w:hint="eastAsia" w:ascii="黑体" w:hAnsi="黑体" w:eastAsia="黑体" w:cs="黑体"/>
              <w:bCs/>
              <w:snapToGrid w:val="0"/>
              <w:color w:val="000000"/>
              <w:spacing w:val="-8"/>
              <w:kern w:val="0"/>
              <w:sz w:val="21"/>
              <w:szCs w:val="37"/>
              <w:lang w:val="en-US" w:eastAsia="en-US" w:bidi="ar-SA"/>
            </w:rPr>
          </w:pPr>
          <w:r>
            <w:rPr>
              <w:rFonts w:hint="eastAsia" w:ascii="黑体" w:hAnsi="黑体" w:eastAsia="黑体" w:cs="黑体"/>
              <w:bCs/>
              <w:snapToGrid w:val="0"/>
              <w:color w:val="000000"/>
              <w:spacing w:val="-8"/>
              <w:kern w:val="0"/>
              <w:szCs w:val="37"/>
              <w:lang w:val="en-US" w:eastAsia="en-US" w:bidi="ar-SA"/>
            </w:rPr>
            <w:fldChar w:fldCharType="end"/>
          </w:r>
        </w:p>
      </w:sdtContent>
    </w:sdt>
    <w:p>
      <w:pPr>
        <w:kinsoku w:val="0"/>
        <w:autoSpaceDE w:val="0"/>
        <w:autoSpaceDN w:val="0"/>
        <w:bidi w:val="0"/>
        <w:adjustRightInd w:val="0"/>
        <w:snapToGrid w:val="0"/>
        <w:spacing w:before="120" w:line="222" w:lineRule="auto"/>
        <w:ind w:left="0" w:leftChars="0" w:firstLine="0" w:firstLineChars="0"/>
        <w:jc w:val="left"/>
        <w:textAlignment w:val="baseline"/>
        <w:outlineLvl w:val="9"/>
        <w:rPr>
          <w:rFonts w:hint="eastAsia" w:ascii="黑体" w:hAnsi="黑体" w:eastAsia="黑体" w:cs="黑体"/>
          <w:bCs/>
          <w:snapToGrid w:val="0"/>
          <w:color w:val="000000"/>
          <w:spacing w:val="-8"/>
          <w:kern w:val="0"/>
          <w:sz w:val="21"/>
          <w:szCs w:val="37"/>
          <w:lang w:val="en-US" w:eastAsia="en-US" w:bidi="ar-SA"/>
        </w:rPr>
        <w:sectPr>
          <w:pgSz w:w="11906" w:h="16838"/>
          <w:pgMar w:top="1440" w:right="1800" w:bottom="1440" w:left="1800" w:header="851" w:footer="992" w:gutter="0"/>
          <w:pgNumType w:start="1"/>
          <w:cols w:space="425" w:num="1"/>
          <w:docGrid w:type="lines" w:linePitch="312" w:charSpace="0"/>
        </w:sectPr>
      </w:pPr>
    </w:p>
    <w:p>
      <w:pPr>
        <w:pStyle w:val="2"/>
        <w:bidi w:val="0"/>
        <w:rPr>
          <w:rFonts w:hint="default"/>
          <w:lang w:val="en-US" w:eastAsia="zh-CN"/>
        </w:rPr>
      </w:pPr>
      <w:bookmarkStart w:id="3" w:name="_Toc18126"/>
      <w:r>
        <w:rPr>
          <w:rFonts w:hint="eastAsia"/>
        </w:rPr>
        <w:t xml:space="preserve">第一章 </w:t>
      </w:r>
      <w:r>
        <w:rPr>
          <w:rFonts w:hint="eastAsia"/>
          <w:lang w:val="en-US" w:eastAsia="zh-CN"/>
        </w:rPr>
        <w:t>基本情况</w:t>
      </w:r>
      <w:bookmarkEnd w:id="3"/>
    </w:p>
    <w:p>
      <w:pPr>
        <w:pStyle w:val="3"/>
        <w:bidi w:val="0"/>
        <w:rPr>
          <w:rFonts w:hint="default"/>
          <w:lang w:val="en-US" w:eastAsia="zh-CN"/>
        </w:rPr>
      </w:pPr>
      <w:bookmarkStart w:id="4" w:name="_Toc12487"/>
      <w:bookmarkStart w:id="5" w:name="_Toc991"/>
      <w:bookmarkStart w:id="6" w:name="_Toc6249"/>
      <w:bookmarkStart w:id="7" w:name="_Toc28896"/>
      <w:bookmarkStart w:id="8" w:name="_Toc19934"/>
      <w:r>
        <w:rPr>
          <w:rFonts w:hint="eastAsia"/>
          <w:lang w:val="en-US" w:eastAsia="zh-CN"/>
        </w:rPr>
        <w:t xml:space="preserve">第一节 </w:t>
      </w:r>
      <w:bookmarkEnd w:id="4"/>
      <w:bookmarkEnd w:id="5"/>
      <w:bookmarkEnd w:id="6"/>
      <w:bookmarkEnd w:id="7"/>
      <w:r>
        <w:rPr>
          <w:rFonts w:hint="eastAsia"/>
          <w:lang w:val="en-US" w:eastAsia="zh-CN"/>
        </w:rPr>
        <w:t>区域概况</w:t>
      </w:r>
      <w:bookmarkEnd w:id="8"/>
    </w:p>
    <w:p>
      <w:pPr>
        <w:rPr>
          <w:rFonts w:hint="eastAsia"/>
          <w:lang w:val="en-US" w:eastAsia="zh-CN"/>
        </w:rPr>
      </w:pPr>
    </w:p>
    <w:p>
      <w:pPr>
        <w:pStyle w:val="4"/>
        <w:bidi w:val="0"/>
        <w:ind w:left="840" w:leftChars="0" w:firstLineChars="0"/>
        <w:rPr>
          <w:rFonts w:hint="default"/>
          <w:lang w:val="en-US" w:eastAsia="zh-CN"/>
        </w:rPr>
      </w:pPr>
      <w:bookmarkStart w:id="9" w:name="_Toc22170"/>
      <w:bookmarkStart w:id="10" w:name="_Toc15690"/>
      <w:r>
        <w:rPr>
          <w:rFonts w:hint="eastAsia"/>
          <w:lang w:val="en-US" w:eastAsia="zh-CN"/>
        </w:rPr>
        <w:t>地理位置</w:t>
      </w:r>
      <w:bookmarkEnd w:id="9"/>
      <w:bookmarkEnd w:id="10"/>
    </w:p>
    <w:p>
      <w:pPr>
        <w:pStyle w:val="7"/>
        <w:bidi w:val="0"/>
        <w:rPr>
          <w:rFonts w:hint="eastAsia"/>
          <w:lang w:val="en-US" w:eastAsia="zh-CN"/>
        </w:rPr>
      </w:pPr>
      <w:r>
        <w:rPr>
          <w:rFonts w:hint="eastAsia"/>
          <w:lang w:val="en-US" w:eastAsia="zh-CN"/>
        </w:rPr>
        <w:t>伊吾县隶属新疆维吾尔自治区哈密市，位于新疆维吾尔自治区东北部，天山北麓东段，地理坐标为北纬42∘54′−44∘29′，东经93∘35′−96∘23′之间。县境东西长215千米，南北宽 175 千米，全县总面积19530.76平方公里。东北部与蒙古国接壤，南部与伊州区相邻，西部与巴里坤哈萨克自治县相邻。县人民政府驻伊吾镇，全县辖三镇四乡一区，三镇为伊吾镇、淖毛湖镇、盐池镇，四乡为吐葫芦乡、苇子峡乡、下马崖乡、前山哈萨克民族乡，一区为淖毛湖开发区。境内有伊吾军马场、兵团淖毛湖农场等驻县单位，处于新疆东部对外开放的重要区域位置。</w:t>
      </w:r>
    </w:p>
    <w:p>
      <w:pPr>
        <w:pStyle w:val="4"/>
        <w:bidi w:val="0"/>
        <w:ind w:left="840" w:leftChars="0" w:firstLineChars="0"/>
        <w:outlineLvl w:val="2"/>
        <w:rPr>
          <w:rFonts w:hint="default" w:ascii="黑体" w:hAnsi="黑体" w:eastAsia="黑体" w:cs="黑体"/>
          <w:b/>
          <w:bCs/>
          <w:spacing w:val="-5"/>
          <w:szCs w:val="28"/>
          <w:lang w:val="en-US" w:eastAsia="zh-CN"/>
        </w:rPr>
      </w:pPr>
      <w:bookmarkStart w:id="11" w:name="_Toc11470"/>
      <w:r>
        <w:rPr>
          <w:rFonts w:hint="eastAsia"/>
          <w:lang w:val="en-US" w:eastAsia="zh-CN"/>
        </w:rPr>
        <w:t>地形地貌</w:t>
      </w:r>
      <w:bookmarkEnd w:id="11"/>
    </w:p>
    <w:p>
      <w:pPr>
        <w:pStyle w:val="7"/>
        <w:bidi w:val="0"/>
        <w:rPr>
          <w:rFonts w:hint="eastAsia"/>
        </w:rPr>
      </w:pPr>
      <w:r>
        <w:rPr>
          <w:rFonts w:hint="eastAsia"/>
        </w:rPr>
        <w:t>伊吾县位于新疆东北部的蒙新高原上，呈几何梯形状，北窄南宽，地势南高北低，县域内山脉与盆地（谷地）相间分布，自北向南形成三山两盆的独特地貌组合。</w:t>
      </w:r>
      <w:r>
        <w:rPr>
          <w:rFonts w:hint="eastAsia"/>
          <w:lang w:eastAsia="zh-CN"/>
        </w:rPr>
        <w:t>“</w:t>
      </w:r>
      <w:r>
        <w:rPr>
          <w:rFonts w:hint="eastAsia"/>
        </w:rPr>
        <w:t>三山</w:t>
      </w:r>
      <w:r>
        <w:rPr>
          <w:rFonts w:hint="eastAsia"/>
          <w:lang w:eastAsia="zh-CN"/>
        </w:rPr>
        <w:t>”</w:t>
      </w:r>
      <w:r>
        <w:rPr>
          <w:rFonts w:hint="eastAsia"/>
        </w:rPr>
        <w:t>即北部沿中蒙边界的诺穆高原（又称东准噶尔褶皱带）、中间的莫钦乌拉山地、最南部的喀尔里克山；</w:t>
      </w:r>
      <w:r>
        <w:rPr>
          <w:rFonts w:hint="eastAsia"/>
          <w:lang w:eastAsia="zh-CN"/>
        </w:rPr>
        <w:t>“</w:t>
      </w:r>
      <w:r>
        <w:rPr>
          <w:rFonts w:hint="eastAsia"/>
        </w:rPr>
        <w:t>两盆</w:t>
      </w:r>
      <w:r>
        <w:rPr>
          <w:rFonts w:hint="eastAsia"/>
          <w:lang w:eastAsia="zh-CN"/>
        </w:rPr>
        <w:t>”</w:t>
      </w:r>
      <w:r>
        <w:rPr>
          <w:rFonts w:hint="eastAsia"/>
        </w:rPr>
        <w:t>即淖毛湖盆地和伊吾山间盆地。受地质构造控制，县域可划分为高原、山地、盆地、戈壁荒漠四大地貌类型。</w:t>
      </w:r>
    </w:p>
    <w:p>
      <w:pPr>
        <w:pStyle w:val="4"/>
        <w:bidi w:val="0"/>
        <w:ind w:left="840" w:leftChars="0" w:firstLineChars="0"/>
        <w:outlineLvl w:val="2"/>
        <w:rPr>
          <w:rFonts w:hint="default"/>
          <w:lang w:val="en-US" w:eastAsia="zh-CN"/>
        </w:rPr>
      </w:pPr>
      <w:bookmarkStart w:id="12" w:name="_Toc29733"/>
      <w:bookmarkStart w:id="13" w:name="_Toc14949"/>
      <w:r>
        <w:rPr>
          <w:rFonts w:hint="eastAsia"/>
          <w:lang w:val="en-US" w:eastAsia="zh-CN"/>
        </w:rPr>
        <w:t>气候</w:t>
      </w:r>
      <w:bookmarkEnd w:id="12"/>
      <w:r>
        <w:rPr>
          <w:rFonts w:hint="eastAsia"/>
          <w:lang w:val="en-US" w:eastAsia="zh-CN"/>
        </w:rPr>
        <w:t>水文条件</w:t>
      </w:r>
      <w:bookmarkEnd w:id="13"/>
    </w:p>
    <w:p>
      <w:pPr>
        <w:pStyle w:val="7"/>
        <w:bidi w:val="0"/>
        <w:rPr>
          <w:rFonts w:hint="eastAsia"/>
        </w:rPr>
      </w:pPr>
      <w:r>
        <w:rPr>
          <w:rFonts w:hint="eastAsia"/>
        </w:rPr>
        <w:t>伊吾县属温带大陆性干旱气候区，按气候分区划分，</w:t>
      </w:r>
      <w:r>
        <w:rPr>
          <w:rFonts w:hint="eastAsia"/>
          <w:lang w:val="en-US" w:eastAsia="zh-CN"/>
        </w:rPr>
        <w:t>伊吾县总体</w:t>
      </w:r>
      <w:r>
        <w:rPr>
          <w:rFonts w:hint="eastAsia"/>
        </w:rPr>
        <w:t>位于</w:t>
      </w:r>
      <w:r>
        <w:rPr>
          <w:rFonts w:hint="eastAsia"/>
          <w:lang w:val="en-US" w:eastAsia="zh-CN"/>
        </w:rPr>
        <w:t>极</w:t>
      </w:r>
      <w:r>
        <w:rPr>
          <w:rFonts w:hint="eastAsia"/>
        </w:rPr>
        <w:t>干旱区。表现出冬季寒冷、夏季干热、光照充足、降水偏少、蒸发量大、气温日变化大的典型气候特征。县域内由于地形复杂，高差较大，各地气候差异显著，呈现明显的垂直分布规律。</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rPr>
      </w:pPr>
      <w:r>
        <w:rPr>
          <w:rFonts w:hint="eastAsia"/>
        </w:rPr>
        <w:t>北部淖毛湖地区属温暖极干旱区，冬季寒冷，夏季干热，年平均气温7.5−9.8</w:t>
      </w:r>
      <w:r>
        <w:rPr>
          <w:rFonts w:hint="eastAsia"/>
          <w:lang w:val="en-US" w:eastAsia="zh-CN"/>
        </w:rPr>
        <w:t>℃</w:t>
      </w:r>
      <w:r>
        <w:rPr>
          <w:rFonts w:hint="eastAsia"/>
        </w:rPr>
        <w:t>，极端最高温度40.0−43.5</w:t>
      </w:r>
      <w:r>
        <w:rPr>
          <w:rFonts w:hint="eastAsia"/>
          <w:lang w:val="en-US" w:eastAsia="zh-CN"/>
        </w:rPr>
        <w:t>℃</w:t>
      </w:r>
      <w:r>
        <w:rPr>
          <w:rFonts w:hint="eastAsia"/>
        </w:rPr>
        <w:t>，极端最低温度−31.0∼−33.9</w:t>
      </w:r>
      <w:r>
        <w:rPr>
          <w:rFonts w:hint="eastAsia"/>
          <w:lang w:val="en-US" w:eastAsia="zh-CN"/>
        </w:rPr>
        <w:t>℃</w:t>
      </w:r>
      <w:r>
        <w:rPr>
          <w:rFonts w:hint="eastAsia"/>
        </w:rPr>
        <w:t>，大风天数年平均达80-100天。日照充足，蒸发量很大，年均降水量仅11.5-40.0毫米，年均蒸发量4378毫米，无霜期175天。南部的苇子峡、吐葫芦一带属于温带干旱区，冬冷夏凉，热量不足，年平均温度3.5−6.0</w:t>
      </w:r>
      <w:r>
        <w:rPr>
          <w:rFonts w:hint="eastAsia"/>
          <w:lang w:val="en-US" w:eastAsia="zh-CN"/>
        </w:rPr>
        <w:t>℃</w:t>
      </w:r>
      <w:r>
        <w:rPr>
          <w:rFonts w:hint="eastAsia"/>
        </w:rPr>
        <w:t>，极端最高温度32.0−35</w:t>
      </w:r>
      <w:r>
        <w:rPr>
          <w:rFonts w:hint="eastAsia"/>
          <w:lang w:val="en-US" w:eastAsia="zh-CN"/>
        </w:rPr>
        <w:t>℃</w:t>
      </w:r>
      <w:r>
        <w:rPr>
          <w:rFonts w:hint="eastAsia"/>
        </w:rPr>
        <w:t>，极端最低温度约−32</w:t>
      </w:r>
      <w:r>
        <w:rPr>
          <w:rFonts w:hint="eastAsia"/>
          <w:lang w:val="en-US" w:eastAsia="zh-CN"/>
        </w:rPr>
        <w:t>℃</w:t>
      </w:r>
      <w:r>
        <w:rPr>
          <w:rFonts w:hint="eastAsia"/>
        </w:rPr>
        <w:t>，年平均降水量60-90毫米，年均蒸发量2326毫米，年平均大风天数37-50天。西部前山、盐池一带属于寒温带亚干旱地区，无霜期约80-100天，极端最低温度−35.0∼−40.0</w:t>
      </w:r>
      <w:r>
        <w:rPr>
          <w:rFonts w:hint="eastAsia"/>
          <w:lang w:val="en-US" w:eastAsia="zh-CN"/>
        </w:rPr>
        <w:t>℃</w:t>
      </w:r>
      <w:r>
        <w:rPr>
          <w:rFonts w:hint="eastAsia"/>
        </w:rPr>
        <w:t>，极端最高温度28.0−30.0</w:t>
      </w:r>
      <w:r>
        <w:rPr>
          <w:rFonts w:hint="eastAsia"/>
          <w:lang w:val="en-US" w:eastAsia="zh-CN"/>
        </w:rPr>
        <w:t>℃</w:t>
      </w:r>
      <w:r>
        <w:rPr>
          <w:rFonts w:hint="eastAsia"/>
        </w:rPr>
        <w:t>，年平均降水量为100-200毫米。天山北坡或前山丘陵地带海拔2000米以上，为亚寒带</w:t>
      </w:r>
      <w:r>
        <w:rPr>
          <w:rFonts w:hint="eastAsia"/>
          <w:lang w:val="en-US" w:eastAsia="zh-CN"/>
        </w:rPr>
        <w:t>半</w:t>
      </w:r>
      <w:r>
        <w:rPr>
          <w:rFonts w:hint="eastAsia"/>
        </w:rPr>
        <w:t>干旱区，无霜期小于80天，年降水量为200-300毫米。</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rPr>
      </w:pPr>
      <w:r>
        <w:rPr>
          <w:rFonts w:hint="eastAsia"/>
        </w:rPr>
        <w:t>伊吾河流域按其地形和流量，可分为三条自成体系又互为影响的小水系，即喀尔里克山中部、西部和莫钦乌拉山南坡三条水系。径流的补给主要来自冰川、积雪的消融和大气降水。河流的径流变化随季节、气温、降水的变化而变化，具有不稳定、变化大、间歇性等水文特征。全县共有大小河流23条，年径流量1.00亿立方米，主要河流有伊吾河、吐尔干沟和四道白杨沟等。</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rPr>
      </w:pPr>
      <w:r>
        <w:rPr>
          <w:rFonts w:hint="eastAsia"/>
        </w:rPr>
        <w:t>全县多年平均水资源总量为</w:t>
      </w:r>
      <w:r>
        <w:rPr>
          <w:rFonts w:hint="eastAsia"/>
          <w:lang w:val="en-US" w:eastAsia="zh-CN"/>
        </w:rPr>
        <w:t>2.46</w:t>
      </w:r>
      <w:r>
        <w:rPr>
          <w:rFonts w:hint="eastAsia"/>
        </w:rPr>
        <w:t>亿立方米，其中地表水</w:t>
      </w:r>
      <w:r>
        <w:rPr>
          <w:rFonts w:hint="eastAsia"/>
          <w:lang w:val="en-US" w:eastAsia="zh-CN"/>
        </w:rPr>
        <w:t>2.10</w:t>
      </w:r>
      <w:r>
        <w:rPr>
          <w:rFonts w:hint="eastAsia"/>
        </w:rPr>
        <w:t>亿立方米、地下水</w:t>
      </w:r>
      <w:r>
        <w:rPr>
          <w:rFonts w:hint="eastAsia"/>
          <w:lang w:val="en-US" w:eastAsia="zh-CN"/>
        </w:rPr>
        <w:t>2.24</w:t>
      </w:r>
      <w:r>
        <w:rPr>
          <w:rFonts w:hint="eastAsia"/>
        </w:rPr>
        <w:t>亿立方米（含重复计算量</w:t>
      </w:r>
      <w:r>
        <w:rPr>
          <w:rFonts w:hint="eastAsia"/>
          <w:lang w:val="en-US" w:eastAsia="zh-CN"/>
        </w:rPr>
        <w:t>1.88</w:t>
      </w:r>
      <w:r>
        <w:rPr>
          <w:rFonts w:hint="eastAsia"/>
        </w:rPr>
        <w:t>亿立方米）。伊吾县供水总量0.77亿立方米，其中地表水资源供水量0.54亿立方米，地下水源供水量0.21亿立方米，其他水源供水量0.02亿立方米。农业用水量（包括耕地和林地、园地、牧草地灌溉，鱼塘补水及牲畜用水）0.41亿立方米，工业用水量0.19亿立方米，居民生活用水量0.04亿立方米，人工生态环境补水量（包括人为措施供给的城镇环境用水和部分河湖、湿地补水）0.13亿立方米。水资源分布不平衡，水供需矛盾突出，成为制约可持续发展的瓶颈。</w:t>
      </w:r>
    </w:p>
    <w:p>
      <w:pPr>
        <w:pStyle w:val="4"/>
        <w:keepNext w:val="0"/>
        <w:keepLines w:val="0"/>
        <w:pageBreakBefore w:val="0"/>
        <w:widowControl w:val="0"/>
        <w:kinsoku w:val="0"/>
        <w:wordWrap/>
        <w:overflowPunct/>
        <w:topLinePunct w:val="0"/>
        <w:bidi w:val="0"/>
        <w:adjustRightInd w:val="0"/>
        <w:snapToGrid w:val="0"/>
        <w:ind w:left="840" w:leftChars="0" w:firstLineChars="0"/>
        <w:textAlignment w:val="baseline"/>
        <w:rPr>
          <w:rFonts w:hint="default"/>
          <w:lang w:val="en-US" w:eastAsia="zh-CN"/>
        </w:rPr>
      </w:pPr>
      <w:bookmarkStart w:id="14" w:name="_Toc31928"/>
      <w:r>
        <w:rPr>
          <w:rFonts w:hint="eastAsia"/>
          <w:lang w:val="en-US" w:eastAsia="zh-CN"/>
        </w:rPr>
        <w:t>土壤</w:t>
      </w:r>
      <w:bookmarkEnd w:id="14"/>
    </w:p>
    <w:p>
      <w:pPr>
        <w:pStyle w:val="7"/>
        <w:keepNext w:val="0"/>
        <w:keepLines w:val="0"/>
        <w:pageBreakBefore w:val="0"/>
        <w:widowControl w:val="0"/>
        <w:kinsoku w:val="0"/>
        <w:wordWrap/>
        <w:overflowPunct/>
        <w:topLinePunct w:val="0"/>
        <w:bidi w:val="0"/>
        <w:adjustRightInd w:val="0"/>
        <w:snapToGrid w:val="0"/>
        <w:textAlignment w:val="baseline"/>
        <w:rPr>
          <w:rFonts w:hint="eastAsia"/>
        </w:rPr>
      </w:pPr>
      <w:r>
        <w:rPr>
          <w:rFonts w:hint="eastAsia"/>
        </w:rPr>
        <w:t>伊吾县土壤分布受地形、气候影响呈现明显的垂直地带性分异。根据土壤分类法，全县共划分6个土类，7个亚类，7个土属，18个土种，34个变种。6个土类分别为：栗钙土、棕钙土、潮土、灰漠土、草甸土、盐土。区域土层主要为第四系冲洪沉积物，土壤中含较多碎石。受干旱气候影响，区域土壤整体表现为有机质含量低、普遍缺氮少磷、钾素相对丰富的养分特征，盐碱化、沙化程度较高，对林草植被的自然生长发育形成一定制约。</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rPr>
      </w:pPr>
      <w:r>
        <w:rPr>
          <w:rFonts w:hint="eastAsia"/>
        </w:rPr>
        <w:t>栗钙土主要分布在前山哈萨克民族乡、盐池</w:t>
      </w:r>
      <w:r>
        <w:rPr>
          <w:rFonts w:hint="eastAsia"/>
          <w:lang w:val="en-US" w:eastAsia="zh-CN"/>
        </w:rPr>
        <w:t>镇</w:t>
      </w:r>
      <w:r>
        <w:rPr>
          <w:rFonts w:hint="eastAsia"/>
        </w:rPr>
        <w:t>及吐葫芦乡沿天山一带。栗钙土表层土层一般较薄，底层为砾质或基岩，整个剖面土壤质地较粗，以沙壤或轻壤为主，土层中养分含量较好。棕钙土主要分布在苇子峡、下马崖乡和吐葫芦乡，集中在山谷之中，河谷两岸水土流失严重或地下水位较高，海拔一般在1000-1800米，土体中有机质含量1-2%，有机质层厚20-30厘米。潮土主要分布在淖毛湖镇洪积扇扇缘及吐葫芦乡沟谷底部，河流两岸，一般土层厚在1米以上，耕作层20-30厘米，土壤质地较细，由于地下水位在1-3米，随季节变化，土体终年潮湿。灰漠土主要分布在淖毛湖镇戈壁中，土层深，耕作层中土壤质地较轻，以轻壤为主，土体中有机质含量一般在1.2-2.4%。草甸土主要分布在淖毛湖镇和</w:t>
      </w:r>
      <w:r>
        <w:rPr>
          <w:rFonts w:hint="eastAsia"/>
          <w:lang w:eastAsia="zh-CN"/>
        </w:rPr>
        <w:t>盐池镇</w:t>
      </w:r>
      <w:r>
        <w:rPr>
          <w:rFonts w:hint="eastAsia"/>
        </w:rPr>
        <w:t>西海子一带，该区内地下水位在1-3米，土层深厚，土壤质地比较细（以中壤为主），土层中有机质含量一般2-3%，土地较为肥沃。盐土主要分布在淖毛湖镇和下马崖乡，盐分含量较高。</w:t>
      </w:r>
    </w:p>
    <w:p>
      <w:pPr>
        <w:pStyle w:val="4"/>
        <w:bidi w:val="0"/>
        <w:ind w:left="840" w:leftChars="0" w:firstLineChars="0"/>
        <w:rPr>
          <w:rFonts w:hint="default"/>
          <w:lang w:val="en-US" w:eastAsia="zh-CN"/>
        </w:rPr>
      </w:pPr>
      <w:bookmarkStart w:id="15" w:name="_Toc24939"/>
      <w:r>
        <w:rPr>
          <w:rFonts w:hint="eastAsia"/>
          <w:lang w:val="en-US" w:eastAsia="zh-CN"/>
        </w:rPr>
        <w:t>植被</w:t>
      </w:r>
      <w:bookmarkEnd w:id="15"/>
    </w:p>
    <w:p>
      <w:pPr>
        <w:pStyle w:val="7"/>
        <w:bidi w:val="0"/>
        <w:rPr>
          <w:rFonts w:hint="eastAsia"/>
        </w:rPr>
      </w:pPr>
      <w:r>
        <w:rPr>
          <w:rFonts w:hint="eastAsia"/>
        </w:rPr>
        <w:t>伊吾县植被类型多样，呈现明显的垂直和水平分布规律。山地森林主要分布在喀尔里克山北坡和莫钦乌拉山的中高山地带，以山地森林、河谷阔叶林和灌木林为主要植被类型。喀尔里克山北坡海拔2400-2800米的阴坡和半阴坡分布有针叶林，以天山云杉、西伯利亚落叶松等为优势树种，阴坡多为森林，阳坡多为风化强烈的岩石裸露，这些森林在水源涵养、水土保持和生物多样性维护中起重要作用。河谷阔叶林分布在各条河谷沟系中，以山杨和白柳为主，沿河谷水系呈带状分布。</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rPr>
      </w:pPr>
      <w:r>
        <w:rPr>
          <w:rFonts w:hint="eastAsia"/>
        </w:rPr>
        <w:t>荒漠乔灌木林主要以带状和片状分布于淖毛湖盆地区域、伊吾山间盆地及戈壁荒漠地带，以耐旱灌木和荒漠乔木为优势种。主要树种组成包括胡杨、梭梭、柽柳（红柳）、沙拐枣、白刺、麻黄、锦鸡儿、琵琶柴等典型荒漠植物，这些树种具有极强的抗旱、抗风沙能力。淖毛湖区域地处荒漠之中，荒漠气候导致该区域分布以超旱生和强旱生的灌木、半灌木为主的荒漠植被，在荒漠平原低洼地和湖滨及河流两岸发育着低地盐化草甸植被和荒漠林，是区域防风固沙的关键植被类型。荒漠林是防风固沙、保护绿洲农业、维护区域生态平衡的核心屏障，在防止土地沙漠化、稳定绿洲边界等方面发挥着至关重要的生态防护功能。</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rPr>
      </w:pPr>
      <w:r>
        <w:rPr>
          <w:rFonts w:hint="eastAsia"/>
        </w:rPr>
        <w:t>人工林主要分布在平原农牧区及各乡镇场，包括农田防护林、护路林、防风固沙林等。</w:t>
      </w:r>
      <w:r>
        <w:rPr>
          <w:rFonts w:hint="eastAsia"/>
          <w:lang w:val="en-US" w:eastAsia="zh-CN"/>
        </w:rPr>
        <w:t>主要</w:t>
      </w:r>
      <w:r>
        <w:rPr>
          <w:rFonts w:hint="eastAsia"/>
        </w:rPr>
        <w:t>乔木</w:t>
      </w:r>
      <w:r>
        <w:rPr>
          <w:rFonts w:hint="eastAsia"/>
          <w:lang w:val="en-US" w:eastAsia="zh-CN"/>
        </w:rPr>
        <w:t>种</w:t>
      </w:r>
      <w:r>
        <w:rPr>
          <w:rFonts w:hint="eastAsia"/>
        </w:rPr>
        <w:t>有榆树、杨树、柳树、沙枣等。草本植物主要有：芦苇、沙生针茅、戈壁针茅、骆驼刺、菆芨草、委陵菜、火绒草、沙葱等。药用植物主要有贝母、麻黄、甘草、肉苁蓉、大芸、大黄等。</w:t>
      </w:r>
    </w:p>
    <w:p>
      <w:pPr>
        <w:pStyle w:val="4"/>
        <w:bidi w:val="0"/>
        <w:ind w:left="840" w:leftChars="0" w:firstLineChars="0"/>
        <w:rPr>
          <w:rFonts w:hint="default"/>
          <w:lang w:val="en-US" w:eastAsia="zh-CN"/>
        </w:rPr>
      </w:pPr>
      <w:bookmarkStart w:id="16" w:name="_Toc10619"/>
      <w:r>
        <w:rPr>
          <w:rFonts w:hint="eastAsia"/>
          <w:lang w:val="en-US" w:eastAsia="zh-CN"/>
        </w:rPr>
        <w:t>野生动植物资源</w:t>
      </w:r>
      <w:bookmarkEnd w:id="16"/>
    </w:p>
    <w:p>
      <w:pPr>
        <w:pStyle w:val="7"/>
        <w:bidi w:val="0"/>
        <w:rPr>
          <w:rFonts w:hint="eastAsia"/>
        </w:rPr>
      </w:pPr>
      <w:r>
        <w:rPr>
          <w:rFonts w:hint="eastAsia"/>
        </w:rPr>
        <w:t>伊吾县位于东天山区域生态系统范围内，野生动植物资源较为丰富。</w:t>
      </w:r>
      <w:r>
        <w:rPr>
          <w:rFonts w:hint="eastAsia"/>
          <w:lang w:val="en-US" w:eastAsia="zh-CN"/>
        </w:rPr>
        <w:t>列入国家Ⅰ级保护动物</w:t>
      </w:r>
      <w:r>
        <w:rPr>
          <w:rFonts w:hint="eastAsia"/>
        </w:rPr>
        <w:t>：双峰野骆驼、蒙古野驴、金雕等；国家Ⅱ级保护动物：马鹿、盘羊、北山羊、鹅喉羚、猞猁、雪鸡、红隼等；淖毛湖区域常见的国家Ⅰ级保护动物有野骆驼、野驴等。</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rPr>
      </w:pPr>
      <w:r>
        <w:rPr>
          <w:rFonts w:hint="eastAsia"/>
        </w:rPr>
        <w:t>野生植物以东天山山区的针叶林、灌丛草地植物以及荒漠戈壁植被为主，山区主要有天山云杉、西伯利亚落叶松、山杨等乔木树种，河谷及荒漠地带天然林乔木以胡杨为主，灌木主要有梭梭、柽柳、沙拐枣、白刺、麻黄、锦鸡儿等典型灌木；重点保护野生植物（自高山至荒漠按海拔分布）：东疆红景天（国家Ⅱ级/新疆Ⅰ级）、雪莲（国家Ⅱ级/新疆Ⅱ级）、新疆方枝柏（新疆Ⅱ级）、欧亚圆柏（新疆Ⅱ级）、中麻黄（新疆Ⅱ级）、木贼麻黄（新疆Ⅱ级）、锁阳（国家Ⅱ级）、贝母（国家Ⅱ级）等；其他药用植物有甘草、肉苁蓉、大芸等。</w:t>
      </w:r>
    </w:p>
    <w:p>
      <w:pPr>
        <w:pStyle w:val="3"/>
        <w:numPr>
          <w:ilvl w:val="0"/>
          <w:numId w:val="3"/>
        </w:numPr>
        <w:bidi w:val="0"/>
        <w:rPr>
          <w:rFonts w:hint="eastAsia"/>
          <w:lang w:val="en-US" w:eastAsia="zh-CN"/>
        </w:rPr>
      </w:pPr>
      <w:bookmarkStart w:id="17" w:name="_Toc14909"/>
      <w:bookmarkStart w:id="18" w:name="_Toc17212"/>
      <w:r>
        <w:rPr>
          <w:rFonts w:hint="eastAsia"/>
          <w:lang w:val="en-US" w:eastAsia="zh-CN"/>
        </w:rPr>
        <w:t>森林资源</w:t>
      </w:r>
      <w:bookmarkEnd w:id="17"/>
      <w:r>
        <w:rPr>
          <w:rFonts w:hint="eastAsia"/>
          <w:lang w:val="en-US" w:eastAsia="zh-CN"/>
        </w:rPr>
        <w:t>现状</w:t>
      </w:r>
      <w:bookmarkEnd w:id="18"/>
    </w:p>
    <w:p>
      <w:pPr>
        <w:numPr>
          <w:ilvl w:val="0"/>
          <w:numId w:val="0"/>
        </w:numPr>
        <w:rPr>
          <w:rFonts w:hint="default"/>
          <w:lang w:val="en-US" w:eastAsia="zh-CN"/>
        </w:rPr>
      </w:pPr>
    </w:p>
    <w:p>
      <w:pPr>
        <w:pStyle w:val="4"/>
        <w:numPr>
          <w:ilvl w:val="0"/>
          <w:numId w:val="4"/>
        </w:numPr>
        <w:bidi w:val="0"/>
        <w:ind w:left="840" w:leftChars="0" w:firstLineChars="0"/>
        <w:rPr>
          <w:rFonts w:hint="default"/>
          <w:lang w:val="en-US" w:eastAsia="zh-CN"/>
        </w:rPr>
      </w:pPr>
      <w:bookmarkStart w:id="19" w:name="_Toc25303"/>
      <w:bookmarkStart w:id="20" w:name="_Toc7532"/>
      <w:r>
        <w:rPr>
          <w:rFonts w:hint="eastAsia"/>
          <w:lang w:val="en-US" w:eastAsia="zh-CN"/>
        </w:rPr>
        <w:t>森林资源总体概况</w:t>
      </w:r>
      <w:bookmarkEnd w:id="19"/>
      <w:bookmarkEnd w:id="20"/>
    </w:p>
    <w:p>
      <w:pPr>
        <w:pStyle w:val="7"/>
        <w:bidi w:val="0"/>
        <w:rPr>
          <w:rFonts w:hint="eastAsia"/>
          <w:lang w:val="en-US" w:eastAsia="zh-CN"/>
        </w:rPr>
      </w:pPr>
      <w:r>
        <w:rPr>
          <w:rFonts w:hint="eastAsia"/>
          <w:lang w:val="en-US" w:eastAsia="zh-CN"/>
        </w:rPr>
        <w:t>伊吾县森林资源呈现典型的山地-荒漠复合分布格局，主要分为两大生态系统：山地森林系统和荒漠林系统。山地森林主要分布在喀尔里克山北坡和莫钦乌拉山南坡的中高海拔地带，以天山云杉、西伯利亚落叶松等针叶树种以及山杨等阔叶树种为主；荒漠林广泛分布于淖毛湖盆地、伊吾山间盆地及戈壁滩地，以胡杨、梭梭、柽柳等荒漠植物为优势种，共同构成了伊吾县独特的森林生态安全屏障。</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color w:val="0000FF"/>
          <w:lang w:val="en-US" w:eastAsia="zh-CN"/>
        </w:rPr>
      </w:pPr>
      <w:r>
        <w:rPr>
          <w:rFonts w:hint="eastAsia"/>
          <w:color w:val="auto"/>
          <w:lang w:val="en-US" w:eastAsia="zh-CN"/>
        </w:rPr>
        <w:t>根据2024年哈密市林草湿荒普查（森林资源）数据及2024年国家公益林数据统计，全县林地面积达210.43万亩。按地类划分：乔木林地14.16万亩、灌木林地189.59万亩、其他林地6.68万亩（含疏林地3.20万亩），分别占林地总面积的6.73%、90.1%、3.17%（1.39%）；按权属划分：国有林地207.38万亩、非国有林地3.05万亩，分别占林地总面积的98.55%、1.45%；按起源划分：天然林203.35万亩、非天然林7.08万亩，分别占林地总面积的96.64%、3.36%；按森林类别划分：国家级公益林87.21万亩、未纳入补偿公益林123.22万亩，分别占林地总面积的41.44%、58.56%，伊吾县无商品林。详见表</w:t>
      </w:r>
      <w:r>
        <w:rPr>
          <w:rFonts w:hint="eastAsia"/>
          <w:lang w:val="en-US" w:eastAsia="zh-CN"/>
        </w:rPr>
        <w:t>1-1。</w:t>
      </w:r>
    </w:p>
    <w:p>
      <w:pPr>
        <w:pStyle w:val="4"/>
        <w:bidi w:val="0"/>
        <w:ind w:left="840" w:leftChars="0" w:firstLineChars="0"/>
        <w:rPr>
          <w:rFonts w:hint="eastAsia"/>
          <w:lang w:val="en-US" w:eastAsia="zh-CN"/>
        </w:rPr>
      </w:pPr>
      <w:bookmarkStart w:id="21" w:name="_Toc13662"/>
      <w:bookmarkStart w:id="22" w:name="_Toc14456"/>
      <w:r>
        <w:rPr>
          <w:rFonts w:hint="eastAsia"/>
          <w:lang w:val="en-US" w:eastAsia="zh-CN"/>
        </w:rPr>
        <w:t>天然林资源概况</w:t>
      </w:r>
      <w:bookmarkEnd w:id="21"/>
      <w:bookmarkEnd w:id="22"/>
    </w:p>
    <w:p>
      <w:pPr>
        <w:pStyle w:val="7"/>
        <w:bidi w:val="0"/>
        <w:rPr>
          <w:rFonts w:hint="eastAsia"/>
          <w:lang w:val="en-US" w:eastAsia="zh-CN"/>
        </w:rPr>
      </w:pPr>
      <w:r>
        <w:rPr>
          <w:rFonts w:hint="eastAsia"/>
          <w:lang w:val="en-US" w:eastAsia="zh-CN"/>
        </w:rPr>
        <w:t>伊吾县天然林是维护区域生态安全的重要基石，根据地理分布和生态功能可划分为山地天然林和荒漠平原天然林两大类型，在物种组成、生态服务功能等方面各具特色。</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lang w:val="en-US" w:eastAsia="zh-CN"/>
        </w:rPr>
      </w:pPr>
      <w:r>
        <w:rPr>
          <w:rFonts w:hint="eastAsia"/>
          <w:lang w:val="en-US" w:eastAsia="zh-CN"/>
        </w:rPr>
        <w:t>山地天然林主要分布在喀尔里克山北坡和莫钦乌拉山南坡的中高山地带，以针叶林、河谷阔叶林和山地灌木林为主要植被类型。核心建群种包括天山云杉、西伯利亚落叶松等针叶乔木，以及山杨等阔叶乔木，伴生有忍冬、野蔷薇、锦鸡儿、栒子木、高山柳等灌木树种。这类森林主要分布在海拔2400-2800米的阴坡及半阴坡，呈窄带状，形成相对稳定的山地森林生态系统。其生态功能极为显著，在涵养水源、调节径流、保持水土、维护生物多样性等方面发挥着不可替代的作用。山间河谷地带分布有河谷阔叶林，生长在海拔较低的沟谷两侧，以山杨和白柳为主，这些林分对防治水土流失、保护河谷生态安全具有关键作用。</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lang w:val="en-US" w:eastAsia="zh-CN"/>
        </w:rPr>
      </w:pPr>
      <w:r>
        <w:rPr>
          <w:rFonts w:hint="eastAsia"/>
          <w:lang w:val="en-US" w:eastAsia="zh-CN"/>
        </w:rPr>
        <w:t>荒漠平原天然林广泛分布于伊吾县的戈壁荒漠地带，包括淖毛湖盆地区域的山前洪积扇、荒漠盆地低洼地及季节性河床两岸，以耐旱灌木和荒漠乔木为优势种。主要树种组成包括胡杨、梭梭、柽柳（红柳）、沙拐枣、白刺、麻黄、琵琶柴、锦鸡儿等典型荒漠植物，这些树种具有极强的抗旱、抗风沙能力。淖毛湖胡杨林是伊吾县荒漠林的典型代表，淖毛湖胡杨林周围多为戈壁荒漠，荒漠区与北部绿洲为衬托，景观层次分明。荒漠林主要以带状和片状分布，面积大、分布广但不均匀，是防风固沙、保护绿洲农业、维护区域生态平衡的核心屏障，在防止土地沙漠化、保护交通干线、稳定绿洲边界等方面发挥着至关重要的生态防护功能。</w:t>
      </w:r>
    </w:p>
    <w:p>
      <w:pPr>
        <w:pStyle w:val="6"/>
        <w:bidi w:val="0"/>
        <w:rPr>
          <w:rFonts w:hint="eastAsia"/>
          <w:color w:val="auto"/>
          <w:lang w:val="en-US" w:eastAsia="zh-CN"/>
        </w:rPr>
      </w:pPr>
      <w:r>
        <w:rPr>
          <w:rFonts w:hint="eastAsia"/>
          <w:color w:val="auto"/>
          <w:lang w:val="en-US" w:eastAsia="zh-CN"/>
        </w:rPr>
        <w:t>全县天然林面积203.35万亩，按地类划分：乔木林地12.68万亩、灌木林地187.75万亩、其他林地2.93万亩（含疏林地2.92万亩），分别占天然林面积的6.24%、92.33%、1.44%；按权属划分：国有林地201.42万亩、非国有林地1.93万亩，分别占天然林面积的99.05%、0.95%；按森林类别划分：国家级公益林87.16万亩、未纳入补偿公益林116.19万亩，分别占天然林面积的42.86%、57.14%。</w:t>
      </w:r>
    </w:p>
    <w:p>
      <w:pPr>
        <w:pStyle w:val="4"/>
        <w:bidi w:val="0"/>
        <w:ind w:left="840" w:leftChars="0" w:firstLineChars="0"/>
        <w:rPr>
          <w:rFonts w:hint="default"/>
          <w:lang w:val="en-US" w:eastAsia="zh-CN"/>
        </w:rPr>
      </w:pPr>
      <w:bookmarkStart w:id="23" w:name="_Toc496"/>
      <w:bookmarkStart w:id="24" w:name="_Toc11067"/>
      <w:r>
        <w:rPr>
          <w:rFonts w:hint="eastAsia"/>
          <w:lang w:val="en-US" w:eastAsia="zh-CN"/>
        </w:rPr>
        <w:t>非天然林资源概况</w:t>
      </w:r>
      <w:bookmarkEnd w:id="23"/>
      <w:bookmarkEnd w:id="24"/>
    </w:p>
    <w:p>
      <w:pPr>
        <w:pStyle w:val="7"/>
        <w:keepNext w:val="0"/>
        <w:keepLines w:val="0"/>
        <w:pageBreakBefore w:val="0"/>
        <w:widowControl w:val="0"/>
        <w:kinsoku w:val="0"/>
        <w:wordWrap/>
        <w:overflowPunct/>
        <w:topLinePunct w:val="0"/>
        <w:autoSpaceDE/>
        <w:autoSpaceDN/>
        <w:bidi w:val="0"/>
        <w:adjustRightInd w:val="0"/>
        <w:snapToGrid w:val="0"/>
        <w:textAlignment w:val="baseline"/>
        <w:rPr>
          <w:rFonts w:hint="eastAsia"/>
          <w:lang w:val="en-US" w:eastAsia="zh-CN"/>
        </w:rPr>
      </w:pPr>
      <w:r>
        <w:rPr>
          <w:rFonts w:hint="eastAsia"/>
          <w:lang w:val="en-US" w:eastAsia="zh-CN"/>
        </w:rPr>
        <w:t>在天然林体系之外，伊吾县非天然公益林面积7.08万亩，主要通过人工造林、人工更新、退耕还林等方式形成，后期因生态功能突出被划定为公益林。树种以白蜡、新疆杨、沙枣、胡杨（人工）等为主，这些林分主要分布在绿洲外围、河流两岸及生态脆弱区，在防风固沙、水土保持、改善生态环境等方面发挥着重要作用。</w:t>
      </w:r>
    </w:p>
    <w:p>
      <w:pPr>
        <w:pStyle w:val="6"/>
        <w:bidi w:val="0"/>
        <w:rPr>
          <w:rFonts w:hint="eastAsia"/>
          <w:color w:val="auto"/>
          <w:lang w:val="en-US" w:eastAsia="zh-CN"/>
        </w:rPr>
      </w:pPr>
      <w:r>
        <w:rPr>
          <w:rFonts w:hint="eastAsia"/>
          <w:color w:val="auto"/>
          <w:lang w:val="en-US" w:eastAsia="zh-CN"/>
        </w:rPr>
        <w:t>按地类统计：乔木林地1.49万亩、灌木林地1.84万亩、其他林地3.75万亩（含疏林地0.28万亩），占比分别为21.05%、25.99%、52.97%（3.95%）；按权属划分：国有林地5.96万亩、非国有林地1.12万亩，分别占非天然公益林面积的84.18%、15.82%；按森林类别划分：国家级公益林面积0.05万亩、未纳入补偿公益林面积7.03万亩，分别占非天然公益林面积的0.71%、99.29%。</w:t>
      </w:r>
    </w:p>
    <w:p>
      <w:pPr>
        <w:pStyle w:val="6"/>
        <w:bidi w:val="0"/>
        <w:rPr>
          <w:rFonts w:hint="eastAsia"/>
          <w:color w:val="auto"/>
          <w:lang w:val="en-US" w:eastAsia="zh-CN"/>
        </w:rPr>
      </w:pP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lang w:val="en-US" w:eastAsia="zh-CN"/>
        </w:rPr>
      </w:pP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tbl>
      <w:tblPr>
        <w:tblStyle w:val="14"/>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5"/>
        <w:gridCol w:w="442"/>
        <w:gridCol w:w="891"/>
        <w:gridCol w:w="891"/>
        <w:gridCol w:w="801"/>
        <w:gridCol w:w="891"/>
        <w:gridCol w:w="1000"/>
        <w:gridCol w:w="804"/>
        <w:gridCol w:w="711"/>
        <w:gridCol w:w="711"/>
        <w:gridCol w:w="711"/>
        <w:gridCol w:w="711"/>
        <w:gridCol w:w="711"/>
        <w:gridCol w:w="711"/>
        <w:gridCol w:w="809"/>
        <w:gridCol w:w="781"/>
        <w:gridCol w:w="711"/>
        <w:gridCol w:w="711"/>
        <w:gridCol w:w="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174" w:type="dxa"/>
            <w:gridSpan w:val="19"/>
            <w:tcBorders>
              <w:top w:val="nil"/>
              <w:left w:val="nil"/>
              <w:bottom w:val="nil"/>
              <w:right w:val="nil"/>
            </w:tcBorders>
            <w:shd w:val="clear" w:color="auto" w:fill="auto"/>
            <w:noWrap/>
            <w:vAlign w:val="center"/>
          </w:tcPr>
          <w:p>
            <w:pPr>
              <w:spacing w:before="303" w:line="221" w:lineRule="auto"/>
              <w:jc w:val="center"/>
              <w:rPr>
                <w:rFonts w:ascii="黑体" w:hAnsi="黑体" w:eastAsia="黑体" w:cs="黑体"/>
                <w:sz w:val="29"/>
                <w:szCs w:val="29"/>
              </w:rPr>
            </w:pPr>
            <w:r>
              <w:rPr>
                <w:rFonts w:ascii="黑体" w:hAnsi="黑体" w:eastAsia="黑体" w:cs="黑体"/>
                <w:b/>
                <w:bCs/>
                <w:spacing w:val="1"/>
                <w:sz w:val="29"/>
                <w:szCs w:val="29"/>
              </w:rPr>
              <w:t>表1-1</w:t>
            </w:r>
            <w:r>
              <w:rPr>
                <w:rFonts w:hint="eastAsia" w:ascii="黑体" w:hAnsi="黑体" w:eastAsia="黑体" w:cs="黑体"/>
                <w:b/>
                <w:bCs/>
                <w:spacing w:val="1"/>
                <w:sz w:val="29"/>
                <w:szCs w:val="29"/>
                <w:lang w:val="en-US" w:eastAsia="zh-CN"/>
              </w:rPr>
              <w:t xml:space="preserve"> 伊吾县</w:t>
            </w:r>
            <w:r>
              <w:rPr>
                <w:rFonts w:ascii="黑体" w:hAnsi="黑体" w:eastAsia="黑体" w:cs="黑体"/>
                <w:b/>
                <w:bCs/>
                <w:spacing w:val="1"/>
                <w:sz w:val="29"/>
                <w:szCs w:val="29"/>
              </w:rPr>
              <w:t>森林资源现状面积统计一览表</w:t>
            </w:r>
          </w:p>
          <w:p>
            <w:pPr>
              <w:snapToGrid w:val="0"/>
              <w:jc w:val="right"/>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单位：万亩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森林类别</w:t>
            </w:r>
          </w:p>
        </w:tc>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权属</w:t>
            </w: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59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天然</w:t>
            </w:r>
          </w:p>
        </w:tc>
        <w:tc>
          <w:tcPr>
            <w:tcW w:w="57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非天然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7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乔木林</w:t>
            </w:r>
          </w:p>
        </w:tc>
        <w:tc>
          <w:tcPr>
            <w:tcW w:w="29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灌木林</w:t>
            </w:r>
          </w:p>
        </w:tc>
        <w:tc>
          <w:tcPr>
            <w:tcW w:w="16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其他林地</w:t>
            </w:r>
          </w:p>
        </w:tc>
        <w:tc>
          <w:tcPr>
            <w:tcW w:w="6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乔木林</w:t>
            </w:r>
          </w:p>
        </w:tc>
        <w:tc>
          <w:tcPr>
            <w:tcW w:w="28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灌木林</w:t>
            </w:r>
          </w:p>
        </w:tc>
        <w:tc>
          <w:tcPr>
            <w:tcW w:w="16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其他林地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7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国家特别规定的灌木林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一般灌木林</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疏林</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国家特别规定的灌木林</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一般灌木林</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小计</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疏林</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小计</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210.4272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203.3517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12.6764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187.7475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171.2762 </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16.4713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2.9278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2.9222 </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0.0056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7.0755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1.4857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1.8428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0.0204 </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1.8224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3.7470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0.2791 </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3.4679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国家级</w:t>
            </w:r>
            <w:r>
              <w:rPr>
                <w:rFonts w:hint="eastAsia" w:ascii="仿宋" w:hAnsi="仿宋" w:eastAsia="仿宋" w:cs="仿宋"/>
                <w:i w:val="0"/>
                <w:iCs w:val="0"/>
                <w:color w:val="000000"/>
                <w:kern w:val="0"/>
                <w:sz w:val="18"/>
                <w:szCs w:val="18"/>
                <w:u w:val="none"/>
                <w:lang w:val="en-US" w:eastAsia="zh-CN" w:bidi="ar"/>
              </w:rPr>
              <w:br w:type="textWrapping"/>
            </w:r>
            <w:r>
              <w:rPr>
                <w:rFonts w:hint="eastAsia" w:ascii="仿宋" w:hAnsi="仿宋" w:eastAsia="仿宋" w:cs="仿宋"/>
                <w:i w:val="0"/>
                <w:iCs w:val="0"/>
                <w:color w:val="000000"/>
                <w:kern w:val="0"/>
                <w:sz w:val="18"/>
                <w:szCs w:val="18"/>
                <w:u w:val="none"/>
                <w:lang w:val="en-US" w:eastAsia="zh-CN" w:bidi="ar"/>
              </w:rPr>
              <w:t>公益林</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87.2119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87.1594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4.3572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79.9131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79.9131 </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2.8891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2.8891 </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0.0525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0.0149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0.0006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0.0006 </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0.0370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国有</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87.2119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87.1594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4.3572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79.9131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79.9131 </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2.8891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2.8891 </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0.0525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0.0149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0.0006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0.0006 </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0.0370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非国有</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未纳入补偿公益林</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123.2153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116.1923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8.3192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107.8344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91.3631 </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16.4713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0.0387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0.0331 </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0.0056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7.0230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1.4708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1.8422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0.0198 </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1.8224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3.7100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0.2791 </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3.4309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国有</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120.1656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114.2602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8.3067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105.9524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89.5637 </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16.3887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0.0011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0.0011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5.9054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1.1457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1.3115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0.0098 </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1.3017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3.4482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0.2567 </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3.1915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非国有</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3.0497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1.9321 </w:t>
            </w: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0.0125 </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1.8820 </w:t>
            </w: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1.7994 </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0.0826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0.0376 </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0.0331 </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0.0045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1.1176 </w:t>
            </w: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0.3251 </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0.5307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0.0100 </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0.5207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0.2618 </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0.0224 </w:t>
            </w: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 xml:space="preserve">0.2394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其他</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商品林</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计</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国有</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非国有</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其他</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r>
    </w:tbl>
    <w:p/>
    <w:p>
      <w:pPr>
        <w:sectPr>
          <w:pgSz w:w="16838" w:h="11906" w:orient="landscape"/>
          <w:pgMar w:top="1800" w:right="1440" w:bottom="1860" w:left="1440" w:header="851" w:footer="992" w:gutter="0"/>
          <w:pgNumType w:fmt="decimal"/>
          <w:cols w:space="425" w:num="1"/>
          <w:docGrid w:type="lines" w:linePitch="312" w:charSpace="0"/>
        </w:sectPr>
      </w:pPr>
    </w:p>
    <w:p>
      <w:pPr>
        <w:pStyle w:val="3"/>
        <w:numPr>
          <w:ilvl w:val="0"/>
          <w:numId w:val="3"/>
        </w:numPr>
        <w:bidi w:val="0"/>
        <w:rPr>
          <w:rFonts w:hint="eastAsia"/>
          <w:lang w:val="en-US" w:eastAsia="zh-CN"/>
        </w:rPr>
      </w:pPr>
      <w:bookmarkStart w:id="25" w:name="_Toc1847"/>
      <w:r>
        <w:rPr>
          <w:rFonts w:hint="eastAsia"/>
          <w:lang w:val="en-US" w:eastAsia="zh-CN"/>
        </w:rPr>
        <w:t>保护修复基础</w:t>
      </w:r>
      <w:bookmarkEnd w:id="25"/>
    </w:p>
    <w:p>
      <w:pPr>
        <w:rPr>
          <w:rFonts w:hint="eastAsia"/>
          <w:lang w:val="en-US" w:eastAsia="zh-CN"/>
        </w:rPr>
      </w:pPr>
    </w:p>
    <w:p>
      <w:pPr>
        <w:pStyle w:val="4"/>
        <w:numPr>
          <w:ilvl w:val="0"/>
          <w:numId w:val="5"/>
        </w:numPr>
        <w:bidi w:val="0"/>
        <w:rPr>
          <w:rFonts w:hint="default"/>
          <w:lang w:val="en-US" w:eastAsia="zh-CN"/>
        </w:rPr>
      </w:pPr>
      <w:bookmarkStart w:id="26" w:name="_Toc20514"/>
      <w:r>
        <w:rPr>
          <w:rFonts w:hint="eastAsia"/>
          <w:lang w:val="en-US" w:eastAsia="zh-CN"/>
        </w:rPr>
        <w:t>既有工作成效</w:t>
      </w:r>
      <w:bookmarkEnd w:id="26"/>
      <w:r>
        <w:rPr>
          <w:rFonts w:hint="eastAsia"/>
          <w:lang w:val="en-US" w:eastAsia="zh-CN"/>
        </w:rPr>
        <w:t xml:space="preserve"> </w:t>
      </w:r>
    </w:p>
    <w:p>
      <w:pPr>
        <w:pStyle w:val="5"/>
        <w:bidi w:val="0"/>
        <w:rPr>
          <w:rFonts w:hint="eastAsia"/>
          <w:lang w:val="en-US" w:eastAsia="zh-CN"/>
        </w:rPr>
      </w:pPr>
      <w:bookmarkStart w:id="27" w:name="_Toc3177"/>
      <w:r>
        <w:rPr>
          <w:rFonts w:hint="eastAsia"/>
          <w:lang w:val="en-US" w:eastAsia="zh-CN"/>
        </w:rPr>
        <w:t>管护体系建设情况</w:t>
      </w:r>
      <w:bookmarkEnd w:id="27"/>
    </w:p>
    <w:p>
      <w:pPr>
        <w:pStyle w:val="6"/>
        <w:bidi w:val="0"/>
        <w:rPr>
          <w:rFonts w:hint="eastAsia"/>
        </w:rPr>
      </w:pPr>
      <w:r>
        <w:rPr>
          <w:rFonts w:hint="eastAsia"/>
        </w:rPr>
        <w:t>伊吾县持续推进天然林保护管护体系建设，形成了组织健全、网络完善、制度规范、手段逐步完善的管护格局。</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rPr>
      </w:pPr>
      <w:r>
        <w:rPr>
          <w:rFonts w:hint="eastAsia"/>
        </w:rPr>
        <w:t>组织管理方面，2011年以来伊吾县全面实行天然林资源保护目标管理责任制，逐级签订责任书，压实保护责任；全面推行林长制，构建县、乡镇、村三级林长组织架构，建立</w:t>
      </w:r>
      <w:r>
        <w:rPr>
          <w:rFonts w:hint="eastAsia"/>
          <w:lang w:eastAsia="zh-CN"/>
        </w:rPr>
        <w:t>“</w:t>
      </w:r>
      <w:r>
        <w:rPr>
          <w:rFonts w:hint="eastAsia"/>
        </w:rPr>
        <w:t>林长+检察长</w:t>
      </w:r>
      <w:r>
        <w:rPr>
          <w:rFonts w:hint="eastAsia"/>
          <w:lang w:eastAsia="zh-CN"/>
        </w:rPr>
        <w:t>”</w:t>
      </w:r>
      <w:r>
        <w:rPr>
          <w:rFonts w:hint="eastAsia"/>
        </w:rPr>
        <w:t>协作机制，形成行政执法与司法保护合力。构建了</w:t>
      </w:r>
      <w:r>
        <w:rPr>
          <w:rFonts w:hint="eastAsia"/>
          <w:lang w:eastAsia="zh-CN"/>
        </w:rPr>
        <w:t>“</w:t>
      </w:r>
      <w:r>
        <w:rPr>
          <w:rFonts w:hint="eastAsia"/>
        </w:rPr>
        <w:t>场-站-员</w:t>
      </w:r>
      <w:r>
        <w:rPr>
          <w:rFonts w:hint="eastAsia"/>
          <w:lang w:eastAsia="zh-CN"/>
        </w:rPr>
        <w:t>”</w:t>
      </w:r>
      <w:r>
        <w:rPr>
          <w:rFonts w:hint="eastAsia"/>
        </w:rPr>
        <w:t>三级管护管理体系，设置管护站点</w:t>
      </w:r>
      <w:r>
        <w:rPr>
          <w:rFonts w:hint="eastAsia"/>
          <w:lang w:val="en-US" w:eastAsia="zh-CN"/>
        </w:rPr>
        <w:t>7</w:t>
      </w:r>
      <w:r>
        <w:rPr>
          <w:rFonts w:hint="eastAsia"/>
        </w:rPr>
        <w:t>个（20</w:t>
      </w:r>
      <w:r>
        <w:rPr>
          <w:rFonts w:hint="eastAsia"/>
          <w:lang w:val="en-US" w:eastAsia="zh-CN"/>
        </w:rPr>
        <w:t>06</w:t>
      </w:r>
      <w:r>
        <w:rPr>
          <w:rFonts w:hint="eastAsia"/>
        </w:rPr>
        <w:t>-20</w:t>
      </w:r>
      <w:r>
        <w:rPr>
          <w:rFonts w:hint="eastAsia"/>
          <w:lang w:val="en-US" w:eastAsia="zh-CN"/>
        </w:rPr>
        <w:t>09</w:t>
      </w:r>
      <w:r>
        <w:rPr>
          <w:rFonts w:hint="eastAsia"/>
        </w:rPr>
        <w:t>年设置3个站点，20</w:t>
      </w:r>
      <w:r>
        <w:rPr>
          <w:rFonts w:hint="eastAsia"/>
          <w:lang w:val="en-US" w:eastAsia="zh-CN"/>
        </w:rPr>
        <w:t>16</w:t>
      </w:r>
      <w:r>
        <w:rPr>
          <w:rFonts w:hint="eastAsia"/>
        </w:rPr>
        <w:t>-202</w:t>
      </w:r>
      <w:r>
        <w:rPr>
          <w:rFonts w:hint="eastAsia"/>
          <w:lang w:val="en-US" w:eastAsia="zh-CN"/>
        </w:rPr>
        <w:t>4</w:t>
      </w:r>
      <w:r>
        <w:rPr>
          <w:rFonts w:hint="eastAsia"/>
        </w:rPr>
        <w:t>年增设</w:t>
      </w:r>
      <w:r>
        <w:rPr>
          <w:rFonts w:hint="eastAsia"/>
          <w:lang w:val="en-US" w:eastAsia="zh-CN"/>
        </w:rPr>
        <w:t>4</w:t>
      </w:r>
      <w:r>
        <w:rPr>
          <w:rFonts w:hint="eastAsia"/>
        </w:rPr>
        <w:t>个站点），覆盖喀尔里克山北坡山地森林、淖毛湖荒漠林带、伊吾山间盆地等不同地理区位；按照公开招聘、择优录取原则，优先从已脱贫家庭中选聘生态护林员，2011-2025年伊吾县累计聘用护林员1981</w:t>
      </w:r>
      <w:r>
        <w:rPr>
          <w:rFonts w:hint="eastAsia"/>
          <w:lang w:val="en-US" w:eastAsia="zh-CN"/>
        </w:rPr>
        <w:t>人</w:t>
      </w:r>
      <w:r>
        <w:rPr>
          <w:rFonts w:hint="eastAsia"/>
        </w:rPr>
        <w:t>，根据管护面积和难易程度定量定员、责任到人，形成</w:t>
      </w:r>
      <w:r>
        <w:rPr>
          <w:rFonts w:hint="eastAsia"/>
          <w:lang w:eastAsia="zh-CN"/>
        </w:rPr>
        <w:t>“</w:t>
      </w:r>
      <w:r>
        <w:rPr>
          <w:rFonts w:hint="eastAsia"/>
        </w:rPr>
        <w:t>山有人管、林有人护、责有人担</w:t>
      </w:r>
      <w:r>
        <w:rPr>
          <w:rFonts w:hint="eastAsia"/>
          <w:lang w:eastAsia="zh-CN"/>
        </w:rPr>
        <w:t>”</w:t>
      </w:r>
      <w:r>
        <w:rPr>
          <w:rFonts w:hint="eastAsia"/>
        </w:rPr>
        <w:t>的管护格局。</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制度保障方面，伊吾县严格执行《新疆维吾尔自治区平原天然林保护条例》《新疆维吾尔自治区国家级公益林管护办法》《新疆维吾尔自治区天然林保护修复制度实施方案》等法规制度，每年编制中央财政森林生态效益补偿基金实施方案，完善管护员职责等各项制度；建立护林员排查、监管员巡查、检查组监察的三级检查体系，管护人员每月巡护不少于25天，市、县林草主管部门定期检查指导各管护站工作落实情况。</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lang w:val="en-US" w:eastAsia="zh-CN"/>
        </w:rPr>
      </w:pPr>
      <w:r>
        <w:rPr>
          <w:rFonts w:hint="eastAsia"/>
          <w:lang w:val="en-US" w:eastAsia="zh-CN"/>
        </w:rPr>
        <w:t>管护手段方面，逐步引入视频监控、无人机巡护等智能管护技术；探索建立林草资源“一张图”管理系统，实现天然林资源动态监测和精细化管理。</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rPr>
      </w:pPr>
      <w:r>
        <w:rPr>
          <w:rFonts w:hint="eastAsia"/>
        </w:rPr>
        <w:t>资金保障方面，按照国家天然林保护修复相关政策，国家级公益林中央森林生态效益补偿标准逐步提高至每亩10元；201</w:t>
      </w:r>
      <w:r>
        <w:rPr>
          <w:rFonts w:hint="eastAsia"/>
          <w:lang w:val="en-US" w:eastAsia="zh-CN"/>
        </w:rPr>
        <w:t>1</w:t>
      </w:r>
      <w:r>
        <w:rPr>
          <w:rFonts w:hint="eastAsia"/>
        </w:rPr>
        <w:t>-2025年期间中央财政资金到位64</w:t>
      </w:r>
      <w:r>
        <w:rPr>
          <w:rFonts w:hint="eastAsia"/>
          <w:lang w:val="en-US" w:eastAsia="zh-CN"/>
        </w:rPr>
        <w:t>1</w:t>
      </w:r>
      <w:r>
        <w:rPr>
          <w:rFonts w:hint="eastAsia"/>
        </w:rPr>
        <w:t>6.58万元（201</w:t>
      </w:r>
      <w:r>
        <w:rPr>
          <w:rFonts w:hint="eastAsia"/>
          <w:lang w:val="en-US" w:eastAsia="zh-CN"/>
        </w:rPr>
        <w:t>1</w:t>
      </w:r>
      <w:r>
        <w:rPr>
          <w:rFonts w:hint="eastAsia"/>
        </w:rPr>
        <w:t>-2020年到位2791.99万元，2021-2025年到位36</w:t>
      </w:r>
      <w:r>
        <w:rPr>
          <w:rFonts w:hint="eastAsia"/>
          <w:lang w:val="en-US" w:eastAsia="zh-CN"/>
        </w:rPr>
        <w:t>56</w:t>
      </w:r>
      <w:r>
        <w:rPr>
          <w:rFonts w:hint="eastAsia"/>
        </w:rPr>
        <w:t>.59万元）。伊吾县严格执行林业改革发展资金管理实施细则，规范补助资金使用和管理，资金主要用于管护运行保障、管护能力提升、生态修复、科技支撑保障等方面，其中社会保障支出3930.91万元（201</w:t>
      </w:r>
      <w:r>
        <w:rPr>
          <w:rFonts w:hint="eastAsia"/>
          <w:lang w:val="en-US" w:eastAsia="zh-CN"/>
        </w:rPr>
        <w:t>1</w:t>
      </w:r>
      <w:r>
        <w:rPr>
          <w:rFonts w:hint="eastAsia"/>
        </w:rPr>
        <w:t>-2020年1340.73万元，2021-2025年2590.18万元），为天然林保护提供稳定资金支持。资金采用国库集中支付方式，避免补助资金拖欠、挤占、挪用，自觉接受各级审计、财政等部门组织的专项审计，加强资金的管理和有效使用。</w:t>
      </w:r>
    </w:p>
    <w:p>
      <w:pPr>
        <w:pStyle w:val="5"/>
        <w:bidi w:val="0"/>
        <w:rPr>
          <w:rFonts w:hint="eastAsia"/>
          <w:lang w:val="en-US" w:eastAsia="zh-CN"/>
        </w:rPr>
      </w:pPr>
      <w:bookmarkStart w:id="28" w:name="_Toc28186"/>
      <w:r>
        <w:rPr>
          <w:rFonts w:hint="eastAsia"/>
          <w:lang w:val="en-US" w:eastAsia="zh-CN"/>
        </w:rPr>
        <w:t>资源保护成效</w:t>
      </w:r>
      <w:bookmarkEnd w:id="28"/>
    </w:p>
    <w:p>
      <w:pPr>
        <w:pStyle w:val="6"/>
        <w:bidi w:val="0"/>
        <w:rPr>
          <w:rFonts w:hint="eastAsia"/>
        </w:rPr>
      </w:pPr>
      <w:r>
        <w:rPr>
          <w:rFonts w:hint="eastAsia"/>
        </w:rPr>
        <w:t>通过持续保护修复，伊吾县天然林资源实现稳定增长、质量显著提升、功能持续增强。</w:t>
      </w:r>
    </w:p>
    <w:p>
      <w:pPr>
        <w:pStyle w:val="6"/>
        <w:bidi w:val="0"/>
        <w:rPr>
          <w:rFonts w:hint="eastAsia"/>
        </w:rPr>
      </w:pPr>
      <w:r>
        <w:rPr>
          <w:rFonts w:hint="eastAsia"/>
        </w:rPr>
        <w:t>全县天然林主要由乔木林地、疏林地和灌木林地组成，天然林在维护区域生态安全、涵养水源、防风固沙等方面发挥不可替代作用。森林质量方面，2011-2020年依托中央财政森林资源培育资金，伊吾县针对喀尔里克山北坡天然林、淖毛湖荒漠区退化胡杨林和梭梭林实施封育、抚育等生态修复措施，累计完成森林抚育1.35万亩、封山育林4.2万亩，优化林分结构，促进天山云杉、西伯利亚落叶松、胡杨、梭梭等优势树种生长；通过治理，喀尔里克山北坡山地天然林水源涵养能力稳步提高，淖毛湖荒漠区胡杨林、梭梭林防风固沙成效突出。</w:t>
      </w:r>
    </w:p>
    <w:p>
      <w:pPr>
        <w:pStyle w:val="6"/>
        <w:bidi w:val="0"/>
        <w:rPr>
          <w:rFonts w:hint="eastAsia"/>
        </w:rPr>
      </w:pPr>
      <w:r>
        <w:rPr>
          <w:rFonts w:hint="eastAsia"/>
        </w:rPr>
        <w:t>资源保护方面，严格执行全面停止天然林商业性采伐政策，强化林地用途管护，严格审核建设项目使用林地；县林草主管部门加大依法治林力度，联合森林公安、林政执法队伍严厉打击破坏森林资源违法行为，查处各类涉林案件办结率达到100%；通过定期开展森林资源调查监测，深化国家级公益林落界工作，实现精准管护。</w:t>
      </w:r>
    </w:p>
    <w:p>
      <w:pPr>
        <w:pStyle w:val="6"/>
        <w:bidi w:val="0"/>
        <w:rPr>
          <w:rFonts w:hint="eastAsia"/>
        </w:rPr>
      </w:pPr>
      <w:r>
        <w:rPr>
          <w:rFonts w:hint="eastAsia"/>
        </w:rPr>
        <w:t>防灾减灾方面，伊吾县持续加强森林防火体系建设，组建半专业扑火队伍，配备运兵车、消防水车、摩托车等车辆及各类专业防火器材，山区天然林区多年未发生重特大森林火灾和重大责任事故，森林火灾受害率远低于0.9‰的</w:t>
      </w:r>
      <w:r>
        <w:rPr>
          <w:rFonts w:hint="eastAsia"/>
          <w:lang w:eastAsia="zh-CN"/>
        </w:rPr>
        <w:t>“</w:t>
      </w:r>
      <w:r>
        <w:rPr>
          <w:rFonts w:hint="eastAsia"/>
        </w:rPr>
        <w:t>十四五</w:t>
      </w:r>
      <w:r>
        <w:rPr>
          <w:rFonts w:hint="eastAsia"/>
          <w:lang w:eastAsia="zh-CN"/>
        </w:rPr>
        <w:t>”</w:t>
      </w:r>
      <w:r>
        <w:rPr>
          <w:rFonts w:hint="eastAsia"/>
        </w:rPr>
        <w:t>规划目标；建立覆盖全域的林业有害生物监测网络，完成监测和防治工作，林业有害生物成灾率控制在合理范围内。</w:t>
      </w:r>
    </w:p>
    <w:p>
      <w:pPr>
        <w:pStyle w:val="6"/>
        <w:bidi w:val="0"/>
        <w:rPr>
          <w:rFonts w:hint="eastAsia"/>
        </w:rPr>
      </w:pPr>
      <w:r>
        <w:rPr>
          <w:rFonts w:hint="eastAsia"/>
        </w:rPr>
        <w:t>社会效益方面，伊吾县通过多渠道、多形式开展生态文明宣传教育，持续推进</w:t>
      </w:r>
      <w:r>
        <w:rPr>
          <w:rFonts w:hint="eastAsia"/>
          <w:lang w:eastAsia="zh-CN"/>
        </w:rPr>
        <w:t>“</w:t>
      </w:r>
      <w:r>
        <w:rPr>
          <w:rFonts w:hint="eastAsia"/>
        </w:rPr>
        <w:t>天然林保护进校园、进社区、进广场</w:t>
      </w:r>
      <w:r>
        <w:rPr>
          <w:rFonts w:hint="eastAsia"/>
          <w:lang w:eastAsia="zh-CN"/>
        </w:rPr>
        <w:t>”</w:t>
      </w:r>
      <w:r>
        <w:rPr>
          <w:rFonts w:hint="eastAsia"/>
        </w:rPr>
        <w:t>活动，形成全社会共同参与天然林保护的浓厚氛围；通过设置护林员岗位、完善生态补偿机制，优先从已脱贫家庭中选聘生态护林员，2011-2025年期间累计吸纳当地劳动力就业1981人，林区职工</w:t>
      </w:r>
      <w:r>
        <w:rPr>
          <w:rFonts w:hint="eastAsia"/>
          <w:lang w:val="en-US" w:eastAsia="zh-CN"/>
        </w:rPr>
        <w:t>月</w:t>
      </w:r>
      <w:r>
        <w:rPr>
          <w:rFonts w:hint="eastAsia"/>
        </w:rPr>
        <w:t>均收入由2011年880元增长至2025年6709.68元，巩固脱贫攻坚成果，实现生态保护与经济发展的良性互动。</w:t>
      </w:r>
    </w:p>
    <w:p>
      <w:pPr>
        <w:pStyle w:val="4"/>
        <w:numPr>
          <w:ilvl w:val="0"/>
          <w:numId w:val="5"/>
        </w:numPr>
        <w:bidi w:val="0"/>
        <w:rPr>
          <w:rFonts w:hint="default"/>
          <w:lang w:val="en-US" w:eastAsia="zh-CN"/>
        </w:rPr>
      </w:pPr>
      <w:bookmarkStart w:id="29" w:name="_Toc24080"/>
      <w:r>
        <w:rPr>
          <w:rFonts w:hint="eastAsia"/>
          <w:lang w:val="en-US" w:eastAsia="zh-CN"/>
        </w:rPr>
        <w:t>现有管护能力</w:t>
      </w:r>
      <w:bookmarkEnd w:id="29"/>
    </w:p>
    <w:p>
      <w:pPr>
        <w:pStyle w:val="5"/>
        <w:numPr>
          <w:ilvl w:val="0"/>
          <w:numId w:val="6"/>
        </w:numPr>
        <w:bidi w:val="0"/>
        <w:rPr>
          <w:rFonts w:hint="eastAsia"/>
          <w:lang w:val="en-US" w:eastAsia="zh-CN"/>
        </w:rPr>
      </w:pPr>
      <w:bookmarkStart w:id="30" w:name="_Toc23349"/>
      <w:r>
        <w:rPr>
          <w:rFonts w:hint="eastAsia"/>
          <w:lang w:val="en-US" w:eastAsia="zh-CN"/>
        </w:rPr>
        <w:t>管护站点建设</w:t>
      </w:r>
      <w:bookmarkEnd w:id="30"/>
    </w:p>
    <w:p>
      <w:pPr>
        <w:pStyle w:val="6"/>
        <w:bidi w:val="0"/>
        <w:rPr>
          <w:rFonts w:hint="eastAsia"/>
          <w:lang w:val="en-US" w:eastAsia="zh-CN"/>
        </w:rPr>
      </w:pPr>
      <w:r>
        <w:rPr>
          <w:rFonts w:hint="eastAsia"/>
          <w:lang w:val="en-US" w:eastAsia="zh-CN"/>
        </w:rPr>
        <w:t>伊吾县现有管护站点7个，包括1个中心管护站（伊吾县公益林中心管护站）、6个一般管护站（苇子峡乡管护站、吐葫芦乡管护站、淖毛湖镇管护站、淖毛湖沙枣泉管护站、下马崖乡管护站、盐池镇管护站），覆盖喀尔里克山北坡山地森林、淖毛湖荒漠林带、伊吾山间盆地等不同地理区位，形成了层次分明、功能互补的管护网络体系。各站点分片负责各自辖区的日常巡护和管理工作，管护面积合计203.40万亩。</w:t>
      </w:r>
    </w:p>
    <w:p>
      <w:pPr>
        <w:pStyle w:val="6"/>
        <w:bidi w:val="0"/>
        <w:rPr>
          <w:rFonts w:hint="eastAsia"/>
          <w:lang w:val="en-US" w:eastAsia="zh-CN"/>
        </w:rPr>
      </w:pPr>
      <w:r>
        <w:rPr>
          <w:rFonts w:hint="eastAsia"/>
          <w:lang w:val="en-US" w:eastAsia="zh-CN"/>
        </w:rPr>
        <w:t>从地理分布看，部分站点位于林农交错地带，重点防范盗伐滥伐、毁林开垦、非法占用林地等人为破坏行为；部分站点位于荒漠戈壁地带，主要承担荒漠胡杨林、梭梭林的保护和退化林修复任务；部分站点位于森林火险高发地段，专职负责森林防火和应急处置工作。</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lang w:val="en-US" w:eastAsia="zh-CN"/>
        </w:rPr>
      </w:pPr>
      <w:r>
        <w:rPr>
          <w:rFonts w:hint="eastAsia"/>
          <w:lang w:val="en-US" w:eastAsia="zh-CN"/>
        </w:rPr>
        <w:t>伊吾县管护站点建设水平总体良好，但受历史条件和地理环境限制，管护站点基础设施仍存在不足。现有站点建筑质量较好，基本满足管护人员日常工作和生活需求。位于林农交错地带的部分站点条件相对较好，能够接入自来水和国家电网，采用电采暖或热力供暖，生活条件较好；位于荒漠戈壁地带的站点受地理条件限制，主要采用井水供应、太阳能发电、煤取暖，生活条件相对艰苦，但均配备消防设施、一氧化碳报警器等安全设施，保障管护人员安全。各站点均配备宿舍、厨房、餐厅等基本生活用房，部分站点还配备会议室等功能用房，布局较为完善，基本满足当前管护工作需要。</w:t>
      </w:r>
    </w:p>
    <w:p>
      <w:pPr>
        <w:pStyle w:val="5"/>
        <w:bidi w:val="0"/>
        <w:rPr>
          <w:rFonts w:hint="eastAsia"/>
          <w:lang w:val="en-US" w:eastAsia="zh-CN"/>
        </w:rPr>
      </w:pPr>
      <w:bookmarkStart w:id="31" w:name="_Toc30419"/>
      <w:r>
        <w:rPr>
          <w:rFonts w:hint="eastAsia"/>
          <w:lang w:val="en-US" w:eastAsia="zh-CN"/>
        </w:rPr>
        <w:t>管护队伍配置</w:t>
      </w:r>
      <w:bookmarkEnd w:id="31"/>
    </w:p>
    <w:p>
      <w:pPr>
        <w:pStyle w:val="6"/>
        <w:bidi w:val="0"/>
        <w:rPr>
          <w:rFonts w:hint="eastAsia"/>
        </w:rPr>
      </w:pPr>
      <w:r>
        <w:rPr>
          <w:rFonts w:hint="eastAsia"/>
        </w:rPr>
        <w:t>伊吾县现有一线管护人员</w:t>
      </w:r>
      <w:r>
        <w:rPr>
          <w:rFonts w:hint="eastAsia"/>
          <w:lang w:val="en-US" w:eastAsia="zh-CN"/>
        </w:rPr>
        <w:t>89</w:t>
      </w:r>
      <w:r>
        <w:rPr>
          <w:rFonts w:hint="eastAsia"/>
        </w:rPr>
        <w:t>人。</w:t>
      </w:r>
      <w:r>
        <w:rPr>
          <w:rFonts w:hint="eastAsia"/>
          <w:lang w:val="en-US" w:eastAsia="zh-CN"/>
        </w:rPr>
        <w:t>聘用</w:t>
      </w:r>
      <w:r>
        <w:rPr>
          <w:rFonts w:hint="eastAsia"/>
        </w:rPr>
        <w:t>管护人员按照公开招聘、择优录取的原则选聘，优先从已脱贫家庭中选聘生态护林员。所有管护人员均完成岗前培训后上岗，承担政策宣传、护林防火、盗伐毁林巡护等工作。伊吾县管护面积203.40万亩，人均管护面积约2.29万亩，管护强度较大，管护压力较重。</w:t>
      </w:r>
    </w:p>
    <w:p>
      <w:pPr>
        <w:pStyle w:val="6"/>
        <w:bidi w:val="0"/>
        <w:rPr>
          <w:rFonts w:hint="eastAsia"/>
        </w:rPr>
      </w:pPr>
      <w:r>
        <w:rPr>
          <w:rFonts w:hint="eastAsia"/>
        </w:rPr>
        <w:t>伊吾县建立了</w:t>
      </w:r>
      <w:r>
        <w:rPr>
          <w:rFonts w:hint="eastAsia"/>
          <w:lang w:eastAsia="zh-CN"/>
        </w:rPr>
        <w:t>“</w:t>
      </w:r>
      <w:r>
        <w:rPr>
          <w:rFonts w:hint="eastAsia"/>
        </w:rPr>
        <w:t>场-站-员</w:t>
      </w:r>
      <w:r>
        <w:rPr>
          <w:rFonts w:hint="eastAsia"/>
          <w:lang w:eastAsia="zh-CN"/>
        </w:rPr>
        <w:t>”</w:t>
      </w:r>
      <w:r>
        <w:rPr>
          <w:rFonts w:hint="eastAsia"/>
        </w:rPr>
        <w:t>三级管护管理体系，形成护林员排查、监管员巡查、检查组监察的三级检查机制。各管护站每月组织本站管护人员开展集中学习，每周组织集中培训，不断提升管护人员业务能力和责任意识。管护人员严格执行管护制度，每月巡护不少于25天，重点加强盗伐乱伐、毁林开垦、非法占用林地、乱捕滥猎野生动物、乱采乱挖野生植物等方面的巡护监管，强化林区火灾隐患排查，对林业有害生物进行重点监测和防治。各管护站对管辖区管护工作进行监督指导，不定期检查各项工作落实情况，发现问题及时解决。市林草主管部门定期组织工作人员对各管护站人员到位、巡护管理、资金使用和基础设施建设等方面进行检查指导，确保各项工作落到实处，形成了责任明确、运转高效的管护工作格局。</w:t>
      </w:r>
    </w:p>
    <w:p>
      <w:pPr>
        <w:pStyle w:val="5"/>
        <w:bidi w:val="0"/>
        <w:rPr>
          <w:rFonts w:hint="default"/>
          <w:lang w:val="en-US" w:eastAsia="zh-CN"/>
        </w:rPr>
      </w:pPr>
      <w:bookmarkStart w:id="32" w:name="_Toc15479"/>
      <w:r>
        <w:rPr>
          <w:rFonts w:hint="eastAsia"/>
          <w:lang w:val="en-US" w:eastAsia="zh-CN"/>
        </w:rPr>
        <w:t>设施设备配备</w:t>
      </w:r>
      <w:bookmarkEnd w:id="32"/>
    </w:p>
    <w:p>
      <w:pPr>
        <w:pStyle w:val="6"/>
        <w:bidi w:val="0"/>
        <w:rPr>
          <w:rFonts w:hint="default"/>
          <w:lang w:val="en-US" w:eastAsia="zh-CN"/>
        </w:rPr>
      </w:pPr>
      <w:r>
        <w:rPr>
          <w:rFonts w:hint="eastAsia"/>
          <w:lang w:val="en-US" w:eastAsia="zh-CN"/>
        </w:rPr>
        <w:t>伊吾县</w:t>
      </w:r>
      <w:r>
        <w:rPr>
          <w:rFonts w:hint="default"/>
          <w:lang w:val="en-US" w:eastAsia="zh-CN"/>
        </w:rPr>
        <w:t>现有巡护车辆</w:t>
      </w:r>
      <w:r>
        <w:rPr>
          <w:rFonts w:hint="eastAsia"/>
          <w:lang w:val="en-US" w:eastAsia="zh-CN"/>
        </w:rPr>
        <w:t>17</w:t>
      </w:r>
      <w:r>
        <w:rPr>
          <w:rFonts w:hint="default"/>
          <w:lang w:val="en-US" w:eastAsia="zh-CN"/>
        </w:rPr>
        <w:t>辆，全部为摩托车，主要用于管护人员日常巡护、森林防火、林业有害生物防治、应急处置等工作；现有智能管护设备</w:t>
      </w:r>
      <w:r>
        <w:rPr>
          <w:rFonts w:hint="eastAsia"/>
          <w:lang w:val="en-US" w:eastAsia="zh-CN"/>
        </w:rPr>
        <w:t>4</w:t>
      </w:r>
      <w:r>
        <w:rPr>
          <w:rFonts w:hint="default"/>
          <w:lang w:val="en-US" w:eastAsia="zh-CN"/>
        </w:rPr>
        <w:t>套，包括1套多旋翼无人机、</w:t>
      </w:r>
      <w:r>
        <w:rPr>
          <w:rFonts w:hint="eastAsia"/>
          <w:lang w:val="en-US" w:eastAsia="zh-CN"/>
        </w:rPr>
        <w:t>3</w:t>
      </w:r>
      <w:r>
        <w:rPr>
          <w:rFonts w:hint="default"/>
          <w:lang w:val="en-US" w:eastAsia="zh-CN"/>
        </w:rPr>
        <w:t>套视频定点监控设备（摄像头），用于实时监测森林资源动态、火情预警等；现有应急处理设施设备233个（套），包括消防设施、一氧化碳报警器等，主要分布在各管护站点，用于保障管护人员安全和应对突发事件。装备配置基本满足日常巡护和监测需要，但与现代化管护需求相比仍存在较大差距。</w:t>
      </w:r>
      <w:r>
        <w:rPr>
          <w:rFonts w:hint="eastAsia"/>
          <w:lang w:val="en-US" w:eastAsia="zh-CN"/>
        </w:rPr>
        <w:t>伊吾</w:t>
      </w:r>
      <w:r>
        <w:rPr>
          <w:rFonts w:hint="default"/>
          <w:lang w:val="en-US" w:eastAsia="zh-CN"/>
        </w:rPr>
        <w:t>县尚未配备汽车等大型巡护车辆，在远距离巡护、物资运输、应急处置等方面存在不足；在智能管护设备配置上相对薄弱，缺少固定翼无人机、高空云台等先进技术装备，在手持终端、安全防护装备配备方面也存在空白，制约了管护效率和应急响应能力的提升。</w:t>
      </w:r>
    </w:p>
    <w:p>
      <w:pPr>
        <w:pStyle w:val="6"/>
        <w:bidi w:val="0"/>
        <w:rPr>
          <w:rFonts w:hint="default"/>
          <w:lang w:val="en-US" w:eastAsia="zh-CN"/>
        </w:rPr>
        <w:sectPr>
          <w:pgSz w:w="11906" w:h="16838"/>
          <w:pgMar w:top="1440" w:right="1800" w:bottom="1440" w:left="1800" w:header="851" w:footer="992" w:gutter="0"/>
          <w:pgNumType w:fmt="decimal"/>
          <w:cols w:space="425" w:num="1"/>
          <w:docGrid w:type="lines" w:linePitch="312" w:charSpace="0"/>
        </w:sectPr>
      </w:pPr>
    </w:p>
    <w:p>
      <w:pPr>
        <w:pStyle w:val="3"/>
        <w:numPr>
          <w:ilvl w:val="0"/>
          <w:numId w:val="3"/>
        </w:numPr>
        <w:bidi w:val="0"/>
        <w:rPr>
          <w:rFonts w:hint="default"/>
          <w:lang w:val="en-US" w:eastAsia="zh-CN"/>
        </w:rPr>
      </w:pPr>
      <w:bookmarkStart w:id="33" w:name="_Toc24935"/>
      <w:bookmarkStart w:id="34" w:name="_Toc22812"/>
      <w:r>
        <w:rPr>
          <w:rFonts w:hint="default"/>
          <w:lang w:val="en-US" w:eastAsia="zh-CN"/>
        </w:rPr>
        <w:t>面临的形势与问题</w:t>
      </w:r>
      <w:bookmarkEnd w:id="33"/>
      <w:bookmarkEnd w:id="34"/>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default" w:ascii="仿宋" w:hAnsi="仿宋" w:eastAsia="仿宋" w:cs="仿宋"/>
          <w:snapToGrid/>
          <w:color w:val="auto"/>
          <w:kern w:val="2"/>
          <w:sz w:val="27"/>
          <w:szCs w:val="27"/>
          <w:lang w:val="en-US" w:eastAsia="zh-CN"/>
        </w:rPr>
      </w:pPr>
    </w:p>
    <w:p>
      <w:pPr>
        <w:pStyle w:val="4"/>
        <w:keepNext w:val="0"/>
        <w:keepLines w:val="0"/>
        <w:pageBreakBefore w:val="0"/>
        <w:widowControl w:val="0"/>
        <w:numPr>
          <w:ilvl w:val="0"/>
          <w:numId w:val="7"/>
        </w:numPr>
        <w:kinsoku/>
        <w:wordWrap/>
        <w:overflowPunct/>
        <w:topLinePunct w:val="0"/>
        <w:autoSpaceDE/>
        <w:autoSpaceDN/>
        <w:bidi w:val="0"/>
        <w:spacing w:after="157" w:afterLines="50"/>
        <w:ind w:left="10" w:firstLine="531" w:firstLineChars="196"/>
        <w:textAlignment w:val="auto"/>
        <w:rPr>
          <w:rFonts w:hint="default"/>
          <w:snapToGrid/>
          <w:color w:val="auto"/>
          <w:kern w:val="2"/>
          <w:lang w:val="en-US" w:eastAsia="zh-CN"/>
        </w:rPr>
      </w:pPr>
      <w:bookmarkStart w:id="35" w:name="_Toc23155"/>
      <w:bookmarkStart w:id="36" w:name="_Toc27314"/>
      <w:r>
        <w:rPr>
          <w:rFonts w:hint="default"/>
          <w:snapToGrid/>
          <w:color w:val="auto"/>
          <w:kern w:val="2"/>
          <w:lang w:val="en-US" w:eastAsia="zh-CN"/>
        </w:rPr>
        <w:t>面临形势</w:t>
      </w:r>
      <w:bookmarkEnd w:id="35"/>
      <w:bookmarkEnd w:id="36"/>
    </w:p>
    <w:p>
      <w:pPr>
        <w:pStyle w:val="5"/>
        <w:keepNext w:val="0"/>
        <w:keepLines w:val="0"/>
        <w:pageBreakBefore w:val="0"/>
        <w:numPr>
          <w:ilvl w:val="0"/>
          <w:numId w:val="8"/>
        </w:numPr>
        <w:kinsoku/>
        <w:wordWrap/>
        <w:overflowPunct/>
        <w:topLinePunct w:val="0"/>
        <w:bidi w:val="0"/>
        <w:textAlignment w:val="auto"/>
        <w:rPr>
          <w:rFonts w:hint="default"/>
          <w:lang w:val="en-US" w:eastAsia="zh-CN"/>
        </w:rPr>
      </w:pPr>
      <w:r>
        <w:rPr>
          <w:rFonts w:hint="default"/>
          <w:lang w:val="en-US" w:eastAsia="zh-CN"/>
        </w:rPr>
        <w:t>政策支持持续加强，战略地位日益凸显</w:t>
      </w:r>
    </w:p>
    <w:p>
      <w:pPr>
        <w:pStyle w:val="6"/>
        <w:bidi w:val="0"/>
        <w:ind w:left="0" w:leftChars="0" w:firstLine="540" w:firstLineChars="200"/>
        <w:rPr>
          <w:rFonts w:hint="default"/>
          <w:lang w:val="en-US" w:eastAsia="zh-CN"/>
        </w:rPr>
      </w:pPr>
      <w:r>
        <w:rPr>
          <w:rFonts w:hint="default"/>
          <w:lang w:val="en-US" w:eastAsia="zh-CN"/>
        </w:rPr>
        <w:t>党的二十大和二十届二中、三中全会对生态文明建设作出全面部署，习近平总书记在第三次中央新疆工作座谈会上强调</w:t>
      </w:r>
      <w:r>
        <w:rPr>
          <w:rFonts w:hint="eastAsia"/>
          <w:lang w:val="en-US" w:eastAsia="zh-CN"/>
        </w:rPr>
        <w:t>“</w:t>
      </w:r>
      <w:r>
        <w:rPr>
          <w:rFonts w:hint="default"/>
          <w:lang w:val="en-US" w:eastAsia="zh-CN"/>
        </w:rPr>
        <w:t>坚持绿水青山就是金山银山理念，坚决守住生态保护红线，统筹开展治沙治水和森林草原保护工作</w:t>
      </w:r>
      <w:r>
        <w:rPr>
          <w:rFonts w:hint="eastAsia"/>
          <w:lang w:val="en-US" w:eastAsia="zh-CN"/>
        </w:rPr>
        <w:t>”</w:t>
      </w:r>
      <w:r>
        <w:rPr>
          <w:rFonts w:hint="default"/>
          <w:lang w:val="en-US" w:eastAsia="zh-CN"/>
        </w:rPr>
        <w:t>，为伊吾县天然林保护修复工作指明了方向。国家</w:t>
      </w:r>
      <w:r>
        <w:rPr>
          <w:rFonts w:hint="eastAsia"/>
          <w:lang w:val="en-US" w:eastAsia="zh-CN"/>
        </w:rPr>
        <w:t>“</w:t>
      </w:r>
      <w:r>
        <w:rPr>
          <w:rFonts w:hint="default"/>
          <w:lang w:val="en-US" w:eastAsia="zh-CN"/>
        </w:rPr>
        <w:t>双碳</w:t>
      </w:r>
      <w:r>
        <w:rPr>
          <w:rFonts w:hint="eastAsia"/>
          <w:lang w:val="en-US" w:eastAsia="zh-CN"/>
        </w:rPr>
        <w:t>”</w:t>
      </w:r>
      <w:r>
        <w:rPr>
          <w:rFonts w:hint="default"/>
          <w:lang w:val="en-US" w:eastAsia="zh-CN"/>
        </w:rPr>
        <w:t>目标和生态文明建设总体要求，为天然林保护修复提供了重大战略机遇。</w:t>
      </w:r>
    </w:p>
    <w:p>
      <w:pPr>
        <w:pStyle w:val="6"/>
        <w:bidi w:val="0"/>
        <w:ind w:left="0" w:leftChars="0" w:firstLine="0" w:firstLineChars="0"/>
        <w:rPr>
          <w:rFonts w:hint="default"/>
          <w:lang w:val="en-US" w:eastAsia="zh-CN"/>
        </w:rPr>
      </w:pPr>
      <w:r>
        <w:rPr>
          <w:rFonts w:hint="default"/>
          <w:lang w:val="en-US" w:eastAsia="zh-CN"/>
        </w:rPr>
        <w:t>伊吾县地处东天山北麓东段与蒙新高原交汇地带，北与蒙古国接壤，东北部是新疆向外开放的重要区域，县域天然林既是喀尔里克山—莫钦乌拉山水源涵养的核心支撑，又是阻隔淖毛湖盆地荒漠南侵、维护伊吾河流域绿洲农牧业生产安全的重要屏障，战略地位不可替代。全面推进美丽新疆、美丽哈密建设的现实需要，使伊吾县天然林保护修复工作的重要性进一步凸显。</w:t>
      </w:r>
    </w:p>
    <w:p>
      <w:pPr>
        <w:pStyle w:val="5"/>
        <w:keepNext w:val="0"/>
        <w:keepLines w:val="0"/>
        <w:pageBreakBefore w:val="0"/>
        <w:numPr>
          <w:ilvl w:val="0"/>
          <w:numId w:val="8"/>
        </w:numPr>
        <w:kinsoku/>
        <w:wordWrap/>
        <w:overflowPunct/>
        <w:topLinePunct w:val="0"/>
        <w:bidi w:val="0"/>
        <w:textAlignment w:val="auto"/>
        <w:rPr>
          <w:rFonts w:hint="default"/>
          <w:lang w:val="en-US" w:eastAsia="zh-CN"/>
        </w:rPr>
      </w:pPr>
      <w:r>
        <w:rPr>
          <w:rFonts w:hint="default"/>
          <w:lang w:val="en-US" w:eastAsia="zh-CN"/>
        </w:rPr>
        <w:t>重大规划协同发力，政策支撑体系日趋完善</w:t>
      </w:r>
    </w:p>
    <w:p>
      <w:pPr>
        <w:pStyle w:val="6"/>
        <w:bidi w:val="0"/>
        <w:ind w:left="0" w:leftChars="0" w:firstLine="540" w:firstLineChars="200"/>
        <w:rPr>
          <w:rFonts w:hint="default"/>
          <w:lang w:val="en-US" w:eastAsia="zh-CN"/>
        </w:rPr>
      </w:pPr>
      <w:r>
        <w:rPr>
          <w:rFonts w:hint="default"/>
          <w:lang w:val="en-US" w:eastAsia="zh-CN"/>
        </w:rPr>
        <w:t>《全国天然林保护修复中长期规划（2021—2035年）》《北方防沙带生态保护和修复重大工程建设规划（2021—2035年）》《新疆重要生态系统保护和修复重大工程规划（2021—2035年）》等国家级规划，将伊吾县天然林保护修复纳入统一部署，为工作推进提供了政策遵循和任务支撑。《新疆维吾尔自治区天然林保护修复制度实施方案》《新疆三北工程六期规划》等自治区文件，进一步明确了区域天然林保护修复的重点方向和工作要求，政策保障体系日趋完善。</w:t>
      </w:r>
    </w:p>
    <w:p>
      <w:pPr>
        <w:pStyle w:val="5"/>
        <w:keepNext w:val="0"/>
        <w:keepLines w:val="0"/>
        <w:pageBreakBefore w:val="0"/>
        <w:numPr>
          <w:ilvl w:val="0"/>
          <w:numId w:val="8"/>
        </w:numPr>
        <w:kinsoku/>
        <w:wordWrap/>
        <w:overflowPunct/>
        <w:topLinePunct w:val="0"/>
        <w:bidi w:val="0"/>
        <w:textAlignment w:val="auto"/>
        <w:rPr>
          <w:rFonts w:hint="default"/>
          <w:lang w:val="en-US" w:eastAsia="zh-CN"/>
        </w:rPr>
      </w:pPr>
      <w:r>
        <w:rPr>
          <w:rFonts w:hint="default"/>
          <w:lang w:val="en-US" w:eastAsia="zh-CN"/>
        </w:rPr>
        <w:t>科技手段加快发展，现代化管护条件日趋成熟</w:t>
      </w:r>
    </w:p>
    <w:p>
      <w:pPr>
        <w:pStyle w:val="6"/>
        <w:keepNext w:val="0"/>
        <w:keepLines w:val="0"/>
        <w:pageBreakBefore w:val="0"/>
        <w:widowControl w:val="0"/>
        <w:kinsoku w:val="0"/>
        <w:wordWrap/>
        <w:overflowPunct/>
        <w:topLinePunct w:val="0"/>
        <w:autoSpaceDE/>
        <w:autoSpaceDN/>
        <w:bidi w:val="0"/>
        <w:adjustRightInd w:val="0"/>
        <w:snapToGrid w:val="0"/>
        <w:ind w:left="0" w:leftChars="0" w:firstLine="540" w:firstLineChars="200"/>
        <w:textAlignment w:val="baseline"/>
        <w:rPr>
          <w:rFonts w:hint="default"/>
          <w:lang w:val="en-US" w:eastAsia="zh-CN"/>
        </w:rPr>
      </w:pPr>
      <w:r>
        <w:rPr>
          <w:rFonts w:hint="default"/>
          <w:lang w:val="en-US" w:eastAsia="zh-CN"/>
        </w:rPr>
        <w:t>卫星遥感、无人机巡护、视频监控、大数据、人工智能等现代信息技术加速应用，为天然林资源动态监测、精准管护和科学决策提供了技术支撑。节水滴灌、引洪灌溉、微地形整治等工程技术日趋成熟，为干旱区荒漠天然林修复提供了可行路径。智能化管护平台建设加快推进，为提升伊吾县基层管护效率创造了有利条件。</w:t>
      </w:r>
    </w:p>
    <w:p>
      <w:pPr>
        <w:pStyle w:val="5"/>
        <w:keepNext w:val="0"/>
        <w:keepLines w:val="0"/>
        <w:pageBreakBefore w:val="0"/>
        <w:kinsoku/>
        <w:wordWrap/>
        <w:overflowPunct/>
        <w:topLinePunct w:val="0"/>
        <w:bidi w:val="0"/>
        <w:textAlignment w:val="auto"/>
        <w:rPr>
          <w:rFonts w:hint="default"/>
          <w:lang w:val="en-US" w:eastAsia="zh-CN"/>
        </w:rPr>
      </w:pPr>
      <w:r>
        <w:rPr>
          <w:rFonts w:hint="default"/>
          <w:lang w:val="en-US" w:eastAsia="zh-CN"/>
        </w:rPr>
        <w:t>区域生态安全需求更加紧迫</w:t>
      </w:r>
    </w:p>
    <w:p>
      <w:pPr>
        <w:pStyle w:val="6"/>
        <w:bidi w:val="0"/>
        <w:ind w:left="0" w:leftChars="0" w:firstLine="540" w:firstLineChars="200"/>
        <w:rPr>
          <w:rFonts w:hint="default"/>
          <w:lang w:val="en-US" w:eastAsia="zh-CN"/>
        </w:rPr>
      </w:pPr>
      <w:r>
        <w:rPr>
          <w:rFonts w:hint="default"/>
          <w:lang w:val="en-US" w:eastAsia="zh-CN"/>
        </w:rPr>
        <w:t>伊吾县全县多年平均水资源总量仅2.46亿立方米，县域内气候差异显著、水资源极度匮乏，北部淖毛湖盆地年均降水量仅11.5—40.0毫米、属极干旱区，蒸发量高达4378毫米，降蒸比例极度失衡。气候变化加剧背景下，喀尔里克山冰川加速退缩，伊吾河等主要供水河流径流量持续减少，荒漠化压力不断加大。全县203.35万亩天然林横跨山地针叶林、河谷阔叶林和淖毛湖盆地荒漠胡杨梭梭林三大生态系统，在涵养水源、防风固沙、维护生物多样性等方面发挥着不可替代的生态功能，守护这片在高寒与极端干旱双重约束下形成的珍贵天然林，是筑牢东天山北部生态安全防线的现实需要。</w:t>
      </w:r>
    </w:p>
    <w:p>
      <w:pPr>
        <w:pStyle w:val="4"/>
        <w:keepNext w:val="0"/>
        <w:keepLines w:val="0"/>
        <w:pageBreakBefore w:val="0"/>
        <w:widowControl w:val="0"/>
        <w:numPr>
          <w:ilvl w:val="0"/>
          <w:numId w:val="7"/>
        </w:numPr>
        <w:kinsoku/>
        <w:wordWrap/>
        <w:overflowPunct/>
        <w:topLinePunct w:val="0"/>
        <w:autoSpaceDE/>
        <w:autoSpaceDN/>
        <w:bidi w:val="0"/>
        <w:spacing w:after="157" w:afterLines="50"/>
        <w:ind w:left="10" w:firstLine="531" w:firstLineChars="196"/>
        <w:textAlignment w:val="auto"/>
        <w:rPr>
          <w:rFonts w:hint="default"/>
          <w:snapToGrid/>
          <w:color w:val="auto"/>
          <w:kern w:val="2"/>
          <w:lang w:val="en-US" w:eastAsia="zh-CN"/>
        </w:rPr>
      </w:pPr>
      <w:bookmarkStart w:id="37" w:name="_Toc1741"/>
      <w:bookmarkStart w:id="38" w:name="_Toc1601"/>
      <w:r>
        <w:rPr>
          <w:rFonts w:hint="default"/>
          <w:snapToGrid/>
          <w:color w:val="auto"/>
          <w:kern w:val="2"/>
          <w:lang w:val="en-US" w:eastAsia="zh-CN"/>
        </w:rPr>
        <w:t>主要问题及对策</w:t>
      </w:r>
      <w:bookmarkEnd w:id="37"/>
      <w:bookmarkEnd w:id="38"/>
    </w:p>
    <w:p>
      <w:pPr>
        <w:pStyle w:val="5"/>
        <w:keepNext w:val="0"/>
        <w:keepLines w:val="0"/>
        <w:pageBreakBefore w:val="0"/>
        <w:numPr>
          <w:ilvl w:val="0"/>
          <w:numId w:val="9"/>
        </w:numPr>
        <w:kinsoku/>
        <w:wordWrap/>
        <w:overflowPunct/>
        <w:topLinePunct w:val="0"/>
        <w:bidi w:val="0"/>
        <w:textAlignment w:val="auto"/>
        <w:rPr>
          <w:rFonts w:hint="default"/>
          <w:lang w:val="en-US" w:eastAsia="zh-CN"/>
        </w:rPr>
      </w:pPr>
      <w:r>
        <w:rPr>
          <w:rFonts w:hint="default"/>
          <w:lang w:val="en-US" w:eastAsia="zh-CN"/>
        </w:rPr>
        <w:t>天然林资源质量整体偏低，荒漠林退化问题较为突出</w:t>
      </w:r>
    </w:p>
    <w:p>
      <w:pPr>
        <w:pStyle w:val="6"/>
        <w:bidi w:val="0"/>
        <w:ind w:left="0" w:leftChars="0" w:firstLine="540" w:firstLineChars="200"/>
        <w:rPr>
          <w:rFonts w:hint="default"/>
          <w:lang w:val="en-US" w:eastAsia="zh-CN"/>
        </w:rPr>
      </w:pPr>
      <w:r>
        <w:rPr>
          <w:rFonts w:hint="default"/>
          <w:lang w:val="en-US" w:eastAsia="zh-CN"/>
        </w:rPr>
        <w:t>伊吾县天然林203.35万亩，其中灌木林面积187.75万亩，占天然林面积的92.33%，乔木林地仅12.68万亩，占6.2</w:t>
      </w:r>
      <w:r>
        <w:rPr>
          <w:rFonts w:hint="eastAsia"/>
          <w:lang w:val="en-US" w:eastAsia="zh-CN"/>
        </w:rPr>
        <w:t>4</w:t>
      </w:r>
      <w:r>
        <w:rPr>
          <w:rFonts w:hint="default"/>
          <w:lang w:val="en-US" w:eastAsia="zh-CN"/>
        </w:rPr>
        <w:t>%，林分整体质量偏低，以荒漠灌木林为绝对主体。山地天然林方面，喀尔里克山北坡和莫钦乌拉山针叶林呈窄带状分布，受气候变化、雪灾影响，局部林分存在稀疏、郁闭度不均、自然更新困难等问题，水源涵养和水土保持功能有待提升。荒漠林方面，淖毛湖盆地胡杨林受地下水位持续下降影响，枯立木逐年增多，种群更新困难，退化趋势突出；梭梭林、柽柳林等荒漠灌木林受气候变化和过度放牧影响，植被盖度持续下降，局部区域自然更新受阻，生态防护功能减弱。</w:t>
      </w:r>
    </w:p>
    <w:p>
      <w:pPr>
        <w:pStyle w:val="6"/>
        <w:keepNext w:val="0"/>
        <w:keepLines w:val="0"/>
        <w:pageBreakBefore w:val="0"/>
        <w:widowControl w:val="0"/>
        <w:kinsoku w:val="0"/>
        <w:wordWrap/>
        <w:overflowPunct/>
        <w:topLinePunct w:val="0"/>
        <w:autoSpaceDE/>
        <w:autoSpaceDN/>
        <w:bidi w:val="0"/>
        <w:adjustRightInd w:val="0"/>
        <w:snapToGrid w:val="0"/>
        <w:ind w:left="0" w:leftChars="0" w:firstLine="540" w:firstLineChars="200"/>
        <w:textAlignment w:val="baseline"/>
        <w:rPr>
          <w:rFonts w:hint="default"/>
          <w:lang w:val="en-US" w:eastAsia="zh-CN"/>
        </w:rPr>
      </w:pPr>
      <w:r>
        <w:rPr>
          <w:rFonts w:hint="default"/>
          <w:lang w:val="en-US" w:eastAsia="zh-CN"/>
        </w:rPr>
        <w:t>对策建议：坚持</w:t>
      </w:r>
      <w:r>
        <w:rPr>
          <w:rFonts w:hint="eastAsia"/>
          <w:lang w:val="en-US" w:eastAsia="zh-CN"/>
        </w:rPr>
        <w:t>“</w:t>
      </w:r>
      <w:r>
        <w:rPr>
          <w:rFonts w:hint="default"/>
          <w:lang w:val="en-US" w:eastAsia="zh-CN"/>
        </w:rPr>
        <w:t>自然恢复为主、人工促进为辅</w:t>
      </w:r>
      <w:r>
        <w:rPr>
          <w:rFonts w:hint="eastAsia"/>
          <w:lang w:val="en-US" w:eastAsia="zh-CN"/>
        </w:rPr>
        <w:t>”</w:t>
      </w:r>
      <w:r>
        <w:rPr>
          <w:rFonts w:hint="default"/>
          <w:lang w:val="en-US" w:eastAsia="zh-CN"/>
        </w:rPr>
        <w:t>，分类施策。对淖毛湖盆地胡杨林退化区域，采取封育与适度引洪补水相结合的修复模式，充分利用伊吾河流域及三塘湖盆地季节性洪水资源，在水源条件允许区域探索生态补水措施，逐步恢复胡杨林生态功能；对梭梭林、柽柳林等荒漠灌木林退化区域，以封育管护为主，严格控制放牧和人为干扰，增强林分自然恢复能力；对山地林区局部退化林分，因地制宜开展小规模人工辅助更新，鼓励多树种混交，提升林分稳定性。</w:t>
      </w:r>
    </w:p>
    <w:p>
      <w:pPr>
        <w:pStyle w:val="5"/>
        <w:keepNext w:val="0"/>
        <w:keepLines w:val="0"/>
        <w:pageBreakBefore w:val="0"/>
        <w:numPr>
          <w:ilvl w:val="0"/>
          <w:numId w:val="9"/>
        </w:numPr>
        <w:kinsoku/>
        <w:wordWrap/>
        <w:overflowPunct/>
        <w:topLinePunct w:val="0"/>
        <w:bidi w:val="0"/>
        <w:textAlignment w:val="auto"/>
        <w:rPr>
          <w:rFonts w:hint="default"/>
          <w:lang w:val="en-US" w:eastAsia="zh-CN"/>
        </w:rPr>
      </w:pPr>
      <w:r>
        <w:rPr>
          <w:rFonts w:hint="default"/>
          <w:lang w:val="en-US" w:eastAsia="zh-CN"/>
        </w:rPr>
        <w:t>水资源极度匮乏，生态用水保障面临严峻挑战</w:t>
      </w:r>
    </w:p>
    <w:p>
      <w:pPr>
        <w:pStyle w:val="6"/>
        <w:bidi w:val="0"/>
        <w:ind w:left="0" w:leftChars="0" w:firstLine="540" w:firstLineChars="200"/>
        <w:rPr>
          <w:rFonts w:hint="default"/>
          <w:lang w:val="en-US" w:eastAsia="zh-CN"/>
        </w:rPr>
      </w:pPr>
      <w:r>
        <w:rPr>
          <w:rFonts w:hint="default"/>
          <w:lang w:val="en-US" w:eastAsia="zh-CN"/>
        </w:rPr>
        <w:t>伊吾县多年平均水资源总量仅2.46亿立方米，是哈密市水资源最为紧缺的县域之一。全县共有大小河流23条，均为季节性河流，年径流量仅1.00亿立方米，水量小、渗漏大，水资源时空分布极不均衡。北部淖毛湖盆地降水极少、蒸发强烈，地下水埋深较大，荒漠林修复完全依赖季节性洪水补给，无稳定水源保障；南部山地林区依赖喀尔里克山冰雪融水，受气候变暖影响冰川持续退缩，山区径流补给能力趋于下降；水资源分布不平衡、水供需矛盾突出，已成为制约天然林保护修复布局和规模的核心瓶颈。</w:t>
      </w:r>
    </w:p>
    <w:p>
      <w:pPr>
        <w:pStyle w:val="6"/>
        <w:bidi w:val="0"/>
        <w:ind w:left="0" w:leftChars="0" w:firstLine="540" w:firstLineChars="200"/>
        <w:rPr>
          <w:rFonts w:hint="default"/>
          <w:lang w:val="en-US" w:eastAsia="zh-CN"/>
        </w:rPr>
      </w:pPr>
      <w:r>
        <w:rPr>
          <w:rFonts w:hint="default"/>
          <w:lang w:val="en-US" w:eastAsia="zh-CN"/>
        </w:rPr>
        <w:t>对策建议：坚持以水定林、量水而行，将水资源承载能力作为天然林保护修复规模和布局的刚性约束。在淖毛湖荒漠林区，充分利用季节性洪水资源，探索引洪灌溉技术模式，构建</w:t>
      </w:r>
      <w:r>
        <w:rPr>
          <w:rFonts w:hint="eastAsia"/>
          <w:lang w:val="en-US" w:eastAsia="zh-CN"/>
        </w:rPr>
        <w:t>“</w:t>
      </w:r>
      <w:r>
        <w:rPr>
          <w:rFonts w:hint="default"/>
          <w:lang w:val="en-US" w:eastAsia="zh-CN"/>
        </w:rPr>
        <w:t>封育+补水</w:t>
      </w:r>
      <w:r>
        <w:rPr>
          <w:rFonts w:hint="eastAsia"/>
          <w:lang w:val="en-US" w:eastAsia="zh-CN"/>
        </w:rPr>
        <w:t>”</w:t>
      </w:r>
      <w:r>
        <w:rPr>
          <w:rFonts w:hint="default"/>
          <w:lang w:val="en-US" w:eastAsia="zh-CN"/>
        </w:rPr>
        <w:t>荒漠林复合修复模式，保障荒漠林区基本生态需水；在山地林区，加强喀尔里克山—莫钦乌拉山水源涵养林保护，减缓冰川退缩对径流的影响，维护下游水资源供给能力；在修复工程设计中，优先采用节水滴灌、微地形集雨等节水技术，最大程度提高水分利用效率。</w:t>
      </w:r>
    </w:p>
    <w:p>
      <w:pPr>
        <w:pStyle w:val="5"/>
        <w:keepNext w:val="0"/>
        <w:keepLines w:val="0"/>
        <w:pageBreakBefore w:val="0"/>
        <w:numPr>
          <w:ilvl w:val="0"/>
          <w:numId w:val="9"/>
        </w:numPr>
        <w:kinsoku/>
        <w:wordWrap/>
        <w:overflowPunct/>
        <w:topLinePunct w:val="0"/>
        <w:bidi w:val="0"/>
        <w:textAlignment w:val="auto"/>
        <w:rPr>
          <w:rFonts w:hint="default"/>
          <w:lang w:val="en-US" w:eastAsia="zh-CN"/>
        </w:rPr>
      </w:pPr>
      <w:r>
        <w:rPr>
          <w:rFonts w:hint="default"/>
          <w:lang w:val="en-US" w:eastAsia="zh-CN"/>
        </w:rPr>
        <w:t>有害生物防控形势较为严峻，监测体系覆盖不足</w:t>
      </w:r>
    </w:p>
    <w:p>
      <w:pPr>
        <w:pStyle w:val="6"/>
        <w:bidi w:val="0"/>
        <w:ind w:left="0" w:leftChars="0" w:firstLine="540" w:firstLineChars="200"/>
        <w:rPr>
          <w:rFonts w:hint="default"/>
          <w:lang w:val="en-US" w:eastAsia="zh-CN"/>
        </w:rPr>
      </w:pPr>
      <w:r>
        <w:rPr>
          <w:rFonts w:hint="default"/>
          <w:lang w:val="en-US" w:eastAsia="zh-CN"/>
        </w:rPr>
        <w:t>伊吾县喀尔里克山北坡（伊吾县境内）和莫钦乌拉山中高山地带山地天然林主要受落叶松毛虫、云杉小蠹虫、天牛、树蜂等蛀干、食叶害虫危害；淖毛湖荒漠林区胡杨蚜虫等有害生物时有发生，危害荒漠林健康。全县现有有害生物监测站点布局不足，喀尔里克山北坡山地核心林区与淖毛湖荒漠林区之间存在较大监测盲区；专业防治力量薄弱，仅依托现有</w:t>
      </w:r>
      <w:r>
        <w:rPr>
          <w:rFonts w:hint="eastAsia"/>
          <w:lang w:val="en-US" w:eastAsia="zh-CN"/>
        </w:rPr>
        <w:t>89</w:t>
      </w:r>
      <w:r>
        <w:rPr>
          <w:rFonts w:hint="default"/>
          <w:lang w:val="en-US" w:eastAsia="zh-CN"/>
        </w:rPr>
        <w:t>名管护人员兼顾防治工作，专业技术能力和防治装备不足；绿色防控技术应用比例偏低，防控效果有待提升。</w:t>
      </w:r>
    </w:p>
    <w:p>
      <w:pPr>
        <w:pStyle w:val="6"/>
        <w:bidi w:val="0"/>
        <w:ind w:left="0" w:leftChars="0" w:firstLine="540" w:firstLineChars="200"/>
        <w:rPr>
          <w:rFonts w:hint="default"/>
          <w:lang w:val="en-US" w:eastAsia="zh-CN"/>
        </w:rPr>
      </w:pPr>
      <w:r>
        <w:rPr>
          <w:rFonts w:hint="default"/>
          <w:lang w:val="en-US" w:eastAsia="zh-CN"/>
        </w:rPr>
        <w:t>对策建议：健全有害生物监测预警体系，在喀尔里克山北坡山地针叶林区和淖毛湖荒漠林区分别增设监测站点，消除监测盲区，提升虫情早期预报精准度；严格执行林业检疫制度，规范调入苗木复检流程，严防检疫性有害生物传入；优先推广生物防治、物理防治等绿色防控技术，逐步降低化学防治比例；加强与哈密市及自治区有害生物防治机构的联动，实现早发现、早处置。</w:t>
      </w:r>
    </w:p>
    <w:p>
      <w:pPr>
        <w:pStyle w:val="5"/>
        <w:keepNext w:val="0"/>
        <w:keepLines w:val="0"/>
        <w:pageBreakBefore w:val="0"/>
        <w:numPr>
          <w:ilvl w:val="0"/>
          <w:numId w:val="9"/>
        </w:numPr>
        <w:kinsoku/>
        <w:wordWrap/>
        <w:overflowPunct/>
        <w:topLinePunct w:val="0"/>
        <w:bidi w:val="0"/>
        <w:textAlignment w:val="auto"/>
        <w:rPr>
          <w:rFonts w:hint="default"/>
          <w:lang w:val="en-US" w:eastAsia="zh-CN"/>
        </w:rPr>
      </w:pPr>
      <w:r>
        <w:rPr>
          <w:rFonts w:hint="default"/>
          <w:lang w:val="en-US" w:eastAsia="zh-CN"/>
        </w:rPr>
        <w:t>基层管护力量薄弱，人均管护强度持续偏大</w:t>
      </w:r>
    </w:p>
    <w:p>
      <w:pPr>
        <w:pStyle w:val="6"/>
        <w:bidi w:val="0"/>
        <w:ind w:left="0" w:leftChars="0" w:firstLine="540" w:firstLineChars="200"/>
        <w:rPr>
          <w:rFonts w:hint="default"/>
          <w:lang w:val="en-US" w:eastAsia="zh-CN"/>
        </w:rPr>
      </w:pPr>
      <w:r>
        <w:rPr>
          <w:rFonts w:hint="default"/>
          <w:lang w:val="en-US" w:eastAsia="zh-CN"/>
        </w:rPr>
        <w:t>伊吾县203.35万亩天然林全部依赖</w:t>
      </w:r>
      <w:r>
        <w:rPr>
          <w:rFonts w:hint="eastAsia"/>
          <w:lang w:val="en-US" w:eastAsia="zh-CN"/>
        </w:rPr>
        <w:t>89</w:t>
      </w:r>
      <w:r>
        <w:rPr>
          <w:rFonts w:hint="default"/>
          <w:lang w:val="en-US" w:eastAsia="zh-CN"/>
        </w:rPr>
        <w:t>名管护人员承担日常管护任务，人均管护面积约2.</w:t>
      </w:r>
      <w:r>
        <w:rPr>
          <w:rFonts w:hint="eastAsia"/>
          <w:lang w:val="en-US" w:eastAsia="zh-CN"/>
        </w:rPr>
        <w:t>29</w:t>
      </w:r>
      <w:r>
        <w:rPr>
          <w:rFonts w:hint="default"/>
          <w:lang w:val="en-US" w:eastAsia="zh-CN"/>
        </w:rPr>
        <w:t>万亩，管护强度显著偏大。聘用管护人员占绝大多数，队伍年龄结构偏大、专业化水平较低、稳定性不足。伊吾县地域广阔，山地林区与荒漠林区跨度大，部分管护站点地处荒漠戈壁，依赖井水供应、太阳能发电、煤炭取暖，生活条件艰苦，管护人员驻守意愿不强，离职风险较大。现有管护站点共7个（1个中心站、6个管护站），总建筑面积仅1017平方米，部分站点建设年限较长，基础设施老化，难以满足现代化管护需求；管护用房总体偏少，功能配套不完善，站点间间距大，难以实现对广域分散林区的高效覆盖。</w:t>
      </w:r>
    </w:p>
    <w:p>
      <w:pPr>
        <w:pStyle w:val="6"/>
        <w:bidi w:val="0"/>
        <w:ind w:left="0" w:leftChars="0" w:firstLine="540" w:firstLineChars="200"/>
        <w:rPr>
          <w:rFonts w:hint="default"/>
          <w:lang w:val="en-US" w:eastAsia="zh-CN"/>
        </w:rPr>
      </w:pPr>
      <w:r>
        <w:rPr>
          <w:rFonts w:hint="default"/>
          <w:lang w:val="en-US" w:eastAsia="zh-CN"/>
        </w:rPr>
        <w:t>对策建议：合理优化管护人员配置，健全管护人员动态补充机制，规划期内通过逐步提高智能化管护比例，将长期聘用管护人员数量从2026年的89人逐步调整至2035年的68人，同时保障管护质量不降低；持续改善偏远管护站点的生活保障条件，规划期内分期对建成年限较长的管护站实施加固改造或功能完善；完善薪酬待遇和绩效考核机制，增强管护队伍稳定性，人均年工资从2026年的7.20万元逐步提高至2035年的9.0万元；加强管护人员技能培训，每年开展不少于2次专题培训，提升专业化管护水平。</w:t>
      </w:r>
    </w:p>
    <w:p>
      <w:pPr>
        <w:pStyle w:val="5"/>
        <w:keepNext w:val="0"/>
        <w:keepLines w:val="0"/>
        <w:pageBreakBefore w:val="0"/>
        <w:numPr>
          <w:ilvl w:val="0"/>
          <w:numId w:val="9"/>
        </w:numPr>
        <w:kinsoku/>
        <w:wordWrap/>
        <w:overflowPunct/>
        <w:topLinePunct w:val="0"/>
        <w:bidi w:val="0"/>
        <w:textAlignment w:val="auto"/>
        <w:rPr>
          <w:rFonts w:hint="default"/>
          <w:lang w:val="en-US" w:eastAsia="zh-CN"/>
        </w:rPr>
      </w:pPr>
      <w:r>
        <w:rPr>
          <w:rFonts w:hint="default"/>
          <w:lang w:val="en-US" w:eastAsia="zh-CN"/>
        </w:rPr>
        <w:t>智能化管护手段严重不足，监测预警能力亟待提升</w:t>
      </w:r>
    </w:p>
    <w:p>
      <w:pPr>
        <w:pStyle w:val="6"/>
        <w:bidi w:val="0"/>
        <w:ind w:left="0" w:leftChars="0" w:firstLine="540" w:firstLineChars="200"/>
        <w:rPr>
          <w:rFonts w:hint="default"/>
          <w:lang w:val="en-US" w:eastAsia="zh-CN"/>
        </w:rPr>
      </w:pPr>
      <w:r>
        <w:rPr>
          <w:rFonts w:hint="default"/>
          <w:lang w:val="en-US" w:eastAsia="zh-CN"/>
        </w:rPr>
        <w:t>伊吾县目前仅配备1套多旋翼无人机和3套视频定点监控设备，尚未配备固定翼无人机、高空云台、手持智能终端等先进技术装备，智能管护手段与实际管护需求差距悬殊。县域天然林面积广阔、分布零散，山地林区与淖毛湖荒漠林区南北跨度超过150千米，仅依靠17辆摩托车和人工地面巡护难以实现广域高效覆盖，喀尔里克山北坡高海拔区域、淖毛湖盆地荒漠深处均存在较多巡护盲区，火情、虫情早期发现能力严重不足。天然林资源动态监测缺乏系统平台支撑，监测数据难以实时汇聚、分析和共享，科学决策支撑能力薄弱。</w:t>
      </w:r>
    </w:p>
    <w:p>
      <w:pPr>
        <w:pStyle w:val="6"/>
        <w:bidi w:val="0"/>
        <w:ind w:left="0" w:leftChars="0" w:firstLine="540" w:firstLineChars="200"/>
        <w:rPr>
          <w:rFonts w:hint="default"/>
          <w:lang w:val="en-US" w:eastAsia="zh-CN"/>
        </w:rPr>
      </w:pPr>
      <w:r>
        <w:rPr>
          <w:rFonts w:hint="default"/>
          <w:lang w:val="en-US" w:eastAsia="zh-CN"/>
        </w:rPr>
        <w:t>对策建议：规划期内新增智能管护设备9台（套），其中便携式或固定无人值守巡护无人机4架、高空云台5套，构建“天空地一体化”保护网络；建设伊吾县森林资源智能管护平台，整合视频监控、无人机巡护、地面巡护等多源数据，实现火险预警、资源动态监测、违法行为识别等智能化功能；充分发挥拟建高空云台与已有森林草原防灭火火情监测系统的互补配合作用，填补现有监控盲区；加强与市级、自治区级林草管理系统的数据对接，大幅提升管护效率和应急响应能力。</w:t>
      </w:r>
    </w:p>
    <w:p>
      <w:pPr>
        <w:pStyle w:val="5"/>
        <w:keepNext w:val="0"/>
        <w:keepLines w:val="0"/>
        <w:pageBreakBefore w:val="0"/>
        <w:numPr>
          <w:ilvl w:val="0"/>
          <w:numId w:val="9"/>
        </w:numPr>
        <w:kinsoku/>
        <w:wordWrap/>
        <w:overflowPunct/>
        <w:topLinePunct w:val="0"/>
        <w:bidi w:val="0"/>
        <w:textAlignment w:val="auto"/>
        <w:rPr>
          <w:rFonts w:hint="default"/>
          <w:lang w:val="en-US" w:eastAsia="zh-CN"/>
        </w:rPr>
      </w:pPr>
      <w:r>
        <w:rPr>
          <w:rFonts w:hint="default"/>
          <w:lang w:val="en-US" w:eastAsia="zh-CN"/>
        </w:rPr>
        <w:t>生态补偿水平与实际需求存在差距，资金保障压力较大</w:t>
      </w:r>
    </w:p>
    <w:p>
      <w:pPr>
        <w:pStyle w:val="6"/>
        <w:bidi w:val="0"/>
        <w:ind w:left="0" w:leftChars="0" w:firstLine="540" w:firstLineChars="200"/>
        <w:rPr>
          <w:rFonts w:hint="default"/>
          <w:lang w:val="en-US" w:eastAsia="zh-CN"/>
        </w:rPr>
      </w:pPr>
      <w:r>
        <w:rPr>
          <w:rFonts w:hint="default"/>
          <w:lang w:val="en-US" w:eastAsia="zh-CN"/>
        </w:rPr>
        <w:t>伊吾县天然林保护修复工作经费完全依赖中央财政资金，2026—2035年规划总投资</w:t>
      </w:r>
      <w:r>
        <w:rPr>
          <w:rFonts w:hint="eastAsia"/>
          <w:lang w:val="en-US" w:eastAsia="zh-CN"/>
        </w:rPr>
        <w:t>7521.81</w:t>
      </w:r>
      <w:r>
        <w:rPr>
          <w:rFonts w:hint="default"/>
          <w:lang w:val="en-US" w:eastAsia="zh-CN"/>
        </w:rPr>
        <w:t>万元全部来源于中央财政，无地方财政配套，资金来源渠道单一。现行国家级公益林补偿标准每亩10元，与伊吾县实际管护成本相比仍有差距，尤其是淖毛湖荒漠戈壁和喀尔里克山高山区的管护站点，运行成本远高于平均水平，资金缺口较为突出。科技研发、监测评估、基础设施改造等方面的投入比例偏低，难以满足管护现代化提升需要。2026—2035年规划修复投资暂为0，后续修复任务资金来源尚需通过专项申报解决，资金可持续性面临一定风险。市场化、多元化的生态补偿机制尚未建立，社会资本参与天然林保护修复的渠道不畅。</w:t>
      </w:r>
    </w:p>
    <w:p>
      <w:pPr>
        <w:pStyle w:val="6"/>
        <w:bidi w:val="0"/>
        <w:ind w:left="0" w:leftChars="0" w:firstLine="540" w:firstLineChars="200"/>
        <w:rPr>
          <w:rFonts w:hint="default"/>
          <w:lang w:val="en-US" w:eastAsia="zh-CN"/>
        </w:rPr>
      </w:pPr>
      <w:r>
        <w:rPr>
          <w:rFonts w:hint="default"/>
          <w:lang w:val="en-US" w:eastAsia="zh-CN"/>
        </w:rPr>
        <w:t>对策建议：积极向上争取提高国家级公益林补偿标准，推动补偿水平与实际管护成本基本匹配；优化现有补偿资金使用结构，适度提高基础设施建设、能力提升等方面的投入比例；探索依托淖毛湖胡杨林景区和喀尔里克山山地森林生态旅游资源，发展森林康养、自然教育、林下经济等生态产品，拓宽资金来源渠道；积极申报三北工程、北方防沙带生态保护修复等专项资金，探索林业碳汇开发路径，逐步形成</w:t>
      </w:r>
      <w:r>
        <w:rPr>
          <w:rFonts w:hint="eastAsia"/>
          <w:lang w:val="en-US" w:eastAsia="zh-CN"/>
        </w:rPr>
        <w:t>“</w:t>
      </w:r>
      <w:r>
        <w:rPr>
          <w:rFonts w:hint="default"/>
          <w:lang w:val="en-US" w:eastAsia="zh-CN"/>
        </w:rPr>
        <w:t>政府引导+市场补充+社会参与</w:t>
      </w:r>
      <w:r>
        <w:rPr>
          <w:rFonts w:hint="eastAsia"/>
          <w:lang w:val="en-US" w:eastAsia="zh-CN"/>
        </w:rPr>
        <w:t>”</w:t>
      </w:r>
      <w:r>
        <w:rPr>
          <w:rFonts w:hint="default"/>
          <w:lang w:val="en-US" w:eastAsia="zh-CN"/>
        </w:rPr>
        <w:t>的多元投入格局；明确无地方配套资金的原因：伊吾县财政自给能力较弱，县本级财力难以承担配套资金，建议通过专项转移支付和上级补助予以弥补。</w:t>
      </w:r>
    </w:p>
    <w:p>
      <w:pPr>
        <w:pStyle w:val="5"/>
        <w:keepNext w:val="0"/>
        <w:keepLines w:val="0"/>
        <w:pageBreakBefore w:val="0"/>
        <w:numPr>
          <w:ilvl w:val="0"/>
          <w:numId w:val="9"/>
        </w:numPr>
        <w:kinsoku/>
        <w:wordWrap/>
        <w:overflowPunct/>
        <w:topLinePunct w:val="0"/>
        <w:bidi w:val="0"/>
        <w:textAlignment w:val="auto"/>
        <w:rPr>
          <w:rFonts w:hint="default"/>
          <w:lang w:val="en-US" w:eastAsia="zh-CN"/>
        </w:rPr>
      </w:pPr>
      <w:r>
        <w:rPr>
          <w:rFonts w:hint="default"/>
          <w:lang w:val="en-US" w:eastAsia="zh-CN"/>
        </w:rPr>
        <w:t>监测评价体系有待健全，基础数据积累不足</w:t>
      </w:r>
    </w:p>
    <w:p>
      <w:pPr>
        <w:pStyle w:val="6"/>
        <w:bidi w:val="0"/>
        <w:ind w:left="0" w:leftChars="0" w:firstLine="540" w:firstLineChars="200"/>
        <w:rPr>
          <w:rFonts w:hint="default"/>
          <w:lang w:val="en-US" w:eastAsia="zh-CN"/>
        </w:rPr>
      </w:pPr>
      <w:r>
        <w:rPr>
          <w:rFonts w:hint="default"/>
          <w:lang w:val="en-US" w:eastAsia="zh-CN"/>
        </w:rPr>
        <w:t>伊吾县现有天然林资源监测评价体系尚不健全，主要表现在：缺乏以单位面积蓄积量、植被盖度等为核心的生态功能量化评价指标体系；天然林修复成效评估标准和方法不统一；淖毛湖盆地荒漠胡杨林、梭梭林等重要区域动态监测力度不足，山地林区高海拔区域存在监测盲区；喀尔里克山北坡针叶林与淖毛湖荒漠胡杨林生态类型差异显著，但统一监测评估方法尚未建立；与上位规划要求的监测评估工作衔接不紧，基础数据积累不足以支撑科学决策。</w:t>
      </w:r>
    </w:p>
    <w:p>
      <w:pPr>
        <w:pStyle w:val="6"/>
        <w:bidi w:val="0"/>
        <w:ind w:left="0" w:leftChars="0" w:firstLine="540" w:firstLineChars="200"/>
        <w:rPr>
          <w:rFonts w:hint="default"/>
          <w:lang w:val="en-US" w:eastAsia="zh-CN"/>
        </w:rPr>
      </w:pPr>
      <w:r>
        <w:rPr>
          <w:rFonts w:hint="default"/>
          <w:lang w:val="en-US" w:eastAsia="zh-CN"/>
        </w:rPr>
        <w:t>对策建议：依据《天然林保护修复生态效益评估指南》（GB/T 44590—2024）、《森林生态系统服务功能评估规范》（GB/T 38582—2020）、《荒漠生态系统服务评估规范》（LY/T 2006—2012）等标准，建立伊吾县天然林保护修复实施效果监测评估体系，分类制定山地针叶林和荒漠胡杨梭梭林的差异化监测指标，完善定期监测、评估报告机制；优化监测站点布局，重点消除喀尔里克山北坡高山林区和淖毛湖盆地荒漠林区的监测盲区；以2024年林草湿荒普查数据成果为基底，建立动态更新的天然林资源数据库，为后续规划决策提供数据支撑。</w:t>
      </w:r>
    </w:p>
    <w:p>
      <w:pPr>
        <w:pStyle w:val="6"/>
        <w:bidi w:val="0"/>
        <w:rPr>
          <w:rFonts w:hint="default"/>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rPr>
          <w:rFonts w:hint="default"/>
          <w:lang w:val="en-US" w:eastAsia="zh-CN"/>
        </w:rPr>
      </w:pPr>
      <w:bookmarkStart w:id="39" w:name="_Toc6449"/>
      <w:r>
        <w:rPr>
          <w:rFonts w:hint="eastAsia"/>
        </w:rPr>
        <w:t>第</w:t>
      </w:r>
      <w:r>
        <w:rPr>
          <w:rFonts w:hint="eastAsia"/>
          <w:lang w:val="en-US" w:eastAsia="zh-CN"/>
        </w:rPr>
        <w:t>二</w:t>
      </w:r>
      <w:r>
        <w:rPr>
          <w:rFonts w:hint="eastAsia"/>
        </w:rPr>
        <w:t xml:space="preserve">章 </w:t>
      </w:r>
      <w:r>
        <w:rPr>
          <w:rFonts w:hint="eastAsia"/>
          <w:lang w:val="en-US" w:eastAsia="zh-CN"/>
        </w:rPr>
        <w:t>总体要求</w:t>
      </w:r>
      <w:bookmarkEnd w:id="39"/>
    </w:p>
    <w:p>
      <w:pPr>
        <w:pStyle w:val="3"/>
        <w:bidi w:val="0"/>
        <w:rPr>
          <w:rFonts w:hint="eastAsia"/>
          <w:lang w:val="en-US" w:eastAsia="zh-CN"/>
        </w:rPr>
      </w:pPr>
      <w:bookmarkStart w:id="40" w:name="_Toc16859"/>
      <w:bookmarkStart w:id="41" w:name="_Toc7601"/>
      <w:r>
        <w:rPr>
          <w:rFonts w:hint="eastAsia"/>
          <w:lang w:val="en-US" w:eastAsia="zh-CN"/>
        </w:rPr>
        <w:t>第一节 指导思想</w:t>
      </w:r>
      <w:bookmarkEnd w:id="40"/>
      <w:bookmarkEnd w:id="41"/>
    </w:p>
    <w:p>
      <w:pPr>
        <w:rPr>
          <w:rFonts w:hint="default"/>
          <w:lang w:val="en-US" w:eastAsia="zh-CN"/>
        </w:rPr>
      </w:pPr>
    </w:p>
    <w:p>
      <w:pPr>
        <w:pStyle w:val="6"/>
        <w:bidi w:val="0"/>
        <w:rPr>
          <w:rFonts w:hint="default"/>
          <w:lang w:val="en-US" w:eastAsia="zh-CN"/>
        </w:rPr>
      </w:pPr>
      <w:r>
        <w:rPr>
          <w:rFonts w:hint="default"/>
          <w:lang w:val="en-US" w:eastAsia="zh-CN"/>
        </w:rPr>
        <w:t>以习近平新时代中国特色社会主义思想为指导，深入贯彻党的二十大及党的二十大和二十届历次全会精神，全面落实第三次中央新疆工作座谈会精神，认真践行习近平生态文明思想，牢固树立</w:t>
      </w:r>
      <w:r>
        <w:rPr>
          <w:rFonts w:hint="eastAsia"/>
          <w:lang w:val="en-US" w:eastAsia="zh-CN"/>
        </w:rPr>
        <w:t>“</w:t>
      </w:r>
      <w:r>
        <w:rPr>
          <w:rFonts w:hint="default"/>
          <w:lang w:val="en-US" w:eastAsia="zh-CN"/>
        </w:rPr>
        <w:t>绿水青山就是金山银山、冰天雪地也是金山银山</w:t>
      </w:r>
      <w:r>
        <w:rPr>
          <w:rFonts w:hint="eastAsia"/>
          <w:lang w:val="en-US" w:eastAsia="zh-CN"/>
        </w:rPr>
        <w:t>”</w:t>
      </w:r>
      <w:r>
        <w:rPr>
          <w:rFonts w:hint="default"/>
          <w:lang w:val="en-US" w:eastAsia="zh-CN"/>
        </w:rPr>
        <w:t>理念。立足伊吾县地处新疆东部、天山北麓东段的特殊地貌格局和温带大陆性干旱气候特征（县域内气候差异显著，北部盆地为极端干旱区），把握作为哈密市东北部重要县域和新疆东部门户的战略地位，坚持生态优先、绿色发展。全面落实《天然林保护修复制度方案》，推动天然林保护与公益林管理并轨，坚持扩绿、兴绿、护绿"三绿"并举，以构建健康稳定、功能完备的天然林生态系统为目标，以提升天然林质量效益为核心，严格按照水资源承载能力确定保护修复布局，规划期内强化全面保护、科学开展退化林修复，充分发挥森林</w:t>
      </w:r>
      <w:r>
        <w:rPr>
          <w:rFonts w:hint="eastAsia"/>
          <w:lang w:val="en-US" w:eastAsia="zh-CN"/>
        </w:rPr>
        <w:t>“</w:t>
      </w:r>
      <w:r>
        <w:rPr>
          <w:rFonts w:hint="default"/>
          <w:lang w:val="en-US" w:eastAsia="zh-CN"/>
        </w:rPr>
        <w:t>水库、钱库、粮库、碳库</w:t>
      </w:r>
      <w:r>
        <w:rPr>
          <w:rFonts w:hint="eastAsia"/>
          <w:lang w:val="en-US" w:eastAsia="zh-CN"/>
        </w:rPr>
        <w:t>”</w:t>
      </w:r>
      <w:r>
        <w:rPr>
          <w:rFonts w:hint="default"/>
          <w:lang w:val="en-US" w:eastAsia="zh-CN"/>
        </w:rPr>
        <w:t>四库功能，持续提升天然林生态质量和服务功能，把伊吾县建设成为北方防沙带重要生态屏障，为建设美丽新疆作出积极贡献。</w:t>
      </w:r>
    </w:p>
    <w:p>
      <w:pPr>
        <w:pStyle w:val="3"/>
        <w:bidi w:val="0"/>
        <w:rPr>
          <w:rFonts w:hint="default"/>
          <w:lang w:val="en-US" w:eastAsia="zh-CN"/>
        </w:rPr>
      </w:pPr>
      <w:bookmarkStart w:id="42" w:name="_Toc30158"/>
      <w:bookmarkStart w:id="43" w:name="_Toc21790"/>
      <w:r>
        <w:rPr>
          <w:rFonts w:hint="eastAsia"/>
          <w:lang w:val="en-US" w:eastAsia="zh-CN"/>
        </w:rPr>
        <w:t>第二节 基本原则</w:t>
      </w:r>
      <w:bookmarkEnd w:id="42"/>
      <w:bookmarkEnd w:id="43"/>
    </w:p>
    <w:p>
      <w:pPr>
        <w:pStyle w:val="7"/>
        <w:bidi w:val="0"/>
        <w:rPr>
          <w:rFonts w:hint="eastAsia"/>
          <w:lang w:val="en-US" w:eastAsia="zh-CN"/>
        </w:rPr>
      </w:pPr>
      <w:r>
        <w:rPr>
          <w:rFonts w:hint="eastAsia"/>
          <w:b/>
          <w:bCs/>
          <w:lang w:val="en-US" w:eastAsia="zh-CN"/>
        </w:rPr>
        <w:t>——坚持全面保护，突出重点。</w:t>
      </w:r>
      <w:r>
        <w:rPr>
          <w:rFonts w:hint="eastAsia"/>
          <w:lang w:val="en-US" w:eastAsia="zh-CN"/>
        </w:rPr>
        <w:t>实行天然林保护与公益林管理并轨，对天山支脉山地生态屏障区域天然林，采取严格保护措施，严禁破坏性开发，重点维护原生生态系统完整性。对盆地边缘、戈壁滩地、河谷水系沿线天然林，强化保护修复，构建以天然林为主体的健康稳定森林生态系统，坚决守住生态保护红线。</w:t>
      </w:r>
    </w:p>
    <w:p>
      <w:pPr>
        <w:pStyle w:val="6"/>
        <w:bidi w:val="0"/>
        <w:rPr>
          <w:rFonts w:hint="eastAsia"/>
          <w:lang w:val="en-US" w:eastAsia="zh-CN"/>
        </w:rPr>
      </w:pPr>
      <w:r>
        <w:rPr>
          <w:rFonts w:hint="eastAsia"/>
          <w:b/>
          <w:bCs/>
          <w:lang w:val="en-US" w:eastAsia="zh-CN"/>
        </w:rPr>
        <w:t>——</w:t>
      </w:r>
      <w:r>
        <w:rPr>
          <w:rFonts w:hint="default"/>
          <w:b/>
          <w:bCs/>
          <w:lang w:val="en-US" w:eastAsia="zh-CN"/>
        </w:rPr>
        <w:t>坚持尊重自然，科学修复</w:t>
      </w:r>
      <w:r>
        <w:rPr>
          <w:rFonts w:hint="eastAsia"/>
          <w:b/>
          <w:bCs/>
          <w:lang w:val="en-US" w:eastAsia="zh-CN"/>
        </w:rPr>
        <w:t>。</w:t>
      </w:r>
      <w:r>
        <w:rPr>
          <w:rFonts w:hint="eastAsia"/>
          <w:lang w:val="en-US" w:eastAsia="zh-CN"/>
        </w:rPr>
        <w:t>秉持尊重自然、顺应自然、保护自然原则，立足伊吾县温带大陆性干旱气候特征和脆弱生态环境实际，构建“自然恢复为主、人工修复为辅”协同模式。优先保护原生天然林，适度开展人为干预。因地制宜制定修复措施，保育并重，同步开展退化林动态监测和成效评估，确保修复符合生态系统演替规律。坚决防止不顾水资源条件的盲目扩张，实现生态、经济、社会效益有机统一。</w:t>
      </w:r>
    </w:p>
    <w:p>
      <w:pPr>
        <w:pStyle w:val="6"/>
        <w:numPr>
          <w:ilvl w:val="0"/>
          <w:numId w:val="0"/>
        </w:numPr>
        <w:bidi w:val="0"/>
        <w:ind w:firstLine="542" w:firstLineChars="200"/>
        <w:rPr>
          <w:rFonts w:hint="default"/>
          <w:lang w:val="en-US" w:eastAsia="zh-CN"/>
        </w:rPr>
      </w:pPr>
      <w:r>
        <w:rPr>
          <w:rFonts w:hint="eastAsia"/>
          <w:b/>
          <w:bCs/>
          <w:lang w:val="en-US" w:eastAsia="zh-CN"/>
        </w:rPr>
        <w:t>——</w:t>
      </w:r>
      <w:r>
        <w:rPr>
          <w:rFonts w:hint="default"/>
          <w:b/>
          <w:bCs/>
          <w:lang w:val="en-US" w:eastAsia="zh-CN"/>
        </w:rPr>
        <w:t>坚持系统观念，统筹推进</w:t>
      </w:r>
      <w:r>
        <w:rPr>
          <w:rFonts w:hint="eastAsia"/>
          <w:b/>
          <w:bCs/>
          <w:lang w:val="en-US" w:eastAsia="zh-CN"/>
        </w:rPr>
        <w:t>。</w:t>
      </w:r>
      <w:r>
        <w:rPr>
          <w:rFonts w:hint="default"/>
          <w:lang w:val="en-US" w:eastAsia="zh-CN"/>
        </w:rPr>
        <w:t>深入贯彻山水林田湖草沙系统治理理念</w:t>
      </w:r>
      <w:r>
        <w:rPr>
          <w:rFonts w:hint="eastAsia"/>
          <w:lang w:val="en-US" w:eastAsia="zh-CN"/>
        </w:rPr>
        <w:t>，</w:t>
      </w:r>
      <w:r>
        <w:rPr>
          <w:rFonts w:hint="default"/>
          <w:lang w:val="en-US" w:eastAsia="zh-CN"/>
        </w:rPr>
        <w:t>统筹天山北麓山地与山间盆地地貌特征和干旱少雨气候特点</w:t>
      </w:r>
      <w:r>
        <w:rPr>
          <w:rFonts w:hint="eastAsia"/>
          <w:lang w:val="en-US" w:eastAsia="zh-CN"/>
        </w:rPr>
        <w:t>，</w:t>
      </w:r>
      <w:r>
        <w:rPr>
          <w:rFonts w:hint="default"/>
          <w:lang w:val="en-US" w:eastAsia="zh-CN"/>
        </w:rPr>
        <w:t>协调推进森林、草原、湿地、荒漠等生态系统保护修复。统筹生态保护与产业发展、当前发展与长远目标</w:t>
      </w:r>
      <w:r>
        <w:rPr>
          <w:rFonts w:hint="eastAsia"/>
          <w:lang w:val="en-US" w:eastAsia="zh-CN"/>
        </w:rPr>
        <w:t>，</w:t>
      </w:r>
      <w:r>
        <w:rPr>
          <w:rFonts w:hint="default"/>
          <w:lang w:val="en-US" w:eastAsia="zh-CN"/>
        </w:rPr>
        <w:t>推动发展方式绿色转型</w:t>
      </w:r>
      <w:r>
        <w:rPr>
          <w:rFonts w:hint="eastAsia"/>
          <w:lang w:val="en-US" w:eastAsia="zh-CN"/>
        </w:rPr>
        <w:t>，</w:t>
      </w:r>
      <w:r>
        <w:rPr>
          <w:rFonts w:hint="default"/>
          <w:lang w:val="en-US" w:eastAsia="zh-CN"/>
        </w:rPr>
        <w:t>实现生态效益、经济效益、社会效益协调发展。</w:t>
      </w:r>
    </w:p>
    <w:p>
      <w:pPr>
        <w:pStyle w:val="6"/>
        <w:numPr>
          <w:ilvl w:val="0"/>
          <w:numId w:val="0"/>
        </w:numPr>
        <w:bidi w:val="0"/>
        <w:ind w:firstLine="542" w:firstLineChars="200"/>
        <w:rPr>
          <w:rFonts w:hint="default"/>
          <w:lang w:val="en-US" w:eastAsia="zh-CN"/>
        </w:rPr>
      </w:pPr>
      <w:r>
        <w:rPr>
          <w:rFonts w:hint="eastAsia"/>
          <w:b/>
          <w:bCs/>
          <w:lang w:val="en-US" w:eastAsia="zh-CN"/>
        </w:rPr>
        <w:t>——</w:t>
      </w:r>
      <w:r>
        <w:rPr>
          <w:rFonts w:hint="default"/>
          <w:b/>
          <w:bCs/>
          <w:lang w:val="en-US" w:eastAsia="zh-CN"/>
        </w:rPr>
        <w:t>坚持生态为民，保障民生</w:t>
      </w:r>
      <w:r>
        <w:rPr>
          <w:rFonts w:hint="eastAsia"/>
          <w:b/>
          <w:bCs/>
          <w:lang w:val="en-US" w:eastAsia="zh-CN"/>
        </w:rPr>
        <w:t>。</w:t>
      </w:r>
      <w:r>
        <w:rPr>
          <w:rFonts w:hint="default"/>
          <w:lang w:val="en-US" w:eastAsia="zh-CN"/>
        </w:rPr>
        <w:t>强化就业保障与管护队伍建设</w:t>
      </w:r>
      <w:r>
        <w:rPr>
          <w:rFonts w:hint="eastAsia"/>
          <w:lang w:val="en-US" w:eastAsia="zh-CN"/>
        </w:rPr>
        <w:t>，</w:t>
      </w:r>
      <w:r>
        <w:rPr>
          <w:rFonts w:hint="default"/>
          <w:lang w:val="en-US" w:eastAsia="zh-CN"/>
        </w:rPr>
        <w:t>健全管护力量动态补充机制</w:t>
      </w:r>
      <w:r>
        <w:rPr>
          <w:rFonts w:hint="eastAsia"/>
          <w:lang w:val="en-US" w:eastAsia="zh-CN"/>
        </w:rPr>
        <w:t>，</w:t>
      </w:r>
      <w:r>
        <w:rPr>
          <w:rFonts w:hint="default"/>
          <w:lang w:val="en-US" w:eastAsia="zh-CN"/>
        </w:rPr>
        <w:t>优先吸纳林区周边居民转化为专职护林员</w:t>
      </w:r>
      <w:r>
        <w:rPr>
          <w:rFonts w:hint="eastAsia"/>
          <w:lang w:val="en-US" w:eastAsia="zh-CN"/>
        </w:rPr>
        <w:t>，</w:t>
      </w:r>
      <w:r>
        <w:rPr>
          <w:rFonts w:hint="default"/>
          <w:lang w:val="en-US" w:eastAsia="zh-CN"/>
        </w:rPr>
        <w:t>完善薪酬待遇与绩效考核体系。拓宽生态价值转化路径</w:t>
      </w:r>
      <w:r>
        <w:rPr>
          <w:rFonts w:hint="eastAsia"/>
          <w:lang w:val="en-US" w:eastAsia="zh-CN"/>
        </w:rPr>
        <w:t>，</w:t>
      </w:r>
      <w:r>
        <w:rPr>
          <w:rFonts w:hint="default"/>
          <w:lang w:val="en-US" w:eastAsia="zh-CN"/>
        </w:rPr>
        <w:t>依托天然林资源发展生态旅游、林下经济等绿色产业</w:t>
      </w:r>
      <w:r>
        <w:rPr>
          <w:rFonts w:hint="eastAsia"/>
          <w:lang w:val="en-US" w:eastAsia="zh-CN"/>
        </w:rPr>
        <w:t>，</w:t>
      </w:r>
      <w:r>
        <w:rPr>
          <w:rFonts w:hint="default"/>
          <w:lang w:val="en-US" w:eastAsia="zh-CN"/>
        </w:rPr>
        <w:t>完善生态产品价值实现机制</w:t>
      </w:r>
      <w:r>
        <w:rPr>
          <w:rFonts w:hint="eastAsia"/>
          <w:lang w:val="en-US" w:eastAsia="zh-CN"/>
        </w:rPr>
        <w:t>，</w:t>
      </w:r>
      <w:r>
        <w:rPr>
          <w:rFonts w:hint="default"/>
          <w:lang w:val="en-US" w:eastAsia="zh-CN"/>
        </w:rPr>
        <w:t>实现</w:t>
      </w:r>
      <w:r>
        <w:rPr>
          <w:rFonts w:hint="eastAsia"/>
          <w:lang w:val="en-US" w:eastAsia="zh-CN"/>
        </w:rPr>
        <w:t>“</w:t>
      </w:r>
      <w:r>
        <w:rPr>
          <w:rFonts w:hint="default"/>
          <w:lang w:val="en-US" w:eastAsia="zh-CN"/>
        </w:rPr>
        <w:t>生态美、产业兴、百姓富</w:t>
      </w:r>
      <w:r>
        <w:rPr>
          <w:rFonts w:hint="eastAsia"/>
          <w:lang w:val="en-US" w:eastAsia="zh-CN"/>
        </w:rPr>
        <w:t>”</w:t>
      </w:r>
      <w:r>
        <w:rPr>
          <w:rFonts w:hint="default"/>
          <w:lang w:val="en-US" w:eastAsia="zh-CN"/>
        </w:rPr>
        <w:t>有机统一。</w:t>
      </w:r>
    </w:p>
    <w:p>
      <w:pPr>
        <w:pStyle w:val="6"/>
        <w:numPr>
          <w:ilvl w:val="0"/>
          <w:numId w:val="0"/>
        </w:numPr>
        <w:bidi w:val="0"/>
        <w:ind w:firstLine="542" w:firstLineChars="200"/>
        <w:rPr>
          <w:rFonts w:hint="default"/>
          <w:lang w:val="en-US" w:eastAsia="zh-CN"/>
        </w:rPr>
      </w:pPr>
      <w:r>
        <w:rPr>
          <w:rFonts w:hint="eastAsia"/>
          <w:b/>
          <w:bCs/>
          <w:lang w:val="en-US" w:eastAsia="zh-CN"/>
        </w:rPr>
        <w:t>——</w:t>
      </w:r>
      <w:r>
        <w:rPr>
          <w:rFonts w:hint="default"/>
          <w:b/>
          <w:bCs/>
          <w:lang w:val="en-US" w:eastAsia="zh-CN"/>
        </w:rPr>
        <w:t>坚持创新驱动，科技引领</w:t>
      </w:r>
      <w:r>
        <w:rPr>
          <w:rFonts w:hint="eastAsia"/>
          <w:b/>
          <w:bCs/>
          <w:lang w:val="en-US" w:eastAsia="zh-CN"/>
        </w:rPr>
        <w:t>。</w:t>
      </w:r>
      <w:r>
        <w:rPr>
          <w:rFonts w:hint="default"/>
          <w:lang w:val="en-US" w:eastAsia="zh-CN"/>
        </w:rPr>
        <w:t>加强产学研协同创新</w:t>
      </w:r>
      <w:r>
        <w:rPr>
          <w:rFonts w:hint="eastAsia"/>
          <w:lang w:val="en-US" w:eastAsia="zh-CN"/>
        </w:rPr>
        <w:t>，</w:t>
      </w:r>
      <w:r>
        <w:rPr>
          <w:rFonts w:hint="default"/>
          <w:lang w:val="en-US" w:eastAsia="zh-CN"/>
        </w:rPr>
        <w:t>重点攻关干旱地区天然林保护修复、退化林生态修复、低效林改造、病虫害防治等关键技术。推进大数据、物联网、人工智能、卫星遥感等现代信息技术在天然林资源监测、火灾预警、病虫害监测等方面深度应用</w:t>
      </w:r>
      <w:r>
        <w:rPr>
          <w:rFonts w:hint="eastAsia"/>
          <w:lang w:val="en-US" w:eastAsia="zh-CN"/>
        </w:rPr>
        <w:t>，</w:t>
      </w:r>
      <w:r>
        <w:rPr>
          <w:rFonts w:hint="default"/>
          <w:lang w:val="en-US" w:eastAsia="zh-CN"/>
        </w:rPr>
        <w:t>推动</w:t>
      </w:r>
      <w:r>
        <w:rPr>
          <w:rFonts w:hint="eastAsia"/>
          <w:lang w:val="en-US" w:eastAsia="zh-CN"/>
        </w:rPr>
        <w:t>“</w:t>
      </w:r>
      <w:r>
        <w:rPr>
          <w:rFonts w:hint="default"/>
          <w:lang w:val="en-US" w:eastAsia="zh-CN"/>
        </w:rPr>
        <w:t>天地空</w:t>
      </w:r>
      <w:r>
        <w:rPr>
          <w:rFonts w:hint="eastAsia"/>
          <w:lang w:val="en-US" w:eastAsia="zh-CN"/>
        </w:rPr>
        <w:t>”</w:t>
      </w:r>
      <w:r>
        <w:rPr>
          <w:rFonts w:hint="default"/>
          <w:lang w:val="en-US" w:eastAsia="zh-CN"/>
        </w:rPr>
        <w:t>一体化监测预警系统建设</w:t>
      </w:r>
      <w:r>
        <w:rPr>
          <w:rFonts w:hint="eastAsia"/>
          <w:lang w:val="en-US" w:eastAsia="zh-CN"/>
        </w:rPr>
        <w:t>，</w:t>
      </w:r>
      <w:r>
        <w:rPr>
          <w:rFonts w:hint="default"/>
          <w:lang w:val="en-US" w:eastAsia="zh-CN"/>
        </w:rPr>
        <w:t>提升天然林保护修复管理现代化、智能化水平。</w:t>
      </w:r>
    </w:p>
    <w:p>
      <w:pPr>
        <w:pStyle w:val="6"/>
        <w:bidi w:val="0"/>
        <w:rPr>
          <w:rFonts w:hint="eastAsia"/>
          <w:b w:val="0"/>
          <w:bCs w:val="0"/>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b/>
          <w:bCs/>
          <w:lang w:val="en-US" w:eastAsia="zh-CN"/>
        </w:rPr>
        <w:t>——</w:t>
      </w:r>
      <w:r>
        <w:rPr>
          <w:rFonts w:hint="default"/>
          <w:b/>
          <w:bCs/>
          <w:lang w:val="en-US" w:eastAsia="zh-CN"/>
        </w:rPr>
        <w:t>坚持政府主导，社会协同</w:t>
      </w:r>
      <w:r>
        <w:rPr>
          <w:rFonts w:hint="eastAsia"/>
          <w:b/>
          <w:bCs/>
          <w:lang w:val="en-US" w:eastAsia="zh-CN"/>
        </w:rPr>
        <w:t>。</w:t>
      </w:r>
      <w:r>
        <w:rPr>
          <w:rFonts w:hint="eastAsia"/>
          <w:b w:val="0"/>
          <w:bCs w:val="0"/>
          <w:lang w:val="en-US" w:eastAsia="zh-CN"/>
        </w:rPr>
        <w:t>以林长制为抓手，压实县、乡镇各级政府天然林保护修复主体责任，加强天然林资源动态监测与精细化管理。推行政府主导、多元主体参与的长效机制，鼓励企业、社会组织与公众积极参与。健全全民义务植树机制，创新尽责形式。加强生态文明宣传教育，培育生态文化，提升全民生态保护意识，营造“人人护林、全民参与”氛围，凝聚全社会力量守护绿水青山。</w:t>
      </w:r>
    </w:p>
    <w:p>
      <w:pPr>
        <w:pStyle w:val="3"/>
        <w:bidi w:val="0"/>
        <w:rPr>
          <w:rFonts w:hint="default"/>
          <w:lang w:val="en-US" w:eastAsia="zh-CN"/>
        </w:rPr>
      </w:pPr>
      <w:bookmarkStart w:id="44" w:name="_Toc25078"/>
      <w:bookmarkStart w:id="45" w:name="_Toc10192"/>
      <w:bookmarkStart w:id="46" w:name="_Toc23758"/>
      <w:bookmarkStart w:id="47" w:name="_Toc4002"/>
      <w:r>
        <w:rPr>
          <w:rFonts w:hint="eastAsia"/>
          <w:lang w:val="en-US" w:eastAsia="zh-CN"/>
        </w:rPr>
        <w:t>第三节 编制依据</w:t>
      </w:r>
      <w:bookmarkEnd w:id="44"/>
      <w:bookmarkEnd w:id="45"/>
      <w:bookmarkEnd w:id="46"/>
    </w:p>
    <w:p>
      <w:pPr>
        <w:pStyle w:val="4"/>
        <w:keepNext w:val="0"/>
        <w:keepLines w:val="0"/>
        <w:pageBreakBefore w:val="0"/>
        <w:widowControl w:val="0"/>
        <w:numPr>
          <w:ilvl w:val="0"/>
          <w:numId w:val="10"/>
        </w:numPr>
        <w:kinsoku w:val="0"/>
        <w:wordWrap/>
        <w:overflowPunct/>
        <w:topLinePunct w:val="0"/>
        <w:autoSpaceDE w:val="0"/>
        <w:autoSpaceDN w:val="0"/>
        <w:bidi w:val="0"/>
        <w:adjustRightInd w:val="0"/>
        <w:snapToGrid w:val="0"/>
        <w:spacing w:after="157" w:afterLines="50" w:line="224" w:lineRule="auto"/>
        <w:ind w:left="0" w:hanging="11" w:firstLineChars="0"/>
        <w:textAlignment w:val="baseline"/>
        <w:rPr>
          <w:rFonts w:hint="eastAsia"/>
          <w:snapToGrid/>
          <w:color w:val="auto"/>
          <w:kern w:val="2"/>
          <w:lang w:val="en-US" w:eastAsia="zh-CN"/>
        </w:rPr>
      </w:pPr>
      <w:bookmarkStart w:id="48" w:name="_Toc24876"/>
      <w:bookmarkStart w:id="49" w:name="_Toc22723"/>
      <w:bookmarkStart w:id="50" w:name="_Toc32227"/>
      <w:r>
        <w:rPr>
          <w:rFonts w:hint="eastAsia"/>
          <w:snapToGrid/>
          <w:color w:val="auto"/>
          <w:kern w:val="2"/>
          <w:lang w:val="en-US" w:eastAsia="zh-CN"/>
        </w:rPr>
        <w:t>法律法规</w:t>
      </w:r>
      <w:bookmarkEnd w:id="48"/>
      <w:bookmarkEnd w:id="49"/>
      <w:bookmarkEnd w:id="50"/>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《中华人民共和国森林法》（2019年修订）</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《中华人民共和国草原法》（2021年修正）</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《中华人民共和国湿地保护法》（2022年施行）</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《中华人民共和国防沙治沙法》（2018年修正）</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《中华人民共和国野生动物保护法》（2022年修订）</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《中华人民共和国环境保护法》（2014年修订）</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《中华人民共和国土地管理法》（2019年修正）</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《中华人民共和国水法》（2016年修正）</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《中华人民共和国水土保持法》（2010年修订）</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《森林草原防灭火条例》（2026年施行）</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《新疆维吾尔自治区平原天然林保护条例》（2020年修正）</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《新疆维吾尔自治区实施〈中华人民共和国防沙治沙法〉办法》（2024年修订）</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《中华人民共和国自然保护区条例》（2026年修订）</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《新疆维吾尔自治区实施〈中华人民共和国水法〉办法》（2023年修正）</w:t>
      </w:r>
    </w:p>
    <w:p>
      <w:pPr>
        <w:pStyle w:val="4"/>
        <w:keepNext w:val="0"/>
        <w:keepLines w:val="0"/>
        <w:pageBreakBefore w:val="0"/>
        <w:widowControl w:val="0"/>
        <w:numPr>
          <w:ilvl w:val="0"/>
          <w:numId w:val="10"/>
        </w:numPr>
        <w:kinsoku w:val="0"/>
        <w:wordWrap/>
        <w:overflowPunct/>
        <w:topLinePunct w:val="0"/>
        <w:autoSpaceDE w:val="0"/>
        <w:autoSpaceDN w:val="0"/>
        <w:bidi w:val="0"/>
        <w:adjustRightInd w:val="0"/>
        <w:snapToGrid w:val="0"/>
        <w:spacing w:after="157" w:afterLines="50" w:line="224" w:lineRule="auto"/>
        <w:ind w:left="0" w:hanging="11" w:firstLineChars="0"/>
        <w:textAlignment w:val="baseline"/>
        <w:rPr>
          <w:rFonts w:hint="eastAsia"/>
          <w:snapToGrid/>
          <w:color w:val="auto"/>
          <w:kern w:val="2"/>
          <w:lang w:val="en-US" w:eastAsia="zh-CN"/>
        </w:rPr>
      </w:pPr>
      <w:bookmarkStart w:id="51" w:name="_Toc14410"/>
      <w:bookmarkStart w:id="52" w:name="_Toc29618"/>
      <w:bookmarkStart w:id="53" w:name="_Toc23582"/>
      <w:r>
        <w:rPr>
          <w:rFonts w:hint="eastAsia"/>
          <w:snapToGrid/>
          <w:color w:val="auto"/>
          <w:kern w:val="2"/>
          <w:lang w:val="en-US" w:eastAsia="zh-CN"/>
        </w:rPr>
        <w:t>自治区政策文件</w:t>
      </w:r>
      <w:bookmarkEnd w:id="51"/>
      <w:bookmarkEnd w:id="52"/>
      <w:bookmarkEnd w:id="53"/>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bookmarkStart w:id="54" w:name="_Toc14876"/>
      <w:r>
        <w:rPr>
          <w:rFonts w:hint="eastAsia" w:ascii="仿宋" w:hAnsi="仿宋" w:eastAsia="仿宋" w:cs="仿宋"/>
          <w:snapToGrid/>
          <w:color w:val="auto"/>
          <w:kern w:val="2"/>
          <w:sz w:val="27"/>
          <w:szCs w:val="27"/>
          <w:lang w:val="en-US" w:eastAsia="zh-CN" w:bidi="ar-SA"/>
        </w:rPr>
        <w:t>《新疆维吾尔自治区国家级公益林管护办法》(新林规〔2021〕3 号）</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《新疆维吾尔自治区生态保护红线划定方案》</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《新疆生态保护红线优化调整方案》</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《新疆维吾尔自治区天然林保护修复制度实施方案》(2021年)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新疆维吾尔自治区林业和草原局《关于开展2025年中央财政林业草原项目储备工作的通知》(新林规字〔2024〕200号）</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《自治区党委办公厅 政府办公厅印发〈关于全面推行林长制的实施意见〉》</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《自治区全面推行林长制的实施方案》（2021年）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《自治区林长制考核评价办法（试行）》(2023年新增天然林 保护指标)</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《新疆维吾尔自治区水利厅 新疆生产建设兵团水利局 〈关于印发新疆用水总量控制方案的函〉》（新水函〔2018〕6号）</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新疆维吾尔自治区重点保护野生动物名录（新政发〔2022〕75号）</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新疆维吾尔自治区重点保护野生植物名录（新政发〔2023〕63号）</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val="en-US" w:eastAsia="zh-CN" w:bidi="ar-SA"/>
        </w:rPr>
      </w:pPr>
      <w:r>
        <w:rPr>
          <w:rFonts w:hint="eastAsia" w:ascii="仿宋" w:hAnsi="仿宋" w:eastAsia="仿宋" w:cs="仿宋"/>
          <w:snapToGrid/>
          <w:color w:val="auto"/>
          <w:kern w:val="2"/>
          <w:sz w:val="27"/>
          <w:szCs w:val="27"/>
          <w:lang w:val="en-US" w:eastAsia="zh-CN" w:bidi="ar-SA"/>
        </w:rPr>
        <w:t>关于启用2024年度自治区森林草原湿地荒漠化普查成果的通知（新林资字〔2025〕115号）</w:t>
      </w:r>
    </w:p>
    <w:p>
      <w:pPr>
        <w:pStyle w:val="4"/>
        <w:keepNext w:val="0"/>
        <w:keepLines w:val="0"/>
        <w:pageBreakBefore w:val="0"/>
        <w:widowControl w:val="0"/>
        <w:numPr>
          <w:ilvl w:val="0"/>
          <w:numId w:val="10"/>
        </w:numPr>
        <w:kinsoku w:val="0"/>
        <w:wordWrap/>
        <w:overflowPunct/>
        <w:topLinePunct w:val="0"/>
        <w:autoSpaceDE w:val="0"/>
        <w:autoSpaceDN w:val="0"/>
        <w:bidi w:val="0"/>
        <w:adjustRightInd w:val="0"/>
        <w:snapToGrid w:val="0"/>
        <w:spacing w:after="157" w:afterLines="50" w:line="224" w:lineRule="auto"/>
        <w:ind w:left="0" w:hanging="11" w:firstLineChars="0"/>
        <w:textAlignment w:val="baseline"/>
        <w:rPr>
          <w:rFonts w:hint="eastAsia"/>
          <w:snapToGrid/>
          <w:color w:val="auto"/>
          <w:kern w:val="2"/>
          <w:lang w:val="en-US" w:eastAsia="zh-CN"/>
        </w:rPr>
      </w:pPr>
      <w:bookmarkStart w:id="55" w:name="_Toc17485"/>
      <w:bookmarkStart w:id="56" w:name="_Toc30377"/>
      <w:r>
        <w:rPr>
          <w:rFonts w:hint="eastAsia"/>
          <w:snapToGrid/>
          <w:color w:val="auto"/>
          <w:kern w:val="2"/>
          <w:lang w:val="en-US" w:eastAsia="zh-CN"/>
        </w:rPr>
        <w:t>规划纲要</w:t>
      </w:r>
      <w:bookmarkEnd w:id="54"/>
      <w:bookmarkEnd w:id="55"/>
      <w:bookmarkEnd w:id="56"/>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国家林业和草原局国家发展改革委</w:t>
      </w:r>
      <w:r>
        <w:rPr>
          <w:rFonts w:hint="eastAsia" w:ascii="仿宋" w:hAnsi="仿宋" w:eastAsia="仿宋" w:cs="仿宋"/>
          <w:snapToGrid/>
          <w:color w:val="auto"/>
          <w:kern w:val="2"/>
          <w:sz w:val="27"/>
          <w:szCs w:val="27"/>
          <w:lang w:val="en-US" w:eastAsia="zh-CN"/>
        </w:rPr>
        <w:t>财政部</w:t>
      </w:r>
      <w:r>
        <w:rPr>
          <w:rFonts w:hint="eastAsia" w:ascii="仿宋" w:hAnsi="仿宋" w:eastAsia="仿宋" w:cs="仿宋"/>
          <w:snapToGrid/>
          <w:color w:val="auto"/>
          <w:kern w:val="2"/>
          <w:sz w:val="27"/>
          <w:szCs w:val="27"/>
          <w:lang w:eastAsia="zh-CN"/>
        </w:rPr>
        <w:t>人力资源社会 保障部自然资源部金融监管总局《关于印发〈全国天然林保护修复中长期规划〉的函》(林函资字〔2025〕3号）</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《全国重要生态系统保护和修复重大工程总体规划（2021—2035年）》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《北方防沙带生态保护和修复重大工程建设规划（2021—2035年）》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《新疆维吾尔自治区林业草原保护利用“十五五”规划》</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《新疆维吾尔自治区国土空间规划（2021-2035年）》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《新疆林业和草原保护发展“十四五”规划》</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《新疆重要生态系统保护和修复重大工程规划（2021—2035年）》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《新疆维吾尔自治区三北工程六期规划》（2021-2030年）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《新疆维吾尔自治区防沙治沙规划（2021-2030年）》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《新疆维吾尔自治区森林防火规划(2016—2025年)》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《新疆森林经营规划(2016—2050年)》(2017年8月)</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《新疆国有林场(站)中长期规划(2018—2030年)》(2018年3月 )</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《新疆维吾尔自治区天然林资源保护工程二期实施方案 (2011—2020年)》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《新疆维吾尔自治区主体功能区规划》</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《哈密市国土空间生态修复规划（2021-2035年）》</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《伊吾县国土空间总体规划（2021—2035年）》</w:t>
      </w:r>
    </w:p>
    <w:p>
      <w:pPr>
        <w:pStyle w:val="4"/>
        <w:keepNext w:val="0"/>
        <w:keepLines w:val="0"/>
        <w:pageBreakBefore w:val="0"/>
        <w:widowControl w:val="0"/>
        <w:numPr>
          <w:ilvl w:val="0"/>
          <w:numId w:val="7"/>
        </w:numPr>
        <w:kinsoku/>
        <w:wordWrap/>
        <w:overflowPunct/>
        <w:topLinePunct w:val="0"/>
        <w:autoSpaceDE/>
        <w:autoSpaceDN/>
        <w:bidi w:val="0"/>
        <w:spacing w:after="157" w:afterLines="50"/>
        <w:ind w:left="10" w:firstLine="531" w:firstLineChars="196"/>
        <w:textAlignment w:val="auto"/>
        <w:rPr>
          <w:rFonts w:hint="eastAsia"/>
          <w:snapToGrid/>
          <w:color w:val="auto"/>
          <w:kern w:val="2"/>
          <w:lang w:val="en-US" w:eastAsia="zh-CN"/>
        </w:rPr>
      </w:pPr>
      <w:bookmarkStart w:id="57" w:name="_Toc17622"/>
      <w:bookmarkStart w:id="58" w:name="_Toc17304"/>
      <w:r>
        <w:rPr>
          <w:rFonts w:hint="eastAsia"/>
          <w:snapToGrid/>
          <w:color w:val="auto"/>
          <w:kern w:val="2"/>
          <w:lang w:val="en-US" w:eastAsia="zh-CN"/>
        </w:rPr>
        <w:t>标准规范</w:t>
      </w:r>
      <w:bookmarkEnd w:id="57"/>
      <w:bookmarkEnd w:id="58"/>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bookmarkStart w:id="59" w:name="_Toc20190"/>
      <w:r>
        <w:rPr>
          <w:rFonts w:hint="eastAsia" w:ascii="仿宋" w:hAnsi="仿宋" w:eastAsia="仿宋" w:cs="仿宋"/>
          <w:snapToGrid/>
          <w:color w:val="auto"/>
          <w:kern w:val="2"/>
          <w:sz w:val="27"/>
          <w:szCs w:val="27"/>
          <w:lang w:eastAsia="zh-CN"/>
        </w:rPr>
        <w:t>《森林抚育规程》（GB/T 15781—2015）</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《造林技术规程》（GB/T 15776—2023）</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《封山(沙)育林技术规程》（GB/T15163—2018）</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《退化林修复技术规程》（GB/T  44351—2024）</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《天然林保护修复生态效益评估指南》（GB/T 44590—2024）</w:t>
      </w:r>
    </w:p>
    <w:p>
      <w:pPr>
        <w:pStyle w:val="4"/>
        <w:keepNext w:val="0"/>
        <w:keepLines w:val="0"/>
        <w:pageBreakBefore w:val="0"/>
        <w:widowControl w:val="0"/>
        <w:numPr>
          <w:ilvl w:val="0"/>
          <w:numId w:val="7"/>
        </w:numPr>
        <w:kinsoku/>
        <w:wordWrap/>
        <w:overflowPunct/>
        <w:topLinePunct w:val="0"/>
        <w:autoSpaceDE/>
        <w:autoSpaceDN/>
        <w:bidi w:val="0"/>
        <w:spacing w:after="157" w:afterLines="50"/>
        <w:ind w:left="10" w:firstLine="531" w:firstLineChars="196"/>
        <w:textAlignment w:val="auto"/>
        <w:rPr>
          <w:rFonts w:hint="eastAsia"/>
          <w:snapToGrid/>
          <w:color w:val="auto"/>
          <w:kern w:val="2"/>
          <w:lang w:val="en-US" w:eastAsia="zh-CN"/>
        </w:rPr>
      </w:pPr>
      <w:bookmarkStart w:id="60" w:name="_Toc2826"/>
      <w:bookmarkStart w:id="61" w:name="_Toc4830"/>
      <w:r>
        <w:rPr>
          <w:rFonts w:hint="eastAsia"/>
          <w:snapToGrid/>
          <w:color w:val="auto"/>
          <w:kern w:val="2"/>
          <w:lang w:val="en-US" w:eastAsia="zh-CN"/>
        </w:rPr>
        <w:t>其他</w:t>
      </w:r>
      <w:bookmarkEnd w:id="59"/>
      <w:bookmarkEnd w:id="60"/>
      <w:bookmarkEnd w:id="61"/>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《省级天然林保护修复中长期规划编制大纲及相关要求》</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2024年</w:t>
      </w:r>
      <w:r>
        <w:rPr>
          <w:rFonts w:hint="eastAsia" w:ascii="仿宋" w:hAnsi="仿宋" w:eastAsia="仿宋" w:cs="仿宋"/>
          <w:snapToGrid/>
          <w:color w:val="auto"/>
          <w:kern w:val="2"/>
          <w:sz w:val="27"/>
          <w:szCs w:val="27"/>
          <w:lang w:val="en-US" w:eastAsia="zh-CN"/>
        </w:rPr>
        <w:t>哈密市林草湿荒（森林资源）普查</w:t>
      </w:r>
      <w:r>
        <w:rPr>
          <w:rFonts w:hint="eastAsia" w:ascii="仿宋" w:hAnsi="仿宋" w:eastAsia="仿宋" w:cs="仿宋"/>
          <w:snapToGrid/>
          <w:color w:val="auto"/>
          <w:kern w:val="2"/>
          <w:sz w:val="27"/>
          <w:szCs w:val="27"/>
          <w:lang w:eastAsia="zh-CN"/>
        </w:rPr>
        <w:t>数据成果</w:t>
      </w:r>
    </w:p>
    <w:p>
      <w:pPr>
        <w:keepNext w:val="0"/>
        <w:keepLines w:val="0"/>
        <w:pageBreakBefore w:val="0"/>
        <w:widowControl w:val="0"/>
        <w:kinsoku/>
        <w:wordWrap/>
        <w:overflowPunct/>
        <w:topLinePunct w:val="0"/>
        <w:autoSpaceDE/>
        <w:autoSpaceDN/>
        <w:bidi w:val="0"/>
        <w:spacing w:line="360" w:lineRule="auto"/>
        <w:ind w:firstLine="540" w:firstLineChars="200"/>
        <w:textAlignment w:val="auto"/>
        <w:rPr>
          <w:rFonts w:hint="eastAsia" w:ascii="仿宋" w:hAnsi="仿宋" w:eastAsia="仿宋" w:cs="仿宋"/>
          <w:snapToGrid/>
          <w:color w:val="auto"/>
          <w:kern w:val="2"/>
          <w:sz w:val="27"/>
          <w:szCs w:val="27"/>
          <w:lang w:eastAsia="zh-CN"/>
        </w:rPr>
      </w:pPr>
      <w:r>
        <w:rPr>
          <w:rFonts w:hint="eastAsia" w:ascii="仿宋" w:hAnsi="仿宋" w:eastAsia="仿宋" w:cs="仿宋"/>
          <w:snapToGrid/>
          <w:color w:val="auto"/>
          <w:kern w:val="2"/>
          <w:sz w:val="27"/>
          <w:szCs w:val="27"/>
          <w:lang w:eastAsia="zh-CN"/>
        </w:rPr>
        <w:t>2024年</w:t>
      </w:r>
      <w:r>
        <w:rPr>
          <w:rFonts w:hint="eastAsia" w:ascii="仿宋" w:hAnsi="仿宋" w:eastAsia="仿宋" w:cs="仿宋"/>
          <w:snapToGrid/>
          <w:color w:val="auto"/>
          <w:kern w:val="2"/>
          <w:sz w:val="27"/>
          <w:szCs w:val="27"/>
          <w:lang w:val="en-US" w:eastAsia="zh-CN"/>
        </w:rPr>
        <w:t>哈密市</w:t>
      </w:r>
      <w:r>
        <w:rPr>
          <w:rFonts w:hint="eastAsia" w:ascii="仿宋" w:hAnsi="仿宋" w:eastAsia="仿宋" w:cs="仿宋"/>
          <w:snapToGrid/>
          <w:color w:val="auto"/>
          <w:kern w:val="2"/>
          <w:sz w:val="27"/>
          <w:szCs w:val="27"/>
          <w:lang w:eastAsia="zh-CN"/>
        </w:rPr>
        <w:t>国家公益林</w:t>
      </w:r>
      <w:r>
        <w:rPr>
          <w:rFonts w:hint="eastAsia" w:ascii="仿宋" w:hAnsi="仿宋" w:eastAsia="仿宋" w:cs="仿宋"/>
          <w:snapToGrid/>
          <w:color w:val="auto"/>
          <w:kern w:val="2"/>
          <w:sz w:val="27"/>
          <w:szCs w:val="27"/>
          <w:lang w:val="en-US" w:eastAsia="zh-CN"/>
        </w:rPr>
        <w:t>统计</w:t>
      </w:r>
      <w:r>
        <w:rPr>
          <w:rFonts w:hint="eastAsia" w:ascii="仿宋" w:hAnsi="仿宋" w:eastAsia="仿宋" w:cs="仿宋"/>
          <w:snapToGrid/>
          <w:color w:val="auto"/>
          <w:kern w:val="2"/>
          <w:sz w:val="27"/>
          <w:szCs w:val="27"/>
          <w:lang w:eastAsia="zh-CN"/>
        </w:rPr>
        <w:t>数据</w:t>
      </w:r>
    </w:p>
    <w:p>
      <w:pPr>
        <w:pStyle w:val="3"/>
        <w:bidi w:val="0"/>
        <w:rPr>
          <w:rFonts w:hint="default"/>
          <w:lang w:val="en-US" w:eastAsia="zh-CN"/>
        </w:rPr>
      </w:pPr>
      <w:bookmarkStart w:id="62" w:name="_Toc24102"/>
      <w:r>
        <w:rPr>
          <w:rFonts w:hint="eastAsia"/>
          <w:lang w:val="en-US" w:eastAsia="zh-CN"/>
        </w:rPr>
        <w:t>第四节 范围期限</w:t>
      </w:r>
      <w:bookmarkEnd w:id="47"/>
      <w:bookmarkEnd w:id="62"/>
    </w:p>
    <w:p>
      <w:pPr>
        <w:pStyle w:val="4"/>
        <w:numPr>
          <w:ilvl w:val="0"/>
          <w:numId w:val="11"/>
        </w:numPr>
        <w:bidi w:val="0"/>
        <w:ind w:left="840" w:leftChars="0" w:firstLineChars="0"/>
        <w:rPr>
          <w:rFonts w:hint="eastAsia"/>
          <w:lang w:val="en-US" w:eastAsia="zh-CN"/>
        </w:rPr>
      </w:pPr>
      <w:bookmarkStart w:id="63" w:name="_Toc10028"/>
      <w:bookmarkStart w:id="64" w:name="_Toc3052"/>
      <w:r>
        <w:rPr>
          <w:rFonts w:hint="eastAsia"/>
          <w:lang w:val="en-US" w:eastAsia="zh-CN"/>
        </w:rPr>
        <w:t>范围</w:t>
      </w:r>
      <w:bookmarkEnd w:id="63"/>
      <w:bookmarkEnd w:id="64"/>
    </w:p>
    <w:p>
      <w:pPr>
        <w:pStyle w:val="7"/>
        <w:bidi w:val="0"/>
        <w:rPr>
          <w:rFonts w:hint="eastAsia"/>
          <w:lang w:eastAsia="zh-CN"/>
        </w:rPr>
      </w:pPr>
      <w:r>
        <w:rPr>
          <w:rFonts w:hint="eastAsia"/>
          <w:lang w:eastAsia="zh-CN"/>
        </w:rPr>
        <w:t>本方案规划范围为</w:t>
      </w:r>
      <w:r>
        <w:rPr>
          <w:rFonts w:hint="eastAsia"/>
          <w:lang w:val="en-US" w:eastAsia="zh-CN"/>
        </w:rPr>
        <w:t>伊吾</w:t>
      </w:r>
      <w:r>
        <w:rPr>
          <w:rFonts w:hint="eastAsia"/>
          <w:lang w:eastAsia="zh-CN"/>
        </w:rPr>
        <w:t>县行政辖区内天然林和公益林分布区域，不含天山东部国有林管理局哈密分局和新疆罗布泊野骆驼国家级自然保护区（哈密境内）管辖范围。</w:t>
      </w:r>
    </w:p>
    <w:p>
      <w:pPr>
        <w:pStyle w:val="4"/>
        <w:numPr>
          <w:ilvl w:val="0"/>
          <w:numId w:val="5"/>
        </w:numPr>
        <w:bidi w:val="0"/>
        <w:ind w:left="840" w:leftChars="0" w:firstLineChars="0"/>
        <w:rPr>
          <w:rFonts w:hint="eastAsia"/>
          <w:lang w:val="en-US" w:eastAsia="zh-CN"/>
        </w:rPr>
      </w:pPr>
      <w:bookmarkStart w:id="65" w:name="_Toc25340"/>
      <w:bookmarkStart w:id="66" w:name="_Toc3645"/>
      <w:r>
        <w:rPr>
          <w:rFonts w:hint="eastAsia"/>
          <w:lang w:val="en-US" w:eastAsia="zh-CN"/>
        </w:rPr>
        <w:t>期限</w:t>
      </w:r>
      <w:bookmarkEnd w:id="65"/>
      <w:bookmarkEnd w:id="66"/>
    </w:p>
    <w:p>
      <w:pPr>
        <w:pStyle w:val="7"/>
        <w:bidi w:val="0"/>
        <w:rPr>
          <w:rFonts w:hint="eastAsia"/>
          <w:lang w:eastAsia="zh-CN"/>
        </w:rPr>
        <w:sectPr>
          <w:pgSz w:w="11906" w:h="16838"/>
          <w:pgMar w:top="1440" w:right="1800" w:bottom="1440" w:left="1800" w:header="851" w:footer="992" w:gutter="0"/>
          <w:pgNumType w:fmt="decimal"/>
          <w:cols w:space="425" w:num="1"/>
          <w:docGrid w:type="lines" w:linePitch="312" w:charSpace="0"/>
        </w:sectPr>
      </w:pPr>
      <w:r>
        <w:rPr>
          <w:rFonts w:hint="eastAsia"/>
          <w:lang w:val="en-US" w:eastAsia="zh-CN"/>
        </w:rPr>
        <w:t>期限</w:t>
      </w:r>
      <w:r>
        <w:rPr>
          <w:rFonts w:hint="eastAsia"/>
          <w:lang w:eastAsia="zh-CN"/>
        </w:rPr>
        <w:t>为15年，即2021—2035年。其中：近期2021—2025年，中期2026—2030年，远期2031—2035年。</w:t>
      </w:r>
    </w:p>
    <w:p>
      <w:pPr>
        <w:pStyle w:val="3"/>
        <w:bidi w:val="0"/>
        <w:rPr>
          <w:rFonts w:hint="default"/>
          <w:lang w:val="en-US" w:eastAsia="zh-CN"/>
        </w:rPr>
      </w:pPr>
      <w:bookmarkStart w:id="67" w:name="_Toc31635"/>
      <w:bookmarkStart w:id="68" w:name="_Toc24168"/>
      <w:r>
        <w:rPr>
          <w:rFonts w:hint="eastAsia"/>
          <w:lang w:val="en-US" w:eastAsia="zh-CN"/>
        </w:rPr>
        <w:t>第五节 目标任务</w:t>
      </w:r>
      <w:bookmarkEnd w:id="67"/>
      <w:bookmarkEnd w:id="68"/>
    </w:p>
    <w:p>
      <w:pPr>
        <w:pStyle w:val="4"/>
        <w:numPr>
          <w:ilvl w:val="0"/>
          <w:numId w:val="12"/>
        </w:numPr>
        <w:bidi w:val="0"/>
        <w:ind w:left="840" w:leftChars="0" w:firstLineChars="0"/>
        <w:rPr>
          <w:rFonts w:hint="eastAsia"/>
          <w:lang w:val="en-US" w:eastAsia="zh-CN"/>
        </w:rPr>
      </w:pPr>
      <w:bookmarkStart w:id="69" w:name="_Toc29312"/>
      <w:bookmarkStart w:id="70" w:name="_Toc23463"/>
      <w:r>
        <w:rPr>
          <w:rFonts w:hint="eastAsia"/>
          <w:lang w:val="en-US" w:eastAsia="zh-CN"/>
        </w:rPr>
        <w:t>方案目标</w:t>
      </w:r>
      <w:bookmarkEnd w:id="69"/>
      <w:bookmarkEnd w:id="70"/>
    </w:p>
    <w:p>
      <w:pPr>
        <w:pStyle w:val="5"/>
        <w:numPr>
          <w:ilvl w:val="0"/>
          <w:numId w:val="13"/>
        </w:numPr>
        <w:bidi w:val="0"/>
        <w:rPr>
          <w:rFonts w:hint="eastAsia"/>
          <w:lang w:val="en-US" w:eastAsia="zh-CN"/>
        </w:rPr>
      </w:pPr>
      <w:bookmarkStart w:id="71" w:name="_Toc11500"/>
      <w:r>
        <w:rPr>
          <w:rFonts w:hint="eastAsia"/>
          <w:lang w:val="en-US" w:eastAsia="zh-CN"/>
        </w:rPr>
        <w:t>总体目标</w:t>
      </w:r>
      <w:bookmarkEnd w:id="71"/>
    </w:p>
    <w:p>
      <w:pPr>
        <w:pStyle w:val="6"/>
        <w:bidi w:val="0"/>
        <w:rPr>
          <w:rFonts w:hint="eastAsia"/>
          <w:lang w:val="en-US" w:eastAsia="zh-CN"/>
        </w:rPr>
      </w:pPr>
      <w:r>
        <w:rPr>
          <w:rFonts w:hint="eastAsia"/>
          <w:lang w:val="en-US" w:eastAsia="zh-CN"/>
        </w:rPr>
        <w:t>健全天然林保护修复制度体系，实现天然林保护与公益林管理并轨。立足伊吾县天山北麓东段山地与淖毛湖盆地、盐池盆地相间分布的特殊地貌格局和温带大陆性干旱气候条件，通过科学人工干预与自然恢复协同发力，确保天然林林分结构持续优化、蓄积量稳步增长、森林质量明显提升、生态功能不断增强，构建健康稳定、功能完备的天然林生态系统。到2035年，天然林面积稳定在约203.35万亩，全面提升天然林生态系统的稳定性和可持续性，强化喀尔里克山—莫钦乌拉山—淖毛湖荒漠过渡带生态屏障功能，把伊吾县建设成为东天山北部重要生态屏障，为建设美丽哈密、美丽新疆提供有力支撑。</w:t>
      </w:r>
    </w:p>
    <w:p>
      <w:pPr>
        <w:pStyle w:val="5"/>
        <w:keepNext w:val="0"/>
        <w:keepLines w:val="0"/>
        <w:pageBreakBefore w:val="0"/>
        <w:widowControl w:val="0"/>
        <w:kinsoku w:val="0"/>
        <w:wordWrap/>
        <w:overflowPunct/>
        <w:topLinePunct w:val="0"/>
        <w:autoSpaceDE/>
        <w:autoSpaceDN/>
        <w:bidi w:val="0"/>
        <w:adjustRightInd w:val="0"/>
        <w:snapToGrid w:val="0"/>
        <w:spacing w:before="0" w:beforeLines="0"/>
        <w:textAlignment w:val="baseline"/>
        <w:rPr>
          <w:rFonts w:hint="eastAsia"/>
          <w:lang w:val="en-US" w:eastAsia="zh-CN"/>
        </w:rPr>
      </w:pPr>
      <w:bookmarkStart w:id="72" w:name="_Toc18342"/>
      <w:r>
        <w:rPr>
          <w:rFonts w:hint="eastAsia"/>
          <w:lang w:val="en-US" w:eastAsia="zh-CN"/>
        </w:rPr>
        <w:t>阶段性目标</w:t>
      </w:r>
      <w:bookmarkEnd w:id="72"/>
    </w:p>
    <w:p>
      <w:pPr>
        <w:pStyle w:val="6"/>
        <w:keepNext w:val="0"/>
        <w:keepLines w:val="0"/>
        <w:pageBreakBefore w:val="0"/>
        <w:widowControl/>
        <w:kinsoku w:val="0"/>
        <w:wordWrap/>
        <w:overflowPunct/>
        <w:topLinePunct w:val="0"/>
        <w:autoSpaceDE w:val="0"/>
        <w:autoSpaceDN w:val="0"/>
        <w:bidi w:val="0"/>
        <w:adjustRightInd w:val="0"/>
        <w:snapToGrid w:val="0"/>
        <w:spacing w:before="0" w:afterAutospacing="0" w:line="224" w:lineRule="auto"/>
        <w:ind w:left="0" w:leftChars="0" w:firstLine="313" w:firstLineChars="100"/>
        <w:jc w:val="left"/>
        <w:textAlignment w:val="baseline"/>
        <w:outlineLvl w:val="9"/>
        <w:rPr>
          <w:rFonts w:hint="eastAsia" w:ascii="仿宋" w:hAnsi="仿宋" w:eastAsia="仿宋" w:cs="仿宋"/>
          <w:b/>
          <w:bCs/>
          <w:spacing w:val="16"/>
          <w:kern w:val="0"/>
          <w:sz w:val="28"/>
          <w:szCs w:val="28"/>
          <w:lang w:val="en-US" w:eastAsia="zh-CN"/>
        </w:rPr>
      </w:pPr>
      <w:r>
        <w:rPr>
          <w:rFonts w:hint="eastAsia" w:ascii="仿宋" w:hAnsi="仿宋" w:eastAsia="仿宋" w:cs="仿宋"/>
          <w:b/>
          <w:bCs/>
          <w:spacing w:val="16"/>
          <w:kern w:val="0"/>
          <w:sz w:val="28"/>
          <w:szCs w:val="28"/>
          <w:lang w:val="en-US" w:eastAsia="zh-CN"/>
        </w:rPr>
        <w:t>（1）近期目标（2021—2025年）</w:t>
      </w:r>
    </w:p>
    <w:p>
      <w:pPr>
        <w:pStyle w:val="7"/>
        <w:bidi w:val="0"/>
        <w:rPr>
          <w:rFonts w:hint="eastAsia"/>
          <w:lang w:val="en-US" w:eastAsia="zh-CN"/>
        </w:rPr>
      </w:pPr>
      <w:r>
        <w:rPr>
          <w:rFonts w:hint="eastAsia"/>
          <w:lang w:val="en-US" w:eastAsia="zh-CN"/>
        </w:rPr>
        <w:t>以全面保护和制度建设为主，基本遏制天然林退化趋势，确保天然林面积总体稳定，生态功能逐步恢复提升。累计管护天然林面积约1016.76万亩次，完成森林抚育1.35万亩、封山育林4.2万亩，持续巩固前期生态修复成果。管护站点布局进一步优化，初步形成覆盖喀尔里克山北坡山地森林、淖毛湖荒漠林带、伊吾山间盆地等重点林区的管护网络，管护运行经费和社会保障支出得到有力保障，林区职工月均收入由2011年880元增长至2025年6709.68元。到2025年，天然林面积保持稳定在约203.35万亩，前期抚育和封育成效得到有效巩固，为后续系统修复奠定基础。</w:t>
      </w:r>
    </w:p>
    <w:p>
      <w:pPr>
        <w:pStyle w:val="6"/>
        <w:keepNext w:val="0"/>
        <w:keepLines w:val="0"/>
        <w:pageBreakBefore w:val="0"/>
        <w:widowControl/>
        <w:kinsoku w:val="0"/>
        <w:wordWrap/>
        <w:overflowPunct/>
        <w:topLinePunct w:val="0"/>
        <w:autoSpaceDE w:val="0"/>
        <w:autoSpaceDN w:val="0"/>
        <w:bidi w:val="0"/>
        <w:adjustRightInd w:val="0"/>
        <w:snapToGrid w:val="0"/>
        <w:spacing w:before="0" w:afterAutospacing="0" w:line="224" w:lineRule="auto"/>
        <w:ind w:left="0" w:leftChars="0" w:firstLine="313" w:firstLineChars="100"/>
        <w:jc w:val="left"/>
        <w:textAlignment w:val="baseline"/>
        <w:outlineLvl w:val="9"/>
        <w:rPr>
          <w:rFonts w:hint="eastAsia" w:ascii="仿宋" w:hAnsi="仿宋" w:eastAsia="仿宋" w:cs="仿宋"/>
          <w:b/>
          <w:bCs/>
          <w:spacing w:val="16"/>
          <w:kern w:val="0"/>
          <w:sz w:val="28"/>
          <w:szCs w:val="28"/>
          <w:lang w:val="en-US" w:eastAsia="zh-CN"/>
        </w:rPr>
      </w:pPr>
      <w:r>
        <w:rPr>
          <w:rFonts w:hint="eastAsia" w:ascii="仿宋" w:hAnsi="仿宋" w:eastAsia="仿宋" w:cs="仿宋"/>
          <w:b/>
          <w:bCs/>
          <w:spacing w:val="16"/>
          <w:kern w:val="0"/>
          <w:sz w:val="28"/>
          <w:szCs w:val="28"/>
          <w:lang w:val="en-US" w:eastAsia="zh-CN"/>
        </w:rPr>
        <w:t>（2）中期目标（2026—2030年）</w:t>
      </w:r>
    </w:p>
    <w:p>
      <w:pPr>
        <w:pStyle w:val="7"/>
        <w:bidi w:val="0"/>
        <w:rPr>
          <w:rFonts w:hint="eastAsia"/>
          <w:lang w:val="en-US" w:eastAsia="zh-CN"/>
        </w:rPr>
      </w:pPr>
      <w:r>
        <w:rPr>
          <w:rFonts w:hint="eastAsia"/>
          <w:lang w:val="en-US" w:eastAsia="zh-CN"/>
        </w:rPr>
        <w:t>天然林生态系统实现明显恢复，森林结构更加合理，生物多样性保护水平和生态服务功能持续增强。管护能力显著提升，基本建成覆盖重点山区和荒漠过渡带的天地空一体化监测体系，森林资源动态监测和精准管理能力明显提高。管护经费保障水平稳步提高，2026—2035年天然林保护资金需求7521.81万元，其中2026年775.99万元、2027—2035年6745.82万元，分年度额度在年度实施方案中结合中央财政资金下达情况确定，为持续管护和能力建设提供资金支撑。到2030年，天然林面积保持稳定，重点区域天然林结构和功能实现阶段性恢复，县域生态安全屏障作用进一步增强。</w:t>
      </w:r>
    </w:p>
    <w:p>
      <w:pPr>
        <w:pStyle w:val="6"/>
        <w:keepNext w:val="0"/>
        <w:keepLines w:val="0"/>
        <w:pageBreakBefore w:val="0"/>
        <w:widowControl/>
        <w:kinsoku w:val="0"/>
        <w:wordWrap/>
        <w:overflowPunct/>
        <w:topLinePunct w:val="0"/>
        <w:autoSpaceDE w:val="0"/>
        <w:autoSpaceDN w:val="0"/>
        <w:bidi w:val="0"/>
        <w:adjustRightInd w:val="0"/>
        <w:snapToGrid w:val="0"/>
        <w:spacing w:before="0" w:afterAutospacing="0" w:line="224" w:lineRule="auto"/>
        <w:ind w:left="0" w:leftChars="0" w:firstLine="313" w:firstLineChars="100"/>
        <w:jc w:val="left"/>
        <w:textAlignment w:val="baseline"/>
        <w:outlineLvl w:val="9"/>
        <w:rPr>
          <w:rFonts w:hint="eastAsia" w:ascii="仿宋" w:hAnsi="仿宋" w:eastAsia="仿宋" w:cs="仿宋"/>
          <w:b/>
          <w:bCs/>
          <w:spacing w:val="16"/>
          <w:kern w:val="0"/>
          <w:sz w:val="28"/>
          <w:szCs w:val="28"/>
          <w:lang w:val="en-US" w:eastAsia="zh-CN"/>
        </w:rPr>
      </w:pPr>
      <w:r>
        <w:rPr>
          <w:rFonts w:hint="eastAsia" w:ascii="仿宋" w:hAnsi="仿宋" w:eastAsia="仿宋" w:cs="仿宋"/>
          <w:b/>
          <w:bCs/>
          <w:spacing w:val="16"/>
          <w:kern w:val="0"/>
          <w:sz w:val="28"/>
          <w:szCs w:val="28"/>
          <w:lang w:val="en-US" w:eastAsia="zh-CN"/>
        </w:rPr>
        <w:t>（3）远期目标（2031—2035年）</w:t>
      </w:r>
    </w:p>
    <w:p>
      <w:pPr>
        <w:pStyle w:val="7"/>
        <w:bidi w:val="0"/>
        <w:rPr>
          <w:rFonts w:hint="eastAsia"/>
          <w:lang w:val="en-US" w:eastAsia="zh-CN"/>
        </w:rPr>
      </w:pPr>
      <w:r>
        <w:rPr>
          <w:rFonts w:hint="eastAsia"/>
          <w:lang w:val="en-US" w:eastAsia="zh-CN"/>
        </w:rPr>
        <w:t>全面完成规划期内天然林保护修复任务，构建健康稳定、功能完备、韧性较强的天然林生态系统。通过持续的抚育巩固、封育管控和自然恢复，引导天然林由“全面保护”向“质量提升”和“功能优化”转变，生态承载力和抵御极端干旱、风沙灾害的能力显著提升。2027—2035年，中央财政用于伊吾县天然林保护的资金需求为6745.82万元，为规划目标实现提供长期稳定的资金保障。到2035年，天然林面积稳定在现有水平约203.35万亩，生态功能显著增强，基本建成以山地天然林和荒漠林为主体的东天山北部重要生态屏障。</w:t>
      </w:r>
    </w:p>
    <w:p>
      <w:pPr>
        <w:pStyle w:val="4"/>
        <w:numPr>
          <w:ilvl w:val="0"/>
          <w:numId w:val="5"/>
        </w:numPr>
        <w:bidi w:val="0"/>
        <w:ind w:left="840" w:leftChars="0" w:firstLineChars="0"/>
        <w:rPr>
          <w:rFonts w:hint="eastAsia"/>
          <w:lang w:val="en-US" w:eastAsia="zh-CN"/>
        </w:rPr>
      </w:pPr>
      <w:bookmarkStart w:id="73" w:name="_Toc24695"/>
      <w:bookmarkStart w:id="74" w:name="_Toc29771"/>
      <w:r>
        <w:rPr>
          <w:rFonts w:hint="eastAsia"/>
          <w:lang w:val="en-US" w:eastAsia="zh-CN"/>
        </w:rPr>
        <w:t>主要任务</w:t>
      </w:r>
      <w:bookmarkEnd w:id="73"/>
      <w:bookmarkEnd w:id="74"/>
    </w:p>
    <w:p>
      <w:pPr>
        <w:pStyle w:val="5"/>
        <w:numPr>
          <w:ilvl w:val="0"/>
          <w:numId w:val="14"/>
        </w:numPr>
        <w:bidi w:val="0"/>
        <w:rPr>
          <w:rFonts w:hint="eastAsia"/>
          <w:lang w:val="en-US" w:eastAsia="zh-CN"/>
        </w:rPr>
      </w:pPr>
      <w:bookmarkStart w:id="75" w:name="_Toc7769"/>
      <w:r>
        <w:rPr>
          <w:rFonts w:hint="eastAsia"/>
          <w:lang w:val="en-US" w:eastAsia="zh-CN"/>
        </w:rPr>
        <w:t>加强保护</w:t>
      </w:r>
      <w:bookmarkEnd w:id="75"/>
      <w:r>
        <w:rPr>
          <w:rFonts w:hint="eastAsia"/>
          <w:lang w:val="en-US" w:eastAsia="zh-CN"/>
        </w:rPr>
        <w:t>管护</w:t>
      </w:r>
    </w:p>
    <w:p>
      <w:pPr>
        <w:pStyle w:val="6"/>
        <w:bidi w:val="0"/>
        <w:rPr>
          <w:rFonts w:hint="eastAsia"/>
        </w:rPr>
      </w:pPr>
      <w:r>
        <w:rPr>
          <w:rFonts w:hint="eastAsia"/>
        </w:rPr>
        <w:t>持续加强天然林资源保护，坚持全面保护与重点管护相结合。每年管护面积约203.40万亩（天然林面积203.35万亩、非天然国家级公益林0.05万亩），实现应保尽保、应管尽管。以喀尔里克山北坡山地森林和淖毛湖盆地荒漠灌木林为重点，对重要水源涵养区、风沙源区、农牧交错带实施严格保护，严控各类破坏性活动，维护天然林生态系统完整性和连通性。按照“场-站-员”一体化管理思路，优化县域1个中心管护站、6个一般管护站共7个管护站（所）的空间布局，巩固现有管护用房和一线管护人员力量，一线管护人员由2026年度的89人逐步调减至2035年度的68人，人均管护面积约2.99万亩。同步完善林长制责任体系，压实县、乡、村三级林长及相关部门责任，形成横向到边、纵向到底的天然林保护网络。</w:t>
      </w:r>
    </w:p>
    <w:p>
      <w:pPr>
        <w:pStyle w:val="5"/>
        <w:bidi w:val="0"/>
        <w:rPr>
          <w:rFonts w:hint="eastAsia"/>
          <w:lang w:val="en-US" w:eastAsia="zh-CN"/>
        </w:rPr>
      </w:pPr>
      <w:r>
        <w:rPr>
          <w:rFonts w:hint="eastAsia"/>
          <w:lang w:val="en-US" w:eastAsia="zh-CN"/>
        </w:rPr>
        <w:t>夯实管护能力基础</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围绕“人、站、车、技”四个方面系统提升伊吾县管护能力。在现有站点、巡护车辆、智能监控、安全防护装备的基础上，规划期内分年度实施管护站加固改造、设备维护和更新等项目，逐步改善站点办公生活条件和管护能力基础。2026—2035年，规划安排天然林保护资金7521.81万元，用于管护人员聘用、管护站基础设施建设（管护站加固改造或功能完善）、无人机购置（4架）、高空云台配置（5套）等，持续保障护林员劳务报酬和社保补助，保持长期聘用管护人员规模稳定，推动护林岗位与乡村振兴、就业增收有机衔接。各项支出的分项额度和分年度安排，在年度实施方案中另行确定。公共管护支出主要用于办公经费和运行保障经费（含车辆维护、管护站运行、应急分队、宣传培训、管护辅助设施、原有设备维护及链路费等），具体额度在年度实施方案中确定。</w:t>
      </w:r>
    </w:p>
    <w:p>
      <w:pPr>
        <w:pStyle w:val="5"/>
        <w:bidi w:val="0"/>
        <w:rPr>
          <w:rFonts w:hint="eastAsia"/>
          <w:lang w:val="en-US" w:eastAsia="zh-CN"/>
        </w:rPr>
      </w:pPr>
      <w:r>
        <w:rPr>
          <w:rFonts w:hint="eastAsia"/>
          <w:lang w:val="en-US" w:eastAsia="zh-CN"/>
        </w:rPr>
        <w:t>科学实施修复提升</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坚持</w:t>
      </w:r>
      <w:r>
        <w:rPr>
          <w:rFonts w:hint="eastAsia"/>
          <w:lang w:eastAsia="zh-CN"/>
        </w:rPr>
        <w:t>“</w:t>
      </w:r>
      <w:r>
        <w:rPr>
          <w:rFonts w:hint="eastAsia"/>
        </w:rPr>
        <w:t>自然恢复为主、人工促进为辅</w:t>
      </w:r>
      <w:r>
        <w:rPr>
          <w:rFonts w:hint="eastAsia"/>
          <w:lang w:eastAsia="zh-CN"/>
        </w:rPr>
        <w:t>”</w:t>
      </w:r>
      <w:r>
        <w:rPr>
          <w:rFonts w:hint="eastAsia"/>
        </w:rPr>
        <w:t>的原则，突出重点区域、重点类型和重点问题，分类施策推进天然林质量提升。结合前期完成的1.35万亩森林抚育与4.2万亩封山育林基础，聚焦退化荒漠灌木林和重要通道两侧天然林，通过封育、补植补造和综合生态修复等措施，系统提升林分稳定性和景观连续性。在符合水资源承载能力的前提下，统筹安排后备资源培育、更新改造与封育巩固工程，强化封育区围栏维护和日常管护，确保封育效果持续稳定。规划期内伊吾县暂无大规模系统修复任务，以巩固前期成效为主，适时根据天然林退化情况和气候变化特点，科学开展针对性修复试点。</w:t>
      </w:r>
    </w:p>
    <w:p>
      <w:pPr>
        <w:pStyle w:val="5"/>
        <w:bidi w:val="0"/>
        <w:rPr>
          <w:rFonts w:hint="eastAsia"/>
          <w:lang w:val="en-US" w:eastAsia="zh-CN"/>
        </w:rPr>
      </w:pPr>
      <w:r>
        <w:rPr>
          <w:rFonts w:hint="eastAsia"/>
          <w:lang w:val="en-US" w:eastAsia="zh-CN"/>
        </w:rPr>
        <w:t>强化资金和政策保障</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color w:val="auto"/>
        </w:rPr>
        <w:t>用足用好国家天然林保护修复政策，构建多元稳定的资金投入机制。规划期内，中央财政对伊吾县天然林保护修复计划投入11178.4万元，其中2021—2025年已投入3656.59万元；2026年投入775.99万元、2027—2035年规划投入6745.82万元。加强与国家林草生态保护恢复资金、"双重"规划项目、三北工程等政策的统筹衔接，积极争取与天然林保护相关的预算内投资、配套资金和社会资本参与。完善项目储备和前期工作机制，严格执行资金管理使用规定，强化全过程绩效管理和审计监督，确保资金精准投向重点区域、重点工程和薄弱环节，显著提升资金使用效益。其中，2026—2035年保护资金7521.81万元，统筹用于森林管护（管护人员聘用、管护能力建设）和公共管护支出，具体分项额度在年度实施方案中确定。</w:t>
      </w:r>
    </w:p>
    <w:p>
      <w:pPr>
        <w:pStyle w:val="6"/>
        <w:bidi w:val="0"/>
        <w:rPr>
          <w:rFonts w:hint="eastAsia"/>
        </w:rPr>
        <w:sectPr>
          <w:pgSz w:w="11906" w:h="16838"/>
          <w:pgMar w:top="1440" w:right="1800" w:bottom="1440" w:left="1800" w:header="851" w:footer="992" w:gutter="0"/>
          <w:pgNumType w:fmt="decimal"/>
          <w:cols w:space="425" w:num="1"/>
          <w:docGrid w:type="lines" w:linePitch="312" w:charSpace="0"/>
        </w:sectPr>
      </w:pPr>
    </w:p>
    <w:p>
      <w:pPr>
        <w:pStyle w:val="2"/>
        <w:bidi w:val="0"/>
        <w:ind w:left="2733" w:leftChars="0" w:hanging="2733" w:hangingChars="769"/>
        <w:jc w:val="center"/>
        <w:rPr>
          <w:rFonts w:hint="default"/>
          <w:lang w:val="en-US" w:eastAsia="zh-CN"/>
        </w:rPr>
      </w:pPr>
      <w:bookmarkStart w:id="76" w:name="_Toc7282"/>
      <w:r>
        <w:rPr>
          <w:rFonts w:hint="eastAsia"/>
        </w:rPr>
        <w:t>第</w:t>
      </w:r>
      <w:r>
        <w:rPr>
          <w:rFonts w:hint="eastAsia"/>
          <w:lang w:val="en-US" w:eastAsia="zh-CN"/>
        </w:rPr>
        <w:t>三</w:t>
      </w:r>
      <w:r>
        <w:rPr>
          <w:rFonts w:hint="eastAsia"/>
        </w:rPr>
        <w:t xml:space="preserve">章 </w:t>
      </w:r>
      <w:r>
        <w:rPr>
          <w:rFonts w:hint="eastAsia"/>
          <w:lang w:val="en-US" w:eastAsia="zh-CN"/>
        </w:rPr>
        <w:t>保护修复布局</w:t>
      </w:r>
      <w:bookmarkEnd w:id="76"/>
    </w:p>
    <w:p>
      <w:pPr>
        <w:pStyle w:val="3"/>
        <w:bidi w:val="0"/>
        <w:rPr>
          <w:rFonts w:hint="eastAsia"/>
          <w:lang w:val="en-US" w:eastAsia="zh-CN"/>
        </w:rPr>
      </w:pPr>
      <w:bookmarkStart w:id="77" w:name="_Toc14263"/>
      <w:r>
        <w:rPr>
          <w:rFonts w:hint="eastAsia"/>
          <w:lang w:val="en-US" w:eastAsia="zh-CN"/>
        </w:rPr>
        <w:t>第一节 分类管控</w:t>
      </w:r>
      <w:bookmarkEnd w:id="77"/>
    </w:p>
    <w:p>
      <w:pPr>
        <w:pStyle w:val="4"/>
        <w:numPr>
          <w:ilvl w:val="0"/>
          <w:numId w:val="15"/>
        </w:numPr>
        <w:bidi w:val="0"/>
        <w:rPr>
          <w:rFonts w:hint="eastAsia"/>
          <w:lang w:val="en-US" w:eastAsia="zh-CN"/>
        </w:rPr>
      </w:pPr>
      <w:bookmarkStart w:id="78" w:name="_Toc32005"/>
      <w:bookmarkStart w:id="79" w:name="_Toc11496"/>
      <w:r>
        <w:rPr>
          <w:rFonts w:hint="eastAsia"/>
          <w:lang w:val="en-US" w:eastAsia="zh-CN"/>
        </w:rPr>
        <w:t>一般保护区域</w:t>
      </w:r>
      <w:bookmarkEnd w:id="78"/>
      <w:bookmarkEnd w:id="79"/>
    </w:p>
    <w:p>
      <w:pPr>
        <w:pStyle w:val="5"/>
        <w:numPr>
          <w:ilvl w:val="0"/>
          <w:numId w:val="16"/>
        </w:numPr>
        <w:bidi w:val="0"/>
        <w:rPr>
          <w:rFonts w:hint="eastAsia"/>
          <w:lang w:val="en-US" w:eastAsia="zh-CN"/>
        </w:rPr>
      </w:pPr>
      <w:bookmarkStart w:id="80" w:name="_Toc7326"/>
      <w:r>
        <w:rPr>
          <w:rFonts w:hint="eastAsia"/>
          <w:lang w:val="en-US" w:eastAsia="zh-CN"/>
        </w:rPr>
        <w:t>区域范围</w:t>
      </w:r>
      <w:bookmarkEnd w:id="80"/>
    </w:p>
    <w:p>
      <w:pPr>
        <w:pStyle w:val="6"/>
        <w:bidi w:val="0"/>
        <w:rPr>
          <w:rFonts w:hint="eastAsia"/>
          <w:color w:val="0000FF"/>
        </w:rPr>
      </w:pPr>
      <w:r>
        <w:rPr>
          <w:rFonts w:hint="eastAsia"/>
          <w:lang w:val="en-US" w:eastAsia="zh-CN"/>
        </w:rPr>
        <w:t>经核实，伊吾县天然林全部位于一般保护区域，无天然林分布于国家级自然保护区核心保护区、饮用水水源一级保护区，也无保存完好的原始林等需要划定为重点保护区域的天然林资源，故本方案不设重点保护区域。伊吾县天然林及非天然公益林</w:t>
      </w:r>
      <w:r>
        <w:rPr>
          <w:rFonts w:hint="eastAsia"/>
        </w:rPr>
        <w:t>主要分布在喀尔里克山北坡和莫钦乌拉山的中高山地带</w:t>
      </w:r>
      <w:r>
        <w:rPr>
          <w:rFonts w:hint="eastAsia"/>
          <w:lang w:eastAsia="zh-CN"/>
        </w:rPr>
        <w:t>、</w:t>
      </w:r>
      <w:r>
        <w:rPr>
          <w:rFonts w:hint="eastAsia"/>
        </w:rPr>
        <w:t>淖毛湖盆地区域、伊吾山间盆地</w:t>
      </w:r>
      <w:r>
        <w:rPr>
          <w:rFonts w:hint="eastAsia"/>
          <w:lang w:eastAsia="zh-CN"/>
        </w:rPr>
        <w:t>、</w:t>
      </w:r>
      <w:r>
        <w:rPr>
          <w:rFonts w:hint="eastAsia"/>
        </w:rPr>
        <w:t>戈壁荒漠地带</w:t>
      </w:r>
      <w:r>
        <w:rPr>
          <w:rFonts w:hint="eastAsia"/>
          <w:lang w:val="en-US" w:eastAsia="zh-CN"/>
        </w:rPr>
        <w:t>及</w:t>
      </w:r>
      <w:r>
        <w:rPr>
          <w:rFonts w:hint="eastAsia"/>
        </w:rPr>
        <w:t>河谷沿线天然林带等区域，包括天然针叶林、天然阔叶林、天然灌木林以及荒漠区的天然疏林等多种林分类型。</w:t>
      </w:r>
      <w:r>
        <w:rPr>
          <w:rFonts w:hint="eastAsia"/>
          <w:color w:val="auto"/>
        </w:rPr>
        <w:t>一般保护区域天然林和非天然公益林面积约</w:t>
      </w:r>
      <w:r>
        <w:rPr>
          <w:rFonts w:hint="eastAsia"/>
          <w:color w:val="auto"/>
          <w:lang w:val="en-US" w:eastAsia="zh-CN"/>
        </w:rPr>
        <w:t>210.43</w:t>
      </w:r>
      <w:r>
        <w:rPr>
          <w:rFonts w:hint="eastAsia"/>
          <w:color w:val="auto"/>
        </w:rPr>
        <w:t>万亩，其中天然林</w:t>
      </w:r>
      <w:r>
        <w:rPr>
          <w:rFonts w:hint="eastAsia"/>
          <w:color w:val="auto"/>
          <w:lang w:val="en-US" w:eastAsia="zh-CN"/>
        </w:rPr>
        <w:t>203.35</w:t>
      </w:r>
      <w:r>
        <w:rPr>
          <w:rFonts w:hint="eastAsia"/>
          <w:color w:val="auto"/>
        </w:rPr>
        <w:t>万亩，非天然公益林</w:t>
      </w:r>
      <w:r>
        <w:rPr>
          <w:rFonts w:hint="eastAsia"/>
          <w:color w:val="auto"/>
          <w:lang w:val="en-US" w:eastAsia="zh-CN"/>
        </w:rPr>
        <w:t>7.08</w:t>
      </w:r>
      <w:r>
        <w:rPr>
          <w:rFonts w:hint="eastAsia"/>
          <w:color w:val="auto"/>
        </w:rPr>
        <w:t>万亩</w:t>
      </w:r>
      <w:r>
        <w:rPr>
          <w:rFonts w:hint="eastAsia"/>
          <w:color w:val="auto"/>
          <w:lang w:eastAsia="zh-CN"/>
        </w:rPr>
        <w:t>（含非天然国家级公益林</w:t>
      </w:r>
      <w:r>
        <w:rPr>
          <w:rFonts w:hint="eastAsia"/>
          <w:color w:val="auto"/>
          <w:lang w:val="en-US" w:eastAsia="zh-CN"/>
        </w:rPr>
        <w:t>0.05</w:t>
      </w:r>
      <w:r>
        <w:rPr>
          <w:rFonts w:hint="eastAsia"/>
          <w:color w:val="auto"/>
          <w:lang w:eastAsia="zh-CN"/>
        </w:rPr>
        <w:t>万亩）</w:t>
      </w:r>
      <w:r>
        <w:rPr>
          <w:rFonts w:hint="eastAsia"/>
          <w:color w:val="auto"/>
        </w:rPr>
        <w:t>。</w:t>
      </w:r>
    </w:p>
    <w:p>
      <w:pPr>
        <w:pStyle w:val="5"/>
        <w:bidi w:val="0"/>
        <w:rPr>
          <w:rFonts w:hint="eastAsia"/>
          <w:lang w:val="en-US" w:eastAsia="zh-CN"/>
        </w:rPr>
      </w:pPr>
      <w:bookmarkStart w:id="81" w:name="_Toc23347"/>
      <w:r>
        <w:rPr>
          <w:rFonts w:hint="eastAsia"/>
          <w:lang w:val="en-US" w:eastAsia="zh-CN"/>
        </w:rPr>
        <w:t>战略定位</w:t>
      </w:r>
      <w:bookmarkEnd w:id="81"/>
    </w:p>
    <w:p>
      <w:pPr>
        <w:pStyle w:val="6"/>
        <w:bidi w:val="0"/>
        <w:rPr>
          <w:rFonts w:hint="eastAsia"/>
        </w:rPr>
      </w:pPr>
      <w:r>
        <w:rPr>
          <w:rFonts w:hint="eastAsia"/>
        </w:rPr>
        <w:t>以生态系统功能优化与协同发展为核心，通过系统重建、促进更新、森林抚育等措施，促进天然林自我恢复和天然林更新，提高林分质量，优化林分结构，提升生态系统承载力。</w:t>
      </w:r>
      <w:r>
        <w:rPr>
          <w:rFonts w:hint="eastAsia"/>
          <w:lang w:val="en-US" w:eastAsia="zh-CN"/>
        </w:rPr>
        <w:t>同时，</w:t>
      </w:r>
      <w:r>
        <w:rPr>
          <w:rFonts w:hint="eastAsia"/>
        </w:rPr>
        <w:t>在严格遵循生态保护原则的前提下，适度发展生态旅游、林下经济等绿色产业，实现生态保护与经济发展双赢。依托天然林资源，开展自然教育、科普讲座、亲子自然体验等活动，发挥公众生态教育普及前沿阵地作用，激发全社会参与天然林保护修复的热情。</w:t>
      </w:r>
    </w:p>
    <w:p>
      <w:pPr>
        <w:pStyle w:val="5"/>
        <w:bidi w:val="0"/>
        <w:rPr>
          <w:rFonts w:hint="eastAsia"/>
          <w:lang w:val="en-US" w:eastAsia="zh-CN"/>
        </w:rPr>
      </w:pPr>
      <w:bookmarkStart w:id="82" w:name="_Toc6716"/>
      <w:r>
        <w:rPr>
          <w:rFonts w:hint="eastAsia"/>
          <w:lang w:val="en-US" w:eastAsia="zh-CN"/>
        </w:rPr>
        <w:t>管控措施</w:t>
      </w:r>
      <w:bookmarkEnd w:id="82"/>
    </w:p>
    <w:p>
      <w:pPr>
        <w:pStyle w:val="6"/>
        <w:bidi w:val="0"/>
        <w:rPr>
          <w:rFonts w:hint="eastAsia"/>
        </w:rPr>
      </w:pPr>
      <w:r>
        <w:rPr>
          <w:rFonts w:hint="eastAsia"/>
        </w:rPr>
        <w:t>一般保护区域，建设项目应当不占或少占林地，必须使用林地的，依法依规审核审批。在全面保护基础上，按照多功能、近自然经营理念，科学开展天然林修复，提升森林质量，实现天然林资源的可持续经营和合理利用。</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lang w:eastAsia="zh-CN"/>
        </w:rPr>
      </w:pPr>
      <w:r>
        <w:rPr>
          <w:rFonts w:hint="eastAsia"/>
          <w:lang w:val="en-US" w:eastAsia="zh-CN"/>
        </w:rPr>
        <w:t>伊吾县</w:t>
      </w:r>
      <w:r>
        <w:rPr>
          <w:rFonts w:hint="eastAsia"/>
        </w:rPr>
        <w:t>一般保护区域生态</w:t>
      </w:r>
      <w:r>
        <w:rPr>
          <w:rFonts w:hint="eastAsia"/>
          <w:color w:val="auto"/>
        </w:rPr>
        <w:t>保护红线内天然林面积</w:t>
      </w:r>
      <w:r>
        <w:rPr>
          <w:rFonts w:hint="eastAsia"/>
          <w:color w:val="auto"/>
          <w:lang w:val="en-US" w:eastAsia="zh-CN"/>
        </w:rPr>
        <w:t>13.93</w:t>
      </w:r>
      <w:r>
        <w:rPr>
          <w:rFonts w:hint="eastAsia"/>
          <w:color w:val="auto"/>
        </w:rPr>
        <w:t>万亩，按</w:t>
      </w:r>
      <w:r>
        <w:rPr>
          <w:rFonts w:hint="eastAsia"/>
        </w:rPr>
        <w:t>照生态保护红线的相关要求，严格控制天然林地转为其他用途，禁止毁林开垦等破坏天然林及其生态环境的行为</w:t>
      </w:r>
      <w:r>
        <w:rPr>
          <w:rFonts w:hint="eastAsia"/>
          <w:lang w:eastAsia="zh-CN"/>
        </w:rPr>
        <w:t>。</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lang w:val="en-US" w:eastAsia="zh-CN"/>
        </w:rPr>
        <w:t>伊吾县</w:t>
      </w:r>
      <w:r>
        <w:rPr>
          <w:rFonts w:hint="eastAsia"/>
        </w:rPr>
        <w:t>一般保护区域生态保护红</w:t>
      </w:r>
      <w:r>
        <w:rPr>
          <w:rFonts w:hint="eastAsia"/>
          <w:color w:val="auto"/>
        </w:rPr>
        <w:t>线外天然林面积</w:t>
      </w:r>
      <w:r>
        <w:rPr>
          <w:rFonts w:hint="eastAsia"/>
          <w:color w:val="auto"/>
          <w:lang w:val="en-US" w:eastAsia="zh-CN"/>
        </w:rPr>
        <w:t>189.42</w:t>
      </w:r>
      <w:r>
        <w:rPr>
          <w:rFonts w:hint="eastAsia"/>
          <w:color w:val="auto"/>
        </w:rPr>
        <w:t>万亩。</w:t>
      </w:r>
      <w:r>
        <w:rPr>
          <w:rFonts w:hint="eastAsia"/>
        </w:rPr>
        <w:t>根据林分质量、价值功能、林权权利人意愿等，在不改变天然林地用途、保护地表植被和有利于生物多样性保护的前提下适宜发展林下经济，</w:t>
      </w:r>
      <w:r>
        <w:rPr>
          <w:rFonts w:hint="eastAsia"/>
          <w:lang w:val="en-US" w:eastAsia="zh-CN"/>
        </w:rPr>
        <w:t>适度</w:t>
      </w:r>
      <w:r>
        <w:rPr>
          <w:rFonts w:hint="eastAsia"/>
        </w:rPr>
        <w:t>开展林下种植、养殖、生态旅游、休闲康养等经营活动。</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强化与国土空间规划的协同衔接。天然林保护修复布局与《伊吾县国土空间总体规划（2021—2035年）》确定的生态保护红线、永久基本农田、城镇开发边界等控制线及国土空间用途管制要求相衔接，各类保护修复任务和配套设施建设须符合国土空间规划分区管控规则，纳入国土空间规划“一张图”实施统筹管理。国土空间规划依法调整的，本方案相关布局和任务按程序同步衔接调整。</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严格天然林周边基础设施和配套建设项目管控。交通、能源、水利、通信、矿产资源开发等基础设施及其配套建设项目，选址选线应优先避让天然林集中分布区域和野生动物重要栖息地；确需使用天然林地的，依据《中华人民共和国森林法》《建设项目使用林地审核审批管理办法》等规定依法办理使用林地审核审批手续，未经批准不得擅自占用；涉及生态保护红线的，按照生态保护红线管理有关规定执行。风电、光伏发电等新能源项目严格执行国家关于风电、光伏发电项目使用林地的有关规定，生态保护红线内不得新建、扩建风电场项目，风机基础、道路、升压站、集电线路等设施应避让国家级公益林中的乔木林地和年降水量400毫米以下区域的乔木林地，光伏发电项目选址应避让天然林地。临时使用林地的，应在临时使用期满后一年内恢复植被和林业生产条件。管护站点、防火道路、监测设施等天然林保护修复配套设施建设，同样依法办理用地及使用林地相关手续。林草主管部门会同自然资源、发展改革、生态环境、水利等部门加强项目选址论证和审批协同，强化事中事后监管，确保各类项目依法依规有序实施。</w:t>
      </w:r>
    </w:p>
    <w:p>
      <w:pPr>
        <w:pStyle w:val="3"/>
        <w:bidi w:val="0"/>
        <w:rPr>
          <w:rFonts w:hint="default"/>
          <w:lang w:val="en-US" w:eastAsia="zh-CN"/>
        </w:rPr>
      </w:pPr>
      <w:bookmarkStart w:id="83" w:name="_Toc12744"/>
      <w:r>
        <w:rPr>
          <w:rFonts w:hint="eastAsia"/>
          <w:lang w:val="en-US" w:eastAsia="zh-CN"/>
        </w:rPr>
        <w:t>第二节 分区修复</w:t>
      </w:r>
      <w:bookmarkEnd w:id="83"/>
    </w:p>
    <w:p>
      <w:pPr>
        <w:pStyle w:val="7"/>
        <w:bidi w:val="0"/>
        <w:rPr>
          <w:rFonts w:hint="default"/>
          <w:lang w:val="en-US" w:eastAsia="zh-CN"/>
        </w:rPr>
      </w:pPr>
      <w:r>
        <w:rPr>
          <w:rFonts w:hint="default"/>
          <w:lang w:val="en-US" w:eastAsia="zh-CN"/>
        </w:rPr>
        <w:t>依据《哈密市天然林保护修复中长期实施方案》确定的分区方案，结合伊吾县天然林生态特征、资源禀赋和修复任务，在哈密市天然林保护修复五个分区基础上，伊吾县境内以保护修复小区名称加以区分，形成</w:t>
      </w:r>
      <w:r>
        <w:rPr>
          <w:rFonts w:hint="eastAsia"/>
          <w:lang w:val="en-US" w:eastAsia="zh-CN"/>
        </w:rPr>
        <w:t>“</w:t>
      </w:r>
      <w:r>
        <w:rPr>
          <w:rFonts w:hint="default"/>
          <w:lang w:val="en-US" w:eastAsia="zh-CN"/>
        </w:rPr>
        <w:t>大区分区+县域小区</w:t>
      </w:r>
      <w:r>
        <w:rPr>
          <w:rFonts w:hint="eastAsia"/>
          <w:lang w:val="en-US" w:eastAsia="zh-CN"/>
        </w:rPr>
        <w:t>”</w:t>
      </w:r>
      <w:r>
        <w:rPr>
          <w:rFonts w:hint="default"/>
          <w:lang w:val="en-US" w:eastAsia="zh-CN"/>
        </w:rPr>
        <w:t>的层级管理体系。伊吾县天然林分布涉及哈密市三个上位大区，共划分为3个保护修复小区：东天山北坡山地天然林保护修复区—伊吾县东天山北坡保护修复小区；巴里坤—伊吾盆地荒漠胡杨梭梭天然林保护修复区—伊吾县河谷盆地保护修复小区（主要分布于伊吾河谷下游及淖毛湖盆地周边荒漠地带）；诺敏戈壁荒漠化生态功能敏感区—伊吾县诺敏戈壁保护修复小区（主要分布于三塘湖盆地伊吾县辖区范围内）。</w:t>
      </w:r>
    </w:p>
    <w:p>
      <w:pPr>
        <w:pStyle w:val="4"/>
        <w:numPr>
          <w:ilvl w:val="0"/>
          <w:numId w:val="17"/>
        </w:numPr>
        <w:bidi w:val="0"/>
        <w:ind w:left="250" w:leftChars="0" w:firstLine="390" w:firstLineChars="144"/>
        <w:rPr>
          <w:rFonts w:hint="eastAsia"/>
          <w:lang w:val="en-US" w:eastAsia="zh-CN"/>
        </w:rPr>
      </w:pPr>
      <w:bookmarkStart w:id="84" w:name="_Toc2435"/>
      <w:r>
        <w:rPr>
          <w:rFonts w:hint="eastAsia"/>
          <w:lang w:val="en-US" w:eastAsia="zh-CN"/>
        </w:rPr>
        <w:t>伊吾县东天山北坡保护修复小区</w:t>
      </w:r>
      <w:bookmarkEnd w:id="84"/>
    </w:p>
    <w:p>
      <w:pPr>
        <w:pStyle w:val="5"/>
        <w:numPr>
          <w:ilvl w:val="0"/>
          <w:numId w:val="18"/>
        </w:numPr>
        <w:bidi w:val="0"/>
        <w:rPr>
          <w:rFonts w:hint="eastAsia"/>
          <w:lang w:val="en-US" w:eastAsia="zh-CN"/>
        </w:rPr>
      </w:pPr>
      <w:bookmarkStart w:id="85" w:name="_Toc10009"/>
      <w:r>
        <w:rPr>
          <w:rFonts w:hint="eastAsia"/>
          <w:lang w:val="en-US" w:eastAsia="zh-CN"/>
        </w:rPr>
        <w:t>区域概况</w:t>
      </w:r>
      <w:bookmarkEnd w:id="85"/>
    </w:p>
    <w:p>
      <w:pPr>
        <w:pStyle w:val="6"/>
        <w:bidi w:val="0"/>
        <w:rPr>
          <w:rFonts w:hint="eastAsia"/>
        </w:rPr>
      </w:pPr>
      <w:r>
        <w:rPr>
          <w:rFonts w:hint="eastAsia"/>
        </w:rPr>
        <w:t>本小区位于伊吾县南部东天山北坡中高山带，是伊吾县最重要的水源涵养区和山地生态屏障核心区。空间范围主要包括喀尔里克山北坡（伊吾县境内）和莫钦乌拉山中高山地带，海拔约在1800—2800米之间，地形以中高山陡坡和山间谷地为主，局部沟谷切割较深。小区天然林面积</w:t>
      </w:r>
      <w:r>
        <w:rPr>
          <w:rFonts w:hint="eastAsia"/>
          <w:lang w:val="en-US" w:eastAsia="zh-CN"/>
        </w:rPr>
        <w:t>6.67</w:t>
      </w:r>
      <w:r>
        <w:rPr>
          <w:rFonts w:hint="eastAsia"/>
        </w:rPr>
        <w:t>万亩，其中乔木林地</w:t>
      </w:r>
      <w:r>
        <w:rPr>
          <w:rFonts w:hint="eastAsia"/>
          <w:lang w:val="en-US" w:eastAsia="zh-CN"/>
        </w:rPr>
        <w:t>2.64</w:t>
      </w:r>
      <w:r>
        <w:rPr>
          <w:rFonts w:hint="eastAsia"/>
        </w:rPr>
        <w:t>万亩、灌木林地</w:t>
      </w:r>
      <w:r>
        <w:rPr>
          <w:rFonts w:hint="eastAsia"/>
          <w:lang w:val="en-US" w:eastAsia="zh-CN"/>
        </w:rPr>
        <w:t>3.81</w:t>
      </w:r>
      <w:r>
        <w:rPr>
          <w:rFonts w:hint="eastAsia"/>
        </w:rPr>
        <w:t>万亩、其他林地0.</w:t>
      </w:r>
      <w:r>
        <w:rPr>
          <w:rFonts w:hint="eastAsia"/>
          <w:lang w:val="en-US" w:eastAsia="zh-CN"/>
        </w:rPr>
        <w:t>22</w:t>
      </w:r>
      <w:r>
        <w:rPr>
          <w:rFonts w:hint="eastAsia"/>
        </w:rPr>
        <w:t>万亩，占伊吾县天然林总面积的</w:t>
      </w:r>
      <w:r>
        <w:rPr>
          <w:rFonts w:hint="eastAsia"/>
          <w:lang w:val="en-US" w:eastAsia="zh-CN"/>
        </w:rPr>
        <w:t>3.28</w:t>
      </w:r>
      <w:r>
        <w:rPr>
          <w:rFonts w:hint="eastAsia"/>
        </w:rPr>
        <w:t>%。</w:t>
      </w:r>
    </w:p>
    <w:p>
      <w:pPr>
        <w:pStyle w:val="6"/>
        <w:bidi w:val="0"/>
        <w:rPr>
          <w:rFonts w:hint="eastAsia"/>
        </w:rPr>
      </w:pPr>
      <w:r>
        <w:rPr>
          <w:rFonts w:hint="eastAsia"/>
        </w:rPr>
        <w:t>分区内以寒温性针叶林和山地灌木林为主体。针叶乔木以天山云杉、西伯利亚落叶松为优势树种，主要分布于海拔2400—2800米的阴坡和半阴坡，呈窄带状分布，乔木林郁闭度0.4～0.7；山间河谷地带分布有以山杨、白柳为主的河谷阔叶林，沿河谷水系呈带状分布；灌木林以金露梅、锦鸡儿、高山柳、忍冬等为主要建群种，分布于乔木林缘及高寒疏林带。土壤以山地棕壤和山地寒漠土为主，有机质含量较高，水源主要依靠冰雪融水和大气降水补给，是伊吾河流域的重要水源地。</w:t>
      </w:r>
    </w:p>
    <w:p>
      <w:pPr>
        <w:pStyle w:val="6"/>
        <w:bidi w:val="0"/>
        <w:rPr>
          <w:rFonts w:hint="eastAsia"/>
        </w:rPr>
      </w:pPr>
      <w:r>
        <w:rPr>
          <w:rFonts w:hint="eastAsia"/>
        </w:rPr>
        <w:t>受气候变化和雪灾影响，局部林分存在稀疏、郁闭度不均、自然更新困难等问题；部分河谷灌木林受过度放牧影响，植被盖度有所下降，群落结构趋于简单化。</w:t>
      </w:r>
    </w:p>
    <w:p>
      <w:pPr>
        <w:pStyle w:val="5"/>
        <w:keepNext w:val="0"/>
        <w:keepLines w:val="0"/>
        <w:pageBreakBefore w:val="0"/>
        <w:widowControl w:val="0"/>
        <w:kinsoku w:val="0"/>
        <w:wordWrap/>
        <w:overflowPunct/>
        <w:topLinePunct w:val="0"/>
        <w:autoSpaceDE/>
        <w:autoSpaceDN/>
        <w:bidi w:val="0"/>
        <w:adjustRightInd w:val="0"/>
        <w:snapToGrid w:val="0"/>
        <w:spacing w:before="0" w:beforeLines="0"/>
        <w:textAlignment w:val="baseline"/>
        <w:rPr>
          <w:rFonts w:hint="eastAsia"/>
          <w:lang w:val="en-US" w:eastAsia="zh-CN"/>
        </w:rPr>
      </w:pPr>
      <w:bookmarkStart w:id="86" w:name="_Toc15296"/>
      <w:r>
        <w:rPr>
          <w:rFonts w:hint="eastAsia"/>
          <w:lang w:val="en-US" w:eastAsia="zh-CN"/>
        </w:rPr>
        <w:t>保护修复目标</w:t>
      </w:r>
      <w:bookmarkEnd w:id="86"/>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到2035年</w:t>
      </w:r>
      <w:r>
        <w:rPr>
          <w:rFonts w:hint="eastAsia"/>
          <w:lang w:eastAsia="zh-CN"/>
        </w:rPr>
        <w:t>，</w:t>
      </w:r>
      <w:r>
        <w:rPr>
          <w:rFonts w:hint="eastAsia"/>
        </w:rPr>
        <w:t>天然林面积保持稳定，森林生态系统原真性和完整性得到有效维护。一般保护区域内退化灌木林和疏林区域植被覆盖明显恢复，群落稳定性显著提高，水源涵养能力和生物多样性保护水平稳步提升，</w:t>
      </w:r>
      <w:r>
        <w:rPr>
          <w:rFonts w:hint="eastAsia"/>
          <w:lang w:val="en-US" w:eastAsia="zh-CN"/>
        </w:rPr>
        <w:t>为</w:t>
      </w:r>
      <w:r>
        <w:rPr>
          <w:rFonts w:hint="eastAsia"/>
        </w:rPr>
        <w:t>珍稀濒危物种提供稳定栖息环境，东天山北坡山地森林生态系统健康稳定。</w:t>
      </w:r>
    </w:p>
    <w:p>
      <w:pPr>
        <w:pStyle w:val="5"/>
        <w:bidi w:val="0"/>
        <w:rPr>
          <w:rFonts w:hint="eastAsia"/>
          <w:lang w:val="en-US" w:eastAsia="zh-CN"/>
        </w:rPr>
      </w:pPr>
      <w:bookmarkStart w:id="87" w:name="_Toc5444"/>
      <w:r>
        <w:rPr>
          <w:rFonts w:hint="eastAsia"/>
          <w:lang w:val="en-US" w:eastAsia="zh-CN"/>
        </w:rPr>
        <w:t>保护修复策略</w:t>
      </w:r>
      <w:bookmarkEnd w:id="87"/>
    </w:p>
    <w:p>
      <w:pPr>
        <w:pStyle w:val="6"/>
        <w:bidi w:val="0"/>
        <w:rPr>
          <w:rFonts w:hint="eastAsia"/>
        </w:rPr>
      </w:pPr>
      <w:r>
        <w:rPr>
          <w:rFonts w:hint="eastAsia"/>
        </w:rPr>
        <w:t>坚持全面保护与重点管护相结合，压实各级林长责任，严禁商业性采伐，强化水源涵养区生态红线管控，完善巡护设施，配备苇子峡乡管护站、吐葫芦乡管护站等专职护林员，加快天空地一体化监管体系建设。</w:t>
      </w:r>
    </w:p>
    <w:p>
      <w:pPr>
        <w:pStyle w:val="6"/>
        <w:bidi w:val="0"/>
        <w:rPr>
          <w:rFonts w:hint="eastAsia"/>
        </w:rPr>
      </w:pPr>
      <w:r>
        <w:rPr>
          <w:rFonts w:hint="eastAsia"/>
        </w:rPr>
        <w:t>以封育促进自然更新为主，辅以必要的人工辅助更新。在退化灌木林和疏林区域，实施封山育林、封育休牧等措施，严禁采伐、放牧、开垦等破坏性活动，减少人为干扰，促进天然林自我更新；对局部因病虫害或雪灾受损的林分，适时采取人工辅助更新措施，优先选择天山云杉、西伯利亚落叶松等本地乡土树种，合理搭配灌木和草本植物，提高群落稳定性和抗灾能力。加强有害生物、雪灾等自然灾害监测预警，对受损林分开展评估，防止灾害蔓延扩散。</w:t>
      </w:r>
    </w:p>
    <w:p>
      <w:pPr>
        <w:pStyle w:val="4"/>
        <w:numPr>
          <w:ilvl w:val="0"/>
          <w:numId w:val="15"/>
        </w:numPr>
        <w:bidi w:val="0"/>
        <w:rPr>
          <w:rFonts w:hint="eastAsia"/>
          <w:lang w:val="en-US" w:eastAsia="zh-CN"/>
        </w:rPr>
      </w:pPr>
      <w:bookmarkStart w:id="88" w:name="_Toc21549"/>
      <w:r>
        <w:rPr>
          <w:rFonts w:hint="eastAsia"/>
          <w:lang w:val="en-US" w:eastAsia="zh-CN"/>
        </w:rPr>
        <w:t>伊吾县河谷盆地保护修复小区</w:t>
      </w:r>
      <w:bookmarkEnd w:id="88"/>
    </w:p>
    <w:p>
      <w:pPr>
        <w:pStyle w:val="5"/>
        <w:numPr>
          <w:ilvl w:val="0"/>
          <w:numId w:val="19"/>
        </w:numPr>
        <w:bidi w:val="0"/>
        <w:rPr>
          <w:rFonts w:hint="eastAsia"/>
          <w:lang w:val="en-US" w:eastAsia="zh-CN"/>
        </w:rPr>
      </w:pPr>
      <w:r>
        <w:rPr>
          <w:rFonts w:hint="eastAsia"/>
          <w:lang w:val="en-US" w:eastAsia="zh-CN"/>
        </w:rPr>
        <w:t>区域概况</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本小区位于伊吾河谷下游及淖毛湖盆地周边荒漠地带，是伊吾县典型的荒漠胡杨林和梭梭林分布区，也是阻挡北部荒漠南侵的重要生态屏障。空间范围包括伊吾河谷下游冲积平原、淖毛湖盆地及周边荒漠地带，是伊吾县面积最大的天然林保护修复小区</w:t>
      </w:r>
      <w:r>
        <w:rPr>
          <w:rFonts w:hint="eastAsia"/>
          <w:lang w:eastAsia="zh-CN"/>
        </w:rPr>
        <w:t>。</w:t>
      </w:r>
      <w:r>
        <w:rPr>
          <w:rFonts w:hint="eastAsia"/>
        </w:rPr>
        <w:t>整体海拔约在600—1200米之间，以河漫滩、冲积扇和荒漠盆地低洼地为主，地形相对平缓。小区天然林面积</w:t>
      </w:r>
      <w:r>
        <w:rPr>
          <w:rFonts w:hint="eastAsia"/>
          <w:lang w:val="en-US" w:eastAsia="zh-CN"/>
        </w:rPr>
        <w:t>190.0</w:t>
      </w:r>
      <w:r>
        <w:rPr>
          <w:rFonts w:hint="eastAsia"/>
        </w:rPr>
        <w:t>万亩，其中乔木林地</w:t>
      </w:r>
      <w:r>
        <w:rPr>
          <w:rFonts w:hint="eastAsia"/>
          <w:lang w:val="en-US" w:eastAsia="zh-CN"/>
        </w:rPr>
        <w:t>9.62</w:t>
      </w:r>
      <w:r>
        <w:rPr>
          <w:rFonts w:hint="eastAsia"/>
        </w:rPr>
        <w:t>万亩、灌木林地</w:t>
      </w:r>
      <w:r>
        <w:rPr>
          <w:rFonts w:hint="eastAsia"/>
          <w:lang w:val="en-US" w:eastAsia="zh-CN"/>
        </w:rPr>
        <w:t>178.7</w:t>
      </w:r>
      <w:r>
        <w:rPr>
          <w:rFonts w:hint="eastAsia"/>
        </w:rPr>
        <w:t>万亩、其他林地</w:t>
      </w:r>
      <w:r>
        <w:rPr>
          <w:rFonts w:hint="eastAsia"/>
          <w:lang w:val="en-US" w:eastAsia="zh-CN"/>
        </w:rPr>
        <w:t>1.68</w:t>
      </w:r>
      <w:r>
        <w:rPr>
          <w:rFonts w:hint="eastAsia"/>
        </w:rPr>
        <w:t>万亩，占伊吾县天然林总面积的</w:t>
      </w:r>
      <w:r>
        <w:rPr>
          <w:rFonts w:hint="eastAsia"/>
          <w:lang w:val="en-US" w:eastAsia="zh-CN"/>
        </w:rPr>
        <w:t>93.44</w:t>
      </w:r>
      <w:r>
        <w:rPr>
          <w:rFonts w:hint="eastAsia"/>
        </w:rPr>
        <w:t>%。</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分区内植被以胡杨、梭梭为优势树种，伴生柽柳、盐爪爪、白刺等耐盐、耐旱灌木，沿伊吾河谷和淖毛湖滨地下水埋深较浅地区形成胡杨—灌木林和梭梭灌丛群落。淖毛湖胡杨林是伊吾县荒漠林的典型代表，林相完整，景观层次分明，生态旅游价值较高。天然林灌木林盖度普遍在10%—25%之间。土壤以盐土、草甸土和棕漠土为主，局部存在盐碱化问题。</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受气候变化影响，伊吾河径流逐年减少，淖毛湖水体面积萎缩，地下水位持续下降，胡杨林呈现退化、枯立木增多和更新困难等问题；梭梭林受过度放牧和人为侵占影响，植被盖度下降，生态功能减弱，荒漠化威胁较为突出。</w:t>
      </w:r>
    </w:p>
    <w:p>
      <w:pPr>
        <w:pStyle w:val="5"/>
        <w:keepNext w:val="0"/>
        <w:keepLines w:val="0"/>
        <w:pageBreakBefore w:val="0"/>
        <w:widowControl w:val="0"/>
        <w:kinsoku w:val="0"/>
        <w:wordWrap/>
        <w:overflowPunct/>
        <w:topLinePunct w:val="0"/>
        <w:autoSpaceDE/>
        <w:autoSpaceDN/>
        <w:bidi w:val="0"/>
        <w:adjustRightInd w:val="0"/>
        <w:snapToGrid w:val="0"/>
        <w:spacing w:before="0" w:beforeLines="0"/>
        <w:textAlignment w:val="baseline"/>
        <w:rPr>
          <w:rFonts w:hint="eastAsia"/>
          <w:lang w:val="en-US" w:eastAsia="zh-CN"/>
        </w:rPr>
      </w:pPr>
      <w:r>
        <w:rPr>
          <w:rFonts w:hint="eastAsia"/>
          <w:lang w:val="en-US" w:eastAsia="zh-CN"/>
        </w:rPr>
        <w:t>保护修复目标</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到2035年，保护和恢复胡杨、梭梭等荒漠树种群落，维护淖毛湖盆地生态系统稳定和生物多样性。退化严重区域通过封育和适度引洪</w:t>
      </w:r>
      <w:r>
        <w:rPr>
          <w:rFonts w:hint="eastAsia"/>
          <w:lang w:val="en-US" w:eastAsia="zh-CN"/>
        </w:rPr>
        <w:t>灌溉</w:t>
      </w:r>
      <w:r>
        <w:rPr>
          <w:rFonts w:hint="eastAsia"/>
        </w:rPr>
        <w:t>实现植被恢复，胡杨林和梭梭林生态功能逐步改善，淖毛湖湖滨湿地与荒漠林复合生态系统结构趋于稳定，珍稀野生动物的栖息环境得到有效维护。</w:t>
      </w:r>
    </w:p>
    <w:p>
      <w:pPr>
        <w:pStyle w:val="5"/>
        <w:keepNext w:val="0"/>
        <w:keepLines w:val="0"/>
        <w:pageBreakBefore w:val="0"/>
        <w:widowControl w:val="0"/>
        <w:kinsoku w:val="0"/>
        <w:wordWrap/>
        <w:overflowPunct/>
        <w:topLinePunct w:val="0"/>
        <w:autoSpaceDE/>
        <w:autoSpaceDN/>
        <w:bidi w:val="0"/>
        <w:adjustRightInd w:val="0"/>
        <w:snapToGrid w:val="0"/>
        <w:spacing w:before="0" w:beforeLines="0"/>
        <w:textAlignment w:val="baseline"/>
        <w:rPr>
          <w:rFonts w:hint="eastAsia"/>
          <w:lang w:val="en-US" w:eastAsia="zh-CN"/>
        </w:rPr>
      </w:pPr>
      <w:r>
        <w:rPr>
          <w:rFonts w:hint="eastAsia"/>
          <w:lang w:val="en-US" w:eastAsia="zh-CN"/>
        </w:rPr>
        <w:t>保护修复策略</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严格控制占用胡杨、梭梭天然林地，规范矿产资源开发和工程建设活动。加强对河谷绿洲和典型胡杨林片区的保护，强化退化林分的监测评估。</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采取封育管护与适度工程措施相结合的方式。严格落实天然林封育要求，对退化严重但仍具恢复潜力的区域实施封育，限制人为干扰，促进天然更新。在盐渍化程度较高的区域，优先发展盐生植物和耐盐灌木，通过种植梭梭、柽柳等树种，构建植被群落。</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在具备水源条件的河谷地带，可适度开展人工补植和封育结合的修复模式，探索生态补水等手段，协调上下游用水关系，结合季节性洪水资源，通过引洪灌溉等工程，改善重点胡杨林和梭梭林片区的水分条件，逐步恢复其生态功能。</w:t>
      </w:r>
    </w:p>
    <w:p>
      <w:pPr>
        <w:pStyle w:val="4"/>
        <w:numPr>
          <w:ilvl w:val="0"/>
          <w:numId w:val="15"/>
        </w:numPr>
        <w:bidi w:val="0"/>
        <w:rPr>
          <w:rFonts w:hint="eastAsia"/>
          <w:lang w:val="en-US" w:eastAsia="zh-CN"/>
        </w:rPr>
      </w:pPr>
      <w:bookmarkStart w:id="89" w:name="_Toc12239"/>
      <w:r>
        <w:rPr>
          <w:rFonts w:hint="eastAsia"/>
          <w:lang w:val="en-US" w:eastAsia="zh-CN"/>
        </w:rPr>
        <w:t>伊吾县诺敏戈壁保护修复小区</w:t>
      </w:r>
      <w:bookmarkEnd w:id="89"/>
    </w:p>
    <w:p>
      <w:pPr>
        <w:pStyle w:val="5"/>
        <w:numPr>
          <w:ilvl w:val="0"/>
          <w:numId w:val="20"/>
        </w:numPr>
        <w:bidi w:val="0"/>
        <w:rPr>
          <w:rFonts w:hint="eastAsia"/>
          <w:lang w:val="en-US" w:eastAsia="zh-CN"/>
        </w:rPr>
      </w:pPr>
      <w:r>
        <w:rPr>
          <w:rFonts w:hint="eastAsia"/>
          <w:lang w:val="en-US" w:eastAsia="zh-CN"/>
        </w:rPr>
        <w:t>区域概况</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本小区位于三塘湖盆地伊吾县辖区范围内。三塘湖盆地整体呈西北—东南向条带状夹持于天山和阿尔泰山之间，跨巴里坤县与伊吾县两县，本小区为其中位于伊吾县行政辖区内的荒漠天然林分布区，主要涵盖三塘湖盆地东部及东南部伊吾县辖区范围内的荒漠灌木林分布区，是伊吾县极干旱荒漠区防风固沙的重要区域，也是防风固沙功能的主体承载区。海拔约在450—1000米之间，地形以风蚀残丘、风积沙丘和风蚀平原为主的干燥剥蚀地貌为主。小区天然林面积</w:t>
      </w:r>
      <w:r>
        <w:rPr>
          <w:rFonts w:hint="eastAsia"/>
          <w:lang w:val="en-US" w:eastAsia="zh-CN"/>
        </w:rPr>
        <w:t>6.68</w:t>
      </w:r>
      <w:r>
        <w:rPr>
          <w:rFonts w:hint="eastAsia"/>
        </w:rPr>
        <w:t>万亩，其中乔木林地0.</w:t>
      </w:r>
      <w:r>
        <w:rPr>
          <w:rFonts w:hint="eastAsia"/>
          <w:lang w:val="en-US" w:eastAsia="zh-CN"/>
        </w:rPr>
        <w:t>38</w:t>
      </w:r>
      <w:r>
        <w:rPr>
          <w:rFonts w:hint="eastAsia"/>
        </w:rPr>
        <w:t>万亩、灌木林地</w:t>
      </w:r>
      <w:r>
        <w:rPr>
          <w:rFonts w:hint="eastAsia"/>
          <w:lang w:val="en-US" w:eastAsia="zh-CN"/>
        </w:rPr>
        <w:t>5.28</w:t>
      </w:r>
      <w:r>
        <w:rPr>
          <w:rFonts w:hint="eastAsia"/>
        </w:rPr>
        <w:t>万亩、其他林地</w:t>
      </w:r>
      <w:r>
        <w:rPr>
          <w:rFonts w:hint="eastAsia"/>
          <w:lang w:val="en-US" w:eastAsia="zh-CN"/>
        </w:rPr>
        <w:t>1</w:t>
      </w:r>
      <w:r>
        <w:rPr>
          <w:rFonts w:hint="eastAsia"/>
        </w:rPr>
        <w:t>.</w:t>
      </w:r>
      <w:r>
        <w:rPr>
          <w:rFonts w:hint="eastAsia"/>
          <w:lang w:val="en-US" w:eastAsia="zh-CN"/>
        </w:rPr>
        <w:t>02</w:t>
      </w:r>
      <w:r>
        <w:rPr>
          <w:rFonts w:hint="eastAsia"/>
        </w:rPr>
        <w:t>万亩，占伊吾县天然林总面积的</w:t>
      </w:r>
      <w:r>
        <w:rPr>
          <w:rFonts w:hint="eastAsia"/>
          <w:lang w:val="en-US" w:eastAsia="zh-CN"/>
        </w:rPr>
        <w:t>3.28</w:t>
      </w:r>
      <w:r>
        <w:rPr>
          <w:rFonts w:hint="eastAsia"/>
        </w:rPr>
        <w:t>%。</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分区内生态系统为典型极端干旱荒漠生态系统，植被以极其耐旱的灌木、小半灌木和肉质植物为主，主要建群种为梭梭、红柳（柽柳）、沙拐枣、白刺、麻黄等，并伴生有胡杨，整体植被覆盖度低，灌木林盖度普遍在5%—15%之间，生态系统结构</w:t>
      </w:r>
      <w:r>
        <w:rPr>
          <w:rFonts w:hint="eastAsia"/>
          <w:lang w:val="en-US" w:eastAsia="zh-CN"/>
        </w:rPr>
        <w:t>较为简单</w:t>
      </w:r>
      <w:r>
        <w:rPr>
          <w:rFonts w:hint="eastAsia"/>
        </w:rPr>
        <w:t>。区内无常年性地表径流，洪流发育，地下水位埋深较深，地表植物水源主要依赖大气降水和季节性洪流，年均降水量不足25毫米，属极干旱区，蒸发强烈，降蒸比例严重失衡。荒漠生态系统十分脆弱，一旦受到自然灾害或人为干扰破坏，恢复困难缓慢且往往不可逆。土壤以砾漠土、风沙土为主，砾幕层是维护地表稳定和抑制风蚀的关键结构。</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本小区与巴里坤县诺敏戈壁保护修复小区同属诺敏戈壁荒漠化生态功能敏感区上位大区，共同构成三塘湖盆地荒漠天然林保护修复的整体格局。区内矿产资源较为丰富，采矿等人为活动对砾幕层的破坏问题持续存在，是引发土地沙化及沙尘天气的主要人为</w:t>
      </w:r>
      <w:r>
        <w:rPr>
          <w:rFonts w:hint="eastAsia"/>
          <w:lang w:val="en-US" w:eastAsia="zh-CN"/>
        </w:rPr>
        <w:t>生态</w:t>
      </w:r>
      <w:r>
        <w:rPr>
          <w:rFonts w:hint="eastAsia"/>
        </w:rPr>
        <w:t>威胁。</w:t>
      </w:r>
    </w:p>
    <w:p>
      <w:pPr>
        <w:pStyle w:val="5"/>
        <w:keepNext w:val="0"/>
        <w:keepLines w:val="0"/>
        <w:pageBreakBefore w:val="0"/>
        <w:widowControl w:val="0"/>
        <w:numPr>
          <w:ilvl w:val="0"/>
          <w:numId w:val="2"/>
        </w:numPr>
        <w:kinsoku w:val="0"/>
        <w:wordWrap/>
        <w:overflowPunct/>
        <w:topLinePunct w:val="0"/>
        <w:autoSpaceDE/>
        <w:autoSpaceDN/>
        <w:bidi w:val="0"/>
        <w:adjustRightInd w:val="0"/>
        <w:snapToGrid w:val="0"/>
        <w:spacing w:before="0" w:beforeLines="0"/>
        <w:textAlignment w:val="baseline"/>
        <w:rPr>
          <w:rFonts w:hint="eastAsia"/>
          <w:lang w:val="en-US" w:eastAsia="zh-CN"/>
        </w:rPr>
      </w:pPr>
      <w:r>
        <w:rPr>
          <w:rFonts w:hint="eastAsia"/>
          <w:lang w:val="en-US" w:eastAsia="zh-CN"/>
        </w:rPr>
        <w:t>保护修复目标</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到2035年，以稳定荒漠生态系统为核心目标，有效遏制荒漠化扩展趋势，天然林面积保持稳定，植被盖度不再下降。历史遗留废弃工矿土地整治取得阶段性成效，砾幕层破坏问题得到有效管控，土地沙化和沙尘天气发生频率明显降低。典型梭梭、柽柳群落得到有效保护，荒漠生态系统结构和自然平衡得到基本维护，防风固沙生态功能持续发挥。</w:t>
      </w:r>
    </w:p>
    <w:p>
      <w:pPr>
        <w:pStyle w:val="5"/>
        <w:keepNext w:val="0"/>
        <w:keepLines w:val="0"/>
        <w:pageBreakBefore w:val="0"/>
        <w:widowControl w:val="0"/>
        <w:numPr>
          <w:ilvl w:val="0"/>
          <w:numId w:val="2"/>
        </w:numPr>
        <w:kinsoku w:val="0"/>
        <w:wordWrap/>
        <w:overflowPunct/>
        <w:topLinePunct w:val="0"/>
        <w:autoSpaceDE/>
        <w:autoSpaceDN/>
        <w:bidi w:val="0"/>
        <w:adjustRightInd w:val="0"/>
        <w:snapToGrid w:val="0"/>
        <w:spacing w:before="0" w:beforeLines="0"/>
        <w:textAlignment w:val="baseline"/>
        <w:rPr>
          <w:rFonts w:hint="eastAsia"/>
          <w:lang w:val="en-US" w:eastAsia="zh-CN"/>
        </w:rPr>
      </w:pPr>
      <w:r>
        <w:rPr>
          <w:rFonts w:hint="eastAsia"/>
          <w:lang w:val="en-US" w:eastAsia="zh-CN"/>
        </w:rPr>
        <w:t>保护修复策略</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严格控制乱采乱挖、越界放牧和无序开荒，强化对典型梭梭、柽柳群落及荒漠生态廊道的巡护监测。严禁破坏性开垦和取土活动，持续规范矿产资源勘探开发等人为活动，尤其规范开发利用对地貌及环境造成的影响，防止采矿等活动对砾幕层造成新的破坏。健全矿产资源开发生态准入制度，将天然林保护要求纳入矿产资源开发许可和环评程序，形成事前管控、事中监督、事后修复的全链条管理机制。</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rPr>
      </w:pPr>
      <w:r>
        <w:rPr>
          <w:rFonts w:hint="eastAsia"/>
        </w:rPr>
        <w:t>持续推进历史遗留废弃工矿土地整治，恢复地表地貌和砾幕层，为荒漠植被自然恢复创造基础条件。对已完成整治的废弃工矿地，优先采用封育管护方式，借助区域极耐旱植被的自然定居能力，逐步恢复以梭梭、柽柳为主的荒漠灌木植被；对自然恢复困难的区域，可在水源条件允许时适度辅以人工补植梭梭、沙拐枣等乡土旱生植物，提高植被盖度，稳固地表，减少风蚀。</w:t>
      </w:r>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lang w:val="en-US" w:eastAsia="zh-CN"/>
        </w:rPr>
      </w:pPr>
      <w:r>
        <w:rPr>
          <w:rFonts w:hint="eastAsia"/>
        </w:rPr>
        <w:t>鉴于本小区生态系统极端脆弱、修复条件严苛，保护修复策略以严格保护和减少干扰为根本，顺应自然生态演替规律，不盲目开展大规模人工造林，坚决防止不顾水资源条件、不符合荒漠生态规律的修复干预。加强与巴里坤县诺敏戈壁保护修复小区的跨县区联防联控，实现边界区域巡护信息共享，防止人为破坏活动向县界内外延伸。定期评估生态功能变化，发现退化加剧趋势及时研判成因并采取针对性管控措施，持续强化监管，维护荒漠自然生态平衡，充分发挥荒漠生态系统的防风固沙功能。</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rPr>
        <w:sectPr>
          <w:pgSz w:w="11906" w:h="16838"/>
          <w:pgMar w:top="1440" w:right="1800" w:bottom="1440" w:left="1800" w:header="851" w:footer="992" w:gutter="0"/>
          <w:pgNumType w:fmt="decimal"/>
          <w:cols w:space="425" w:num="1"/>
          <w:docGrid w:type="lines" w:linePitch="312" w:charSpace="0"/>
        </w:sectPr>
      </w:pPr>
    </w:p>
    <w:p>
      <w:pPr>
        <w:pStyle w:val="2"/>
        <w:bidi w:val="0"/>
        <w:ind w:left="0" w:leftChars="0" w:firstLine="0" w:firstLineChars="0"/>
        <w:jc w:val="center"/>
        <w:rPr>
          <w:rFonts w:hint="default"/>
          <w:lang w:val="en-US" w:eastAsia="zh-CN"/>
        </w:rPr>
      </w:pPr>
      <w:bookmarkStart w:id="90" w:name="_Toc5753"/>
      <w:r>
        <w:rPr>
          <w:rFonts w:hint="eastAsia"/>
        </w:rPr>
        <w:t>第</w:t>
      </w:r>
      <w:r>
        <w:rPr>
          <w:rFonts w:hint="eastAsia"/>
          <w:lang w:val="en-US" w:eastAsia="zh-CN"/>
        </w:rPr>
        <w:t>四</w:t>
      </w:r>
      <w:r>
        <w:rPr>
          <w:rFonts w:hint="eastAsia"/>
        </w:rPr>
        <w:t xml:space="preserve">章 </w:t>
      </w:r>
      <w:r>
        <w:rPr>
          <w:rFonts w:hint="eastAsia"/>
          <w:lang w:val="en-US" w:eastAsia="zh-CN"/>
        </w:rPr>
        <w:t>科学保护</w:t>
      </w:r>
      <w:bookmarkEnd w:id="90"/>
    </w:p>
    <w:p>
      <w:pPr>
        <w:pStyle w:val="3"/>
        <w:bidi w:val="0"/>
        <w:spacing w:line="360" w:lineRule="auto"/>
        <w:jc w:val="center"/>
        <w:rPr>
          <w:rFonts w:hint="default"/>
          <w:lang w:val="en-US" w:eastAsia="zh-CN"/>
        </w:rPr>
      </w:pPr>
      <w:bookmarkStart w:id="91" w:name="_Toc12412"/>
      <w:r>
        <w:rPr>
          <w:rFonts w:hint="eastAsia"/>
          <w:lang w:val="en-US" w:eastAsia="zh-CN"/>
        </w:rPr>
        <w:t>第一节 现状评价</w:t>
      </w:r>
      <w:bookmarkEnd w:id="91"/>
    </w:p>
    <w:p>
      <w:pPr>
        <w:pStyle w:val="6"/>
        <w:bidi w:val="0"/>
        <w:spacing w:line="360" w:lineRule="auto"/>
        <w:ind w:left="0" w:leftChars="0" w:firstLine="540" w:firstLineChars="200"/>
        <w:rPr>
          <w:rFonts w:hint="eastAsia"/>
        </w:rPr>
      </w:pPr>
      <w:r>
        <w:rPr>
          <w:rFonts w:hint="eastAsia"/>
        </w:rPr>
        <w:t>伊吾县已构建起覆盖天然林和国家级公益林的全域管护体系</w:t>
      </w:r>
      <w:r>
        <w:rPr>
          <w:rFonts w:hint="eastAsia"/>
          <w:lang w:eastAsia="zh-CN"/>
        </w:rPr>
        <w:t>，</w:t>
      </w:r>
      <w:r>
        <w:rPr>
          <w:rFonts w:hint="eastAsia"/>
        </w:rPr>
        <w:t>形成</w:t>
      </w:r>
      <w:r>
        <w:rPr>
          <w:rFonts w:hint="eastAsia"/>
          <w:lang w:eastAsia="zh-CN"/>
        </w:rPr>
        <w:t>“</w:t>
      </w:r>
      <w:r>
        <w:rPr>
          <w:rFonts w:hint="eastAsia"/>
        </w:rPr>
        <w:t>县-乡镇-管护站-护林员</w:t>
      </w:r>
      <w:r>
        <w:rPr>
          <w:rFonts w:hint="eastAsia"/>
          <w:lang w:eastAsia="zh-CN"/>
        </w:rPr>
        <w:t>”</w:t>
      </w:r>
      <w:r>
        <w:rPr>
          <w:rFonts w:hint="eastAsia"/>
        </w:rPr>
        <w:t>四级管理架构。依托7个管护站点(1个中心管护站、6个管护站)</w:t>
      </w:r>
      <w:r>
        <w:rPr>
          <w:rFonts w:hint="eastAsia"/>
          <w:lang w:eastAsia="zh-CN"/>
        </w:rPr>
        <w:t>，</w:t>
      </w:r>
      <w:r>
        <w:rPr>
          <w:rFonts w:hint="eastAsia"/>
        </w:rPr>
        <w:t>管护网络覆盖喀尔里克山北坡山地森林、淖毛湖荒漠林带、伊吾山间盆地等重点区域</w:t>
      </w:r>
      <w:r>
        <w:rPr>
          <w:rFonts w:hint="eastAsia"/>
          <w:lang w:eastAsia="zh-CN"/>
        </w:rPr>
        <w:t>，</w:t>
      </w:r>
      <w:r>
        <w:rPr>
          <w:rFonts w:hint="eastAsia"/>
        </w:rPr>
        <w:t>实现</w:t>
      </w:r>
      <w:r>
        <w:rPr>
          <w:rFonts w:hint="eastAsia"/>
          <w:lang w:val="en-US" w:eastAsia="zh-CN"/>
        </w:rPr>
        <w:t>203.35</w:t>
      </w:r>
      <w:r>
        <w:rPr>
          <w:rFonts w:hint="eastAsia"/>
        </w:rPr>
        <w:t>万亩天然林</w:t>
      </w:r>
      <w:r>
        <w:rPr>
          <w:rFonts w:hint="eastAsia"/>
          <w:lang w:eastAsia="zh-CN"/>
        </w:rPr>
        <w:t>，</w:t>
      </w:r>
      <w:r>
        <w:rPr>
          <w:rFonts w:hint="eastAsia"/>
          <w:lang w:val="en-US" w:eastAsia="zh-CN"/>
        </w:rPr>
        <w:t>0.05万亩非天然国家公益林</w:t>
      </w:r>
      <w:r>
        <w:rPr>
          <w:rFonts w:hint="eastAsia"/>
        </w:rPr>
        <w:t>应保尽保、应管尽管。管护人员配置密度为2.29万亩/人</w:t>
      </w:r>
      <w:r>
        <w:rPr>
          <w:rFonts w:hint="eastAsia"/>
          <w:lang w:eastAsia="zh-CN"/>
        </w:rPr>
        <w:t>，</w:t>
      </w:r>
      <w:r>
        <w:rPr>
          <w:rFonts w:hint="eastAsia"/>
        </w:rPr>
        <w:t>为森林资源保护、森林防火、病虫害防治提供了组织保障。</w:t>
      </w:r>
    </w:p>
    <w:p>
      <w:pPr>
        <w:pStyle w:val="6"/>
        <w:bidi w:val="0"/>
        <w:rPr>
          <w:rFonts w:hint="eastAsia"/>
        </w:rPr>
      </w:pPr>
      <w:r>
        <w:rPr>
          <w:rFonts w:hint="eastAsia"/>
        </w:rPr>
        <w:t>在制度建设层面</w:t>
      </w:r>
      <w:r>
        <w:rPr>
          <w:rFonts w:hint="eastAsia"/>
          <w:lang w:eastAsia="zh-CN"/>
        </w:rPr>
        <w:t>，</w:t>
      </w:r>
      <w:r>
        <w:rPr>
          <w:rFonts w:hint="eastAsia"/>
        </w:rPr>
        <w:t>全面推行林长制</w:t>
      </w:r>
      <w:r>
        <w:rPr>
          <w:rFonts w:hint="eastAsia"/>
          <w:lang w:eastAsia="zh-CN"/>
        </w:rPr>
        <w:t>，</w:t>
      </w:r>
      <w:r>
        <w:rPr>
          <w:rFonts w:hint="eastAsia"/>
        </w:rPr>
        <w:t>构建县、乡镇、村三级林长组织架构</w:t>
      </w:r>
      <w:r>
        <w:rPr>
          <w:rFonts w:hint="eastAsia"/>
          <w:lang w:eastAsia="zh-CN"/>
        </w:rPr>
        <w:t>，</w:t>
      </w:r>
      <w:r>
        <w:rPr>
          <w:rFonts w:hint="eastAsia"/>
        </w:rPr>
        <w:t>建立</w:t>
      </w:r>
      <w:r>
        <w:rPr>
          <w:rFonts w:hint="eastAsia"/>
          <w:lang w:eastAsia="zh-CN"/>
        </w:rPr>
        <w:t>“</w:t>
      </w:r>
      <w:r>
        <w:rPr>
          <w:rFonts w:hint="eastAsia"/>
        </w:rPr>
        <w:t>林长+检察长</w:t>
      </w:r>
      <w:r>
        <w:rPr>
          <w:rFonts w:hint="eastAsia"/>
          <w:lang w:eastAsia="zh-CN"/>
        </w:rPr>
        <w:t>”</w:t>
      </w:r>
      <w:r>
        <w:rPr>
          <w:rFonts w:hint="eastAsia"/>
        </w:rPr>
        <w:t>协作机制;严格执行管护员职责制度</w:t>
      </w:r>
      <w:r>
        <w:rPr>
          <w:rFonts w:hint="eastAsia"/>
          <w:lang w:eastAsia="zh-CN"/>
        </w:rPr>
        <w:t>，</w:t>
      </w:r>
      <w:r>
        <w:rPr>
          <w:rFonts w:hint="eastAsia"/>
        </w:rPr>
        <w:t>实施护林员排查、监管员巡查、检查组监察的三级检查体系</w:t>
      </w:r>
      <w:r>
        <w:rPr>
          <w:rFonts w:hint="eastAsia"/>
          <w:lang w:eastAsia="zh-CN"/>
        </w:rPr>
        <w:t>，</w:t>
      </w:r>
      <w:r>
        <w:rPr>
          <w:rFonts w:hint="eastAsia"/>
        </w:rPr>
        <w:t>形成</w:t>
      </w:r>
      <w:r>
        <w:rPr>
          <w:rFonts w:hint="eastAsia"/>
          <w:lang w:eastAsia="zh-CN"/>
        </w:rPr>
        <w:t>“</w:t>
      </w:r>
      <w:r>
        <w:rPr>
          <w:rFonts w:hint="eastAsia"/>
        </w:rPr>
        <w:t>山有人管、林有人护、责有人担</w:t>
      </w:r>
      <w:r>
        <w:rPr>
          <w:rFonts w:hint="eastAsia"/>
          <w:lang w:eastAsia="zh-CN"/>
        </w:rPr>
        <w:t>”</w:t>
      </w:r>
      <w:r>
        <w:rPr>
          <w:rFonts w:hint="eastAsia"/>
        </w:rPr>
        <w:t>的责任格局。然而</w:t>
      </w:r>
      <w:r>
        <w:rPr>
          <w:rFonts w:hint="eastAsia"/>
          <w:lang w:eastAsia="zh-CN"/>
        </w:rPr>
        <w:t>，</w:t>
      </w:r>
      <w:r>
        <w:rPr>
          <w:rFonts w:hint="eastAsia"/>
        </w:rPr>
        <w:t>管护体系仍存在结构性短板:站点设施有待持续完善</w:t>
      </w:r>
      <w:r>
        <w:rPr>
          <w:rFonts w:hint="eastAsia"/>
          <w:lang w:eastAsia="zh-CN"/>
        </w:rPr>
        <w:t>，</w:t>
      </w:r>
      <w:r>
        <w:rPr>
          <w:rFonts w:hint="eastAsia"/>
        </w:rPr>
        <w:t>部分管护站位于荒漠戈壁地带</w:t>
      </w:r>
      <w:r>
        <w:rPr>
          <w:rFonts w:hint="eastAsia"/>
          <w:lang w:eastAsia="zh-CN"/>
        </w:rPr>
        <w:t>，</w:t>
      </w:r>
      <w:r>
        <w:rPr>
          <w:rFonts w:hint="eastAsia"/>
        </w:rPr>
        <w:t>生活条件相对艰苦</w:t>
      </w:r>
      <w:r>
        <w:rPr>
          <w:rFonts w:hint="eastAsia"/>
          <w:lang w:eastAsia="zh-CN"/>
        </w:rPr>
        <w:t>，</w:t>
      </w:r>
      <w:r>
        <w:rPr>
          <w:rFonts w:hint="eastAsia"/>
        </w:rPr>
        <w:t>需持续加强基础设施建设;管护队伍全部为聘用人员</w:t>
      </w:r>
      <w:r>
        <w:rPr>
          <w:rFonts w:hint="eastAsia"/>
          <w:lang w:eastAsia="zh-CN"/>
        </w:rPr>
        <w:t>，</w:t>
      </w:r>
      <w:r>
        <w:rPr>
          <w:rFonts w:hint="eastAsia"/>
        </w:rPr>
        <w:t>人均管护面积较大</w:t>
      </w:r>
      <w:r>
        <w:rPr>
          <w:rFonts w:hint="eastAsia"/>
          <w:lang w:eastAsia="zh-CN"/>
        </w:rPr>
        <w:t>，</w:t>
      </w:r>
      <w:r>
        <w:rPr>
          <w:rFonts w:hint="eastAsia"/>
        </w:rPr>
        <w:t>队伍稳定性和技术能力面临挑战;智能化管护手段薄弱</w:t>
      </w:r>
      <w:r>
        <w:rPr>
          <w:rFonts w:hint="eastAsia"/>
          <w:lang w:eastAsia="zh-CN"/>
        </w:rPr>
        <w:t>，</w:t>
      </w:r>
      <w:r>
        <w:rPr>
          <w:rFonts w:hint="eastAsia"/>
        </w:rPr>
        <w:t>缺乏固定翼无人机、高空云台等现代装备</w:t>
      </w:r>
      <w:r>
        <w:rPr>
          <w:rFonts w:hint="eastAsia"/>
          <w:lang w:eastAsia="zh-CN"/>
        </w:rPr>
        <w:t>，</w:t>
      </w:r>
      <w:r>
        <w:rPr>
          <w:rFonts w:hint="eastAsia"/>
        </w:rPr>
        <w:t>难以实现广域高效监测。</w:t>
      </w:r>
    </w:p>
    <w:p>
      <w:pPr>
        <w:pStyle w:val="3"/>
        <w:bidi w:val="0"/>
        <w:rPr>
          <w:rFonts w:hint="default"/>
          <w:lang w:val="en-US" w:eastAsia="zh-CN"/>
        </w:rPr>
      </w:pPr>
      <w:bookmarkStart w:id="92" w:name="_Toc2138"/>
      <w:r>
        <w:rPr>
          <w:rFonts w:hint="eastAsia"/>
          <w:lang w:val="en-US" w:eastAsia="zh-CN"/>
        </w:rPr>
        <w:t>第二节 资源保护</w:t>
      </w:r>
      <w:bookmarkEnd w:id="92"/>
    </w:p>
    <w:p>
      <w:pPr>
        <w:pStyle w:val="4"/>
        <w:keepNext w:val="0"/>
        <w:keepLines w:val="0"/>
        <w:pageBreakBefore w:val="0"/>
        <w:widowControl/>
        <w:numPr>
          <w:ilvl w:val="0"/>
          <w:numId w:val="21"/>
        </w:numPr>
        <w:kinsoku w:val="0"/>
        <w:wordWrap/>
        <w:overflowPunct/>
        <w:topLinePunct w:val="0"/>
        <w:autoSpaceDE w:val="0"/>
        <w:autoSpaceDN w:val="0"/>
        <w:bidi w:val="0"/>
        <w:adjustRightInd w:val="0"/>
        <w:snapToGrid w:val="0"/>
        <w:spacing w:line="224" w:lineRule="auto"/>
        <w:ind w:left="249" w:leftChars="0" w:firstLine="390" w:firstLineChars="144"/>
        <w:textAlignment w:val="baseline"/>
        <w:rPr>
          <w:rFonts w:hint="default"/>
          <w:lang w:val="en-US" w:eastAsia="zh-CN"/>
        </w:rPr>
      </w:pPr>
      <w:bookmarkStart w:id="93" w:name="_Toc7997"/>
      <w:r>
        <w:rPr>
          <w:rFonts w:hint="eastAsia"/>
          <w:lang w:val="en-US" w:eastAsia="zh-CN"/>
        </w:rPr>
        <w:t>森林防火体系优化</w:t>
      </w:r>
      <w:bookmarkEnd w:id="93"/>
    </w:p>
    <w:p>
      <w:pPr>
        <w:pStyle w:val="7"/>
        <w:keepNext w:val="0"/>
        <w:keepLines w:val="0"/>
        <w:pageBreakBefore w:val="0"/>
        <w:widowControl w:val="0"/>
        <w:kinsoku w:val="0"/>
        <w:wordWrap/>
        <w:overflowPunct/>
        <w:topLinePunct w:val="0"/>
        <w:autoSpaceDE/>
        <w:autoSpaceDN/>
        <w:bidi w:val="0"/>
        <w:adjustRightInd w:val="0"/>
        <w:snapToGrid w:val="0"/>
        <w:textAlignment w:val="baseline"/>
        <w:rPr>
          <w:rFonts w:hint="default"/>
          <w:lang w:val="en-US" w:eastAsia="zh-CN"/>
        </w:rPr>
      </w:pPr>
      <w:r>
        <w:rPr>
          <w:rFonts w:hint="default"/>
          <w:lang w:val="en-US" w:eastAsia="zh-CN"/>
        </w:rPr>
        <w:t>完善防火基础设施网络</w:t>
      </w:r>
      <w:r>
        <w:rPr>
          <w:rFonts w:hint="eastAsia"/>
          <w:lang w:val="en-US" w:eastAsia="zh-CN"/>
        </w:rPr>
        <w:t>，</w:t>
      </w:r>
      <w:r>
        <w:rPr>
          <w:rFonts w:hint="default"/>
          <w:lang w:val="en-US" w:eastAsia="zh-CN"/>
        </w:rPr>
        <w:t>系统推进防火道路、隔离带等基础设施建设</w:t>
      </w:r>
      <w:r>
        <w:rPr>
          <w:rFonts w:hint="eastAsia"/>
          <w:lang w:val="en-US" w:eastAsia="zh-CN"/>
        </w:rPr>
        <w:t>，</w:t>
      </w:r>
      <w:r>
        <w:rPr>
          <w:rFonts w:hint="default"/>
          <w:lang w:val="en-US" w:eastAsia="zh-CN"/>
        </w:rPr>
        <w:t>优化防火通道布局。在喀尔里克山北坡、莫钦乌拉山等森林火险等级高地段</w:t>
      </w:r>
      <w:r>
        <w:rPr>
          <w:rFonts w:hint="eastAsia"/>
          <w:lang w:val="en-US" w:eastAsia="zh-CN"/>
        </w:rPr>
        <w:t>，</w:t>
      </w:r>
      <w:r>
        <w:rPr>
          <w:rFonts w:hint="default"/>
          <w:lang w:val="en-US" w:eastAsia="zh-CN"/>
        </w:rPr>
        <w:t>实施防火隔离带建设工程</w:t>
      </w:r>
      <w:r>
        <w:rPr>
          <w:rFonts w:hint="eastAsia"/>
          <w:lang w:val="en-US" w:eastAsia="zh-CN"/>
        </w:rPr>
        <w:t>，</w:t>
      </w:r>
      <w:r>
        <w:rPr>
          <w:rFonts w:hint="default"/>
          <w:lang w:val="en-US" w:eastAsia="zh-CN"/>
        </w:rPr>
        <w:t>构建阻隔火灾蔓延的物理屏障。在林区关键节点建设储水设施</w:t>
      </w:r>
      <w:r>
        <w:rPr>
          <w:rFonts w:hint="eastAsia"/>
          <w:lang w:val="en-US" w:eastAsia="zh-CN"/>
        </w:rPr>
        <w:t>，</w:t>
      </w:r>
      <w:r>
        <w:rPr>
          <w:rFonts w:hint="default"/>
          <w:lang w:val="en-US" w:eastAsia="zh-CN"/>
        </w:rPr>
        <w:t>配备高压水泵、消防水车等专业装备</w:t>
      </w:r>
      <w:r>
        <w:rPr>
          <w:rFonts w:hint="eastAsia"/>
          <w:lang w:val="en-US" w:eastAsia="zh-CN"/>
        </w:rPr>
        <w:t>，</w:t>
      </w:r>
      <w:r>
        <w:rPr>
          <w:rFonts w:hint="default"/>
          <w:lang w:val="en-US" w:eastAsia="zh-CN"/>
        </w:rPr>
        <w:t>提升扑火水源保障能力。完善林区防火检查卡点设施</w:t>
      </w:r>
      <w:r>
        <w:rPr>
          <w:rFonts w:hint="eastAsia"/>
          <w:lang w:val="en-US" w:eastAsia="zh-CN"/>
        </w:rPr>
        <w:t>，</w:t>
      </w:r>
      <w:r>
        <w:rPr>
          <w:rFonts w:hint="default"/>
          <w:lang w:val="en-US" w:eastAsia="zh-CN"/>
        </w:rPr>
        <w:t>规范火源收缴、防火码扫描登记等管控流程</w:t>
      </w:r>
      <w:r>
        <w:rPr>
          <w:rFonts w:hint="eastAsia"/>
          <w:lang w:val="en-US" w:eastAsia="zh-CN"/>
        </w:rPr>
        <w:t>，</w:t>
      </w:r>
      <w:r>
        <w:rPr>
          <w:rFonts w:hint="default"/>
          <w:lang w:val="en-US" w:eastAsia="zh-CN"/>
        </w:rPr>
        <w:t>强化火源管控的制度化、规范化水平。</w:t>
      </w:r>
    </w:p>
    <w:p>
      <w:pPr>
        <w:pStyle w:val="6"/>
        <w:bidi w:val="0"/>
        <w:rPr>
          <w:rFonts w:hint="default"/>
          <w:lang w:val="en-US" w:eastAsia="zh-CN"/>
        </w:rPr>
      </w:pPr>
      <w:r>
        <w:rPr>
          <w:rFonts w:hint="default"/>
          <w:lang w:val="en-US" w:eastAsia="zh-CN"/>
        </w:rPr>
        <w:t>构建智能化监测预警体系</w:t>
      </w:r>
      <w:r>
        <w:rPr>
          <w:rFonts w:hint="eastAsia"/>
          <w:lang w:val="en-US" w:eastAsia="zh-CN"/>
        </w:rPr>
        <w:t>，</w:t>
      </w:r>
      <w:r>
        <w:rPr>
          <w:rFonts w:hint="default"/>
          <w:lang w:val="en-US" w:eastAsia="zh-CN"/>
        </w:rPr>
        <w:t>依托智能化管护体系建设</w:t>
      </w:r>
      <w:r>
        <w:rPr>
          <w:rFonts w:hint="eastAsia"/>
          <w:lang w:val="en-US" w:eastAsia="zh-CN"/>
        </w:rPr>
        <w:t>，</w:t>
      </w:r>
      <w:r>
        <w:rPr>
          <w:rFonts w:hint="default"/>
          <w:lang w:val="en-US" w:eastAsia="zh-CN"/>
        </w:rPr>
        <w:t>在森林火险高地段、林农交错地带、人为活动频繁区域布设高空云台视频监控网络</w:t>
      </w:r>
      <w:r>
        <w:rPr>
          <w:rFonts w:hint="eastAsia"/>
          <w:lang w:val="en-US" w:eastAsia="zh-CN"/>
        </w:rPr>
        <w:t>，</w:t>
      </w:r>
      <w:r>
        <w:rPr>
          <w:rFonts w:hint="default"/>
          <w:lang w:val="en-US" w:eastAsia="zh-CN"/>
        </w:rPr>
        <w:t>实现24小时不间断火情监测。配置多旋翼无人机等空中巡护装备</w:t>
      </w:r>
      <w:r>
        <w:rPr>
          <w:rFonts w:hint="eastAsia"/>
          <w:lang w:val="en-US" w:eastAsia="zh-CN"/>
        </w:rPr>
        <w:t>，</w:t>
      </w:r>
      <w:r>
        <w:rPr>
          <w:rFonts w:hint="default"/>
          <w:lang w:val="en-US" w:eastAsia="zh-CN"/>
        </w:rPr>
        <w:t>开展常态化空中巡护和重点时段加密巡护</w:t>
      </w:r>
      <w:r>
        <w:rPr>
          <w:rFonts w:hint="eastAsia"/>
          <w:lang w:val="en-US" w:eastAsia="zh-CN"/>
        </w:rPr>
        <w:t>，</w:t>
      </w:r>
      <w:r>
        <w:rPr>
          <w:rFonts w:hint="default"/>
          <w:lang w:val="en-US" w:eastAsia="zh-CN"/>
        </w:rPr>
        <w:t>大幅提升火情早期发现能力。建设伊吾县森林资源智能管护平台</w:t>
      </w:r>
      <w:r>
        <w:rPr>
          <w:rFonts w:hint="eastAsia"/>
          <w:lang w:val="en-US" w:eastAsia="zh-CN"/>
        </w:rPr>
        <w:t>，</w:t>
      </w:r>
      <w:r>
        <w:rPr>
          <w:rFonts w:hint="default"/>
          <w:lang w:val="en-US" w:eastAsia="zh-CN"/>
        </w:rPr>
        <w:t>整合视频监控、无人机巡护、地面巡护、气象监测等多源数据</w:t>
      </w:r>
      <w:r>
        <w:rPr>
          <w:rFonts w:hint="eastAsia"/>
          <w:lang w:val="en-US" w:eastAsia="zh-CN"/>
        </w:rPr>
        <w:t>，</w:t>
      </w:r>
      <w:r>
        <w:rPr>
          <w:rFonts w:hint="default"/>
          <w:lang w:val="en-US" w:eastAsia="zh-CN"/>
        </w:rPr>
        <w:t>实现火险预警、火情识别、应急指挥调度的智能化决策支持。加强与市级、自治区级森林防火系统的数据对接</w:t>
      </w:r>
      <w:r>
        <w:rPr>
          <w:rFonts w:hint="eastAsia"/>
          <w:lang w:val="en-US" w:eastAsia="zh-CN"/>
        </w:rPr>
        <w:t>，</w:t>
      </w:r>
      <w:r>
        <w:rPr>
          <w:rFonts w:hint="default"/>
          <w:lang w:val="en-US" w:eastAsia="zh-CN"/>
        </w:rPr>
        <w:t>实现火险信息实时共享和区域联动响应。规划期内投入200万元用于应急分队建设</w:t>
      </w:r>
      <w:r>
        <w:rPr>
          <w:rFonts w:hint="eastAsia"/>
          <w:lang w:val="en-US" w:eastAsia="zh-CN"/>
        </w:rPr>
        <w:t>，</w:t>
      </w:r>
      <w:r>
        <w:rPr>
          <w:rFonts w:hint="default"/>
          <w:lang w:val="en-US" w:eastAsia="zh-CN"/>
        </w:rPr>
        <w:t>明确应急响应流程、处置程序、联动机制</w:t>
      </w:r>
      <w:r>
        <w:rPr>
          <w:rFonts w:hint="eastAsia"/>
          <w:lang w:val="en-US" w:eastAsia="zh-CN"/>
        </w:rPr>
        <w:t>，</w:t>
      </w:r>
      <w:r>
        <w:rPr>
          <w:rFonts w:hint="default"/>
          <w:lang w:val="en-US" w:eastAsia="zh-CN"/>
        </w:rPr>
        <w:t>定期开展实战化应急演练</w:t>
      </w:r>
      <w:r>
        <w:rPr>
          <w:rFonts w:hint="eastAsia"/>
          <w:lang w:val="en-US" w:eastAsia="zh-CN"/>
        </w:rPr>
        <w:t>，</w:t>
      </w:r>
      <w:r>
        <w:rPr>
          <w:rFonts w:hint="default"/>
          <w:lang w:val="en-US" w:eastAsia="zh-CN"/>
        </w:rPr>
        <w:t>提高管护人员应急处置能力和体能素质。</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提升应急处置快速响应能力</w:t>
      </w:r>
      <w:r>
        <w:rPr>
          <w:rFonts w:hint="eastAsia"/>
          <w:lang w:val="en-US" w:eastAsia="zh-CN"/>
        </w:rPr>
        <w:t>，</w:t>
      </w:r>
      <w:r>
        <w:rPr>
          <w:rFonts w:hint="default"/>
          <w:lang w:val="en-US" w:eastAsia="zh-CN"/>
        </w:rPr>
        <w:t>建立应急响应机制。为每个管护站配备森林防火器材</w:t>
      </w:r>
      <w:r>
        <w:rPr>
          <w:rFonts w:hint="eastAsia"/>
          <w:lang w:val="en-US" w:eastAsia="zh-CN"/>
        </w:rPr>
        <w:t>，</w:t>
      </w:r>
      <w:r>
        <w:rPr>
          <w:rFonts w:hint="default"/>
          <w:lang w:val="en-US" w:eastAsia="zh-CN"/>
        </w:rPr>
        <w:t>包括风力灭火机、油锯、砍刀、铁锹、水桶等基础灭火工具;在重点林区配置便携式高压水泵、灭火弹、阻燃剂等便携式灭火设备;在中心管护站配置红外探测仪、无人机热成像设备等专业探测设备。完善与森林消防、天山东部国有林管理局、乡镇政府等单位的联防联控机制</w:t>
      </w:r>
      <w:r>
        <w:rPr>
          <w:rFonts w:hint="eastAsia"/>
          <w:lang w:val="en-US" w:eastAsia="zh-CN"/>
        </w:rPr>
        <w:t>，</w:t>
      </w:r>
      <w:r>
        <w:rPr>
          <w:rFonts w:hint="default"/>
          <w:lang w:val="en-US" w:eastAsia="zh-CN"/>
        </w:rPr>
        <w:t>在森林防火重点期、重大节假日等特殊时段实行联合值守、联合巡护、联合检查</w:t>
      </w:r>
      <w:r>
        <w:rPr>
          <w:rFonts w:hint="eastAsia"/>
          <w:lang w:val="en-US" w:eastAsia="zh-CN"/>
        </w:rPr>
        <w:t>，</w:t>
      </w:r>
      <w:r>
        <w:rPr>
          <w:rFonts w:hint="default"/>
          <w:lang w:val="en-US" w:eastAsia="zh-CN"/>
        </w:rPr>
        <w:t>形成应急防火工作格局。</w:t>
      </w:r>
    </w:p>
    <w:p>
      <w:pPr>
        <w:pStyle w:val="4"/>
        <w:numPr>
          <w:ilvl w:val="0"/>
          <w:numId w:val="15"/>
        </w:numPr>
        <w:bidi w:val="0"/>
        <w:rPr>
          <w:rFonts w:hint="eastAsia"/>
          <w:lang w:val="en-US" w:eastAsia="zh-CN"/>
        </w:rPr>
      </w:pPr>
      <w:bookmarkStart w:id="94" w:name="_Toc3724"/>
      <w:r>
        <w:rPr>
          <w:rFonts w:hint="eastAsia"/>
          <w:lang w:val="en-US" w:eastAsia="zh-CN"/>
        </w:rPr>
        <w:t>有害生物综合防控</w:t>
      </w:r>
      <w:bookmarkEnd w:id="94"/>
    </w:p>
    <w:p>
      <w:pPr>
        <w:pStyle w:val="7"/>
        <w:keepNext w:val="0"/>
        <w:keepLines w:val="0"/>
        <w:pageBreakBefore w:val="0"/>
        <w:widowControl w:val="0"/>
        <w:kinsoku w:val="0"/>
        <w:wordWrap/>
        <w:overflowPunct/>
        <w:topLinePunct w:val="0"/>
        <w:autoSpaceDE/>
        <w:autoSpaceDN/>
        <w:bidi w:val="0"/>
        <w:adjustRightInd w:val="0"/>
        <w:snapToGrid w:val="0"/>
        <w:textAlignment w:val="baseline"/>
        <w:rPr>
          <w:rFonts w:hint="default"/>
          <w:lang w:val="en-US" w:eastAsia="zh-CN"/>
        </w:rPr>
      </w:pPr>
      <w:r>
        <w:rPr>
          <w:rFonts w:hint="default"/>
          <w:lang w:val="en-US" w:eastAsia="zh-CN"/>
        </w:rPr>
        <w:t>健全监测预警网络体系</w:t>
      </w:r>
      <w:r>
        <w:rPr>
          <w:rFonts w:hint="eastAsia"/>
          <w:lang w:val="en-US" w:eastAsia="zh-CN"/>
        </w:rPr>
        <w:t>，</w:t>
      </w:r>
      <w:r>
        <w:rPr>
          <w:rFonts w:hint="default"/>
          <w:lang w:val="en-US" w:eastAsia="zh-CN"/>
        </w:rPr>
        <w:t>优化林业有害生物监测站点布局</w:t>
      </w:r>
      <w:r>
        <w:rPr>
          <w:rFonts w:hint="eastAsia"/>
          <w:lang w:val="en-US" w:eastAsia="zh-CN"/>
        </w:rPr>
        <w:t>，</w:t>
      </w:r>
      <w:r>
        <w:rPr>
          <w:rFonts w:hint="default"/>
          <w:lang w:val="en-US" w:eastAsia="zh-CN"/>
        </w:rPr>
        <w:t>在喀尔里克山北坡山地森林系统、淖毛湖荒漠林系统及林农交错地带增设监测站点</w:t>
      </w:r>
      <w:r>
        <w:rPr>
          <w:rFonts w:hint="eastAsia"/>
          <w:lang w:val="en-US" w:eastAsia="zh-CN"/>
        </w:rPr>
        <w:t>，</w:t>
      </w:r>
      <w:r>
        <w:rPr>
          <w:rFonts w:hint="default"/>
          <w:lang w:val="en-US" w:eastAsia="zh-CN"/>
        </w:rPr>
        <w:t>消除监测盲区。强化县级中心测报点功能</w:t>
      </w:r>
      <w:r>
        <w:rPr>
          <w:rFonts w:hint="eastAsia"/>
          <w:lang w:val="en-US" w:eastAsia="zh-CN"/>
        </w:rPr>
        <w:t>，</w:t>
      </w:r>
      <w:r>
        <w:rPr>
          <w:rFonts w:hint="default"/>
          <w:lang w:val="en-US" w:eastAsia="zh-CN"/>
        </w:rPr>
        <w:t>配备专业监测设备和技术人员</w:t>
      </w:r>
      <w:r>
        <w:rPr>
          <w:rFonts w:hint="eastAsia"/>
          <w:lang w:val="en-US" w:eastAsia="zh-CN"/>
        </w:rPr>
        <w:t>，</w:t>
      </w:r>
      <w:r>
        <w:rPr>
          <w:rFonts w:hint="default"/>
          <w:lang w:val="en-US" w:eastAsia="zh-CN"/>
        </w:rPr>
        <w:t>提升虫情调查、短期预报、长期预测的科学性和准确性。建立天然林有害生物专项监测制度</w:t>
      </w:r>
      <w:r>
        <w:rPr>
          <w:rFonts w:hint="eastAsia"/>
          <w:lang w:val="en-US" w:eastAsia="zh-CN"/>
        </w:rPr>
        <w:t>，</w:t>
      </w:r>
      <w:r>
        <w:rPr>
          <w:rFonts w:hint="default"/>
          <w:lang w:val="en-US" w:eastAsia="zh-CN"/>
        </w:rPr>
        <w:t>针对云杉小蠹虫、落叶松毛虫、天牛、树蜂等山地天然林主要有害生物</w:t>
      </w:r>
      <w:r>
        <w:rPr>
          <w:rFonts w:hint="eastAsia"/>
          <w:lang w:val="en-US" w:eastAsia="zh-CN"/>
        </w:rPr>
        <w:t>，</w:t>
      </w:r>
      <w:r>
        <w:rPr>
          <w:rFonts w:hint="default"/>
          <w:lang w:val="en-US" w:eastAsia="zh-CN"/>
        </w:rPr>
        <w:t>以及胡杨林蚜虫等荒漠林有害生物</w:t>
      </w:r>
      <w:r>
        <w:rPr>
          <w:rFonts w:hint="eastAsia"/>
          <w:lang w:val="en-US" w:eastAsia="zh-CN"/>
        </w:rPr>
        <w:t>，</w:t>
      </w:r>
      <w:r>
        <w:rPr>
          <w:rFonts w:hint="default"/>
          <w:lang w:val="en-US" w:eastAsia="zh-CN"/>
        </w:rPr>
        <w:t>开展定期调查和动态监测。推广应用智能监测技术</w:t>
      </w:r>
      <w:r>
        <w:rPr>
          <w:rFonts w:hint="eastAsia"/>
          <w:lang w:val="en-US" w:eastAsia="zh-CN"/>
        </w:rPr>
        <w:t>，</w:t>
      </w:r>
      <w:r>
        <w:rPr>
          <w:rFonts w:hint="default"/>
          <w:lang w:val="en-US" w:eastAsia="zh-CN"/>
        </w:rPr>
        <w:t>利用无人机搭载多光谱传感器开展林木健康状况遥感监测</w:t>
      </w:r>
      <w:r>
        <w:rPr>
          <w:rFonts w:hint="eastAsia"/>
          <w:lang w:val="en-US" w:eastAsia="zh-CN"/>
        </w:rPr>
        <w:t>，</w:t>
      </w:r>
      <w:r>
        <w:rPr>
          <w:rFonts w:hint="default"/>
          <w:lang w:val="en-US" w:eastAsia="zh-CN"/>
        </w:rPr>
        <w:t>及时发现虫害发生区域和受害程度</w:t>
      </w:r>
      <w:r>
        <w:rPr>
          <w:rFonts w:hint="eastAsia"/>
          <w:lang w:val="en-US" w:eastAsia="zh-CN"/>
        </w:rPr>
        <w:t>，</w:t>
      </w:r>
      <w:r>
        <w:rPr>
          <w:rFonts w:hint="default"/>
          <w:lang w:val="en-US" w:eastAsia="zh-CN"/>
        </w:rPr>
        <w:t>实现有害生物早发现、早报告、早处置。</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强化检疫监管防线</w:t>
      </w:r>
      <w:r>
        <w:rPr>
          <w:rFonts w:hint="eastAsia"/>
          <w:lang w:val="en-US" w:eastAsia="zh-CN"/>
        </w:rPr>
        <w:t>，</w:t>
      </w:r>
      <w:r>
        <w:rPr>
          <w:rFonts w:hint="default"/>
          <w:lang w:val="en-US" w:eastAsia="zh-CN"/>
        </w:rPr>
        <w:t>规范调入苗木复检流程</w:t>
      </w:r>
      <w:r>
        <w:rPr>
          <w:rFonts w:hint="eastAsia"/>
          <w:lang w:val="en-US" w:eastAsia="zh-CN"/>
        </w:rPr>
        <w:t>，</w:t>
      </w:r>
      <w:r>
        <w:rPr>
          <w:rFonts w:hint="default"/>
          <w:lang w:val="en-US" w:eastAsia="zh-CN"/>
        </w:rPr>
        <w:t>严防检疫性有害生物传入。建立产地检疫和调运检疫联动机制</w:t>
      </w:r>
      <w:r>
        <w:rPr>
          <w:rFonts w:hint="eastAsia"/>
          <w:lang w:val="en-US" w:eastAsia="zh-CN"/>
        </w:rPr>
        <w:t>，</w:t>
      </w:r>
      <w:r>
        <w:rPr>
          <w:rFonts w:hint="default"/>
          <w:lang w:val="en-US" w:eastAsia="zh-CN"/>
        </w:rPr>
        <w:t>严格把关</w:t>
      </w:r>
      <w:r>
        <w:rPr>
          <w:rFonts w:hint="eastAsia"/>
          <w:lang w:val="en-US" w:eastAsia="zh-CN"/>
        </w:rPr>
        <w:t>“</w:t>
      </w:r>
      <w:r>
        <w:rPr>
          <w:rFonts w:hint="default"/>
          <w:lang w:val="en-US" w:eastAsia="zh-CN"/>
        </w:rPr>
        <w:t>两证一签</w:t>
      </w:r>
      <w:r>
        <w:rPr>
          <w:rFonts w:hint="eastAsia"/>
          <w:lang w:val="en-US" w:eastAsia="zh-CN"/>
        </w:rPr>
        <w:t>”，</w:t>
      </w:r>
      <w:r>
        <w:rPr>
          <w:rFonts w:hint="default"/>
          <w:lang w:val="en-US" w:eastAsia="zh-CN"/>
        </w:rPr>
        <w:t>确保检疫监管全覆盖。加强与哈密海关、交通运输、市场监管等部门的协作配合</w:t>
      </w:r>
      <w:r>
        <w:rPr>
          <w:rFonts w:hint="eastAsia"/>
          <w:lang w:val="en-US" w:eastAsia="zh-CN"/>
        </w:rPr>
        <w:t>，</w:t>
      </w:r>
      <w:r>
        <w:rPr>
          <w:rFonts w:hint="default"/>
          <w:lang w:val="en-US" w:eastAsia="zh-CN"/>
        </w:rPr>
        <w:t>建立联合执法机制</w:t>
      </w:r>
      <w:r>
        <w:rPr>
          <w:rFonts w:hint="eastAsia"/>
          <w:lang w:val="en-US" w:eastAsia="zh-CN"/>
        </w:rPr>
        <w:t>，</w:t>
      </w:r>
      <w:r>
        <w:rPr>
          <w:rFonts w:hint="default"/>
          <w:lang w:val="en-US" w:eastAsia="zh-CN"/>
        </w:rPr>
        <w:t>加大对非法调运植物及其产品行为的查处力度。充实检疫执法队伍</w:t>
      </w:r>
      <w:r>
        <w:rPr>
          <w:rFonts w:hint="eastAsia"/>
          <w:lang w:val="en-US" w:eastAsia="zh-CN"/>
        </w:rPr>
        <w:t>，</w:t>
      </w:r>
      <w:r>
        <w:rPr>
          <w:rFonts w:hint="default"/>
          <w:lang w:val="en-US" w:eastAsia="zh-CN"/>
        </w:rPr>
        <w:t>配备专业技术人员和检疫装备</w:t>
      </w:r>
      <w:r>
        <w:rPr>
          <w:rFonts w:hint="eastAsia"/>
          <w:lang w:val="en-US" w:eastAsia="zh-CN"/>
        </w:rPr>
        <w:t>，</w:t>
      </w:r>
      <w:r>
        <w:rPr>
          <w:rFonts w:hint="default"/>
          <w:lang w:val="en-US" w:eastAsia="zh-CN"/>
        </w:rPr>
        <w:t>提升检疫监管能力和执法水平。</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推进绿色防控技术应用</w:t>
      </w:r>
      <w:r>
        <w:rPr>
          <w:rFonts w:hint="eastAsia"/>
          <w:lang w:val="en-US" w:eastAsia="zh-CN"/>
        </w:rPr>
        <w:t>，</w:t>
      </w:r>
      <w:r>
        <w:rPr>
          <w:rFonts w:hint="default"/>
          <w:lang w:val="en-US" w:eastAsia="zh-CN"/>
        </w:rPr>
        <w:t>优先推广生物防治、物理防治等无公害防治技术</w:t>
      </w:r>
      <w:r>
        <w:rPr>
          <w:rFonts w:hint="eastAsia"/>
          <w:lang w:val="en-US" w:eastAsia="zh-CN"/>
        </w:rPr>
        <w:t>，</w:t>
      </w:r>
      <w:r>
        <w:rPr>
          <w:rFonts w:hint="default"/>
          <w:lang w:val="en-US" w:eastAsia="zh-CN"/>
        </w:rPr>
        <w:t>降低化学防治对生态环境的影响。针对天然林有害生物</w:t>
      </w:r>
      <w:r>
        <w:rPr>
          <w:rFonts w:hint="eastAsia"/>
          <w:lang w:val="en-US" w:eastAsia="zh-CN"/>
        </w:rPr>
        <w:t>，</w:t>
      </w:r>
      <w:r>
        <w:rPr>
          <w:rFonts w:hint="default"/>
          <w:lang w:val="en-US" w:eastAsia="zh-CN"/>
        </w:rPr>
        <w:t>探索应用生物天敌、信息素诱捕、微生物制剂等生态友好型防治手段。针对大面积暴发成灾的有害生物</w:t>
      </w:r>
      <w:r>
        <w:rPr>
          <w:rFonts w:hint="eastAsia"/>
          <w:lang w:val="en-US" w:eastAsia="zh-CN"/>
        </w:rPr>
        <w:t>，</w:t>
      </w:r>
      <w:r>
        <w:rPr>
          <w:rFonts w:hint="default"/>
          <w:lang w:val="en-US" w:eastAsia="zh-CN"/>
        </w:rPr>
        <w:t>科学实施无人机防治、直升机防治等应急防治措施</w:t>
      </w:r>
      <w:r>
        <w:rPr>
          <w:rFonts w:hint="eastAsia"/>
          <w:lang w:val="en-US" w:eastAsia="zh-CN"/>
        </w:rPr>
        <w:t>，</w:t>
      </w:r>
      <w:r>
        <w:rPr>
          <w:rFonts w:hint="default"/>
          <w:lang w:val="en-US" w:eastAsia="zh-CN"/>
        </w:rPr>
        <w:t>有效控制虫口密度和危害程度。加强防治技术培训</w:t>
      </w:r>
      <w:r>
        <w:rPr>
          <w:rFonts w:hint="eastAsia"/>
          <w:lang w:val="en-US" w:eastAsia="zh-CN"/>
        </w:rPr>
        <w:t>，</w:t>
      </w:r>
      <w:r>
        <w:rPr>
          <w:rFonts w:hint="default"/>
          <w:lang w:val="en-US" w:eastAsia="zh-CN"/>
        </w:rPr>
        <w:t>提升基层技术人员的防治技能</w:t>
      </w:r>
      <w:r>
        <w:rPr>
          <w:rFonts w:hint="eastAsia"/>
          <w:lang w:val="en-US" w:eastAsia="zh-CN"/>
        </w:rPr>
        <w:t>，</w:t>
      </w:r>
      <w:r>
        <w:rPr>
          <w:rFonts w:hint="default"/>
          <w:lang w:val="en-US" w:eastAsia="zh-CN"/>
        </w:rPr>
        <w:t>实现科学防治、精准防治、有效防治。</w:t>
      </w:r>
    </w:p>
    <w:p>
      <w:pPr>
        <w:pStyle w:val="4"/>
        <w:numPr>
          <w:ilvl w:val="0"/>
          <w:numId w:val="15"/>
        </w:numPr>
        <w:bidi w:val="0"/>
        <w:rPr>
          <w:rFonts w:hint="eastAsia"/>
          <w:lang w:val="en-US" w:eastAsia="zh-CN"/>
        </w:rPr>
      </w:pPr>
      <w:bookmarkStart w:id="95" w:name="_Toc13927"/>
      <w:r>
        <w:rPr>
          <w:rFonts w:hint="eastAsia"/>
          <w:lang w:val="en-US" w:eastAsia="zh-CN"/>
        </w:rPr>
        <w:t>生物多样性系统保护</w:t>
      </w:r>
      <w:bookmarkEnd w:id="95"/>
    </w:p>
    <w:p>
      <w:pPr>
        <w:pStyle w:val="7"/>
        <w:bidi w:val="0"/>
        <w:rPr>
          <w:rFonts w:hint="default"/>
          <w:lang w:val="en-US" w:eastAsia="zh-CN"/>
        </w:rPr>
      </w:pPr>
      <w:r>
        <w:rPr>
          <w:rFonts w:hint="default"/>
          <w:lang w:val="en-US" w:eastAsia="zh-CN"/>
        </w:rPr>
        <w:t>构建生态廊道网络格局</w:t>
      </w:r>
      <w:r>
        <w:rPr>
          <w:rFonts w:hint="eastAsia"/>
          <w:lang w:val="en-US" w:eastAsia="zh-CN"/>
        </w:rPr>
        <w:t>，</w:t>
      </w:r>
      <w:r>
        <w:rPr>
          <w:rFonts w:hint="default"/>
          <w:lang w:val="en-US" w:eastAsia="zh-CN"/>
        </w:rPr>
        <w:t>以东天山区域生态系统为核心</w:t>
      </w:r>
      <w:r>
        <w:rPr>
          <w:rFonts w:hint="eastAsia"/>
          <w:lang w:val="en-US" w:eastAsia="zh-CN"/>
        </w:rPr>
        <w:t>，</w:t>
      </w:r>
      <w:r>
        <w:rPr>
          <w:rFonts w:hint="default"/>
          <w:lang w:val="en-US" w:eastAsia="zh-CN"/>
        </w:rPr>
        <w:t>依托伊吾河流域水系</w:t>
      </w:r>
      <w:r>
        <w:rPr>
          <w:rFonts w:hint="eastAsia"/>
          <w:lang w:val="en-US" w:eastAsia="zh-CN"/>
        </w:rPr>
        <w:t>，</w:t>
      </w:r>
      <w:r>
        <w:rPr>
          <w:rFonts w:hint="default"/>
          <w:lang w:val="en-US" w:eastAsia="zh-CN"/>
        </w:rPr>
        <w:t>以及喀尔里克山北坡山地森林带、淖毛湖荒漠林带等林带绿廊</w:t>
      </w:r>
      <w:r>
        <w:rPr>
          <w:rFonts w:hint="eastAsia"/>
          <w:lang w:val="en-US" w:eastAsia="zh-CN"/>
        </w:rPr>
        <w:t>，</w:t>
      </w:r>
      <w:r>
        <w:rPr>
          <w:rFonts w:hint="default"/>
          <w:lang w:val="en-US" w:eastAsia="zh-CN"/>
        </w:rPr>
        <w:t>构建连接各保护地的生态廊道网络</w:t>
      </w:r>
      <w:r>
        <w:rPr>
          <w:rFonts w:hint="eastAsia"/>
          <w:lang w:val="en-US" w:eastAsia="zh-CN"/>
        </w:rPr>
        <w:t>，</w:t>
      </w:r>
      <w:r>
        <w:rPr>
          <w:rFonts w:hint="default"/>
          <w:lang w:val="en-US" w:eastAsia="zh-CN"/>
        </w:rPr>
        <w:t>保障野生动物迁徙通道畅通</w:t>
      </w:r>
      <w:r>
        <w:rPr>
          <w:rFonts w:hint="eastAsia"/>
          <w:lang w:val="en-US" w:eastAsia="zh-CN"/>
        </w:rPr>
        <w:t>，</w:t>
      </w:r>
      <w:r>
        <w:rPr>
          <w:rFonts w:hint="default"/>
          <w:lang w:val="en-US" w:eastAsia="zh-CN"/>
        </w:rPr>
        <w:t>减少对栖息地的切割和破碎化影响。在生态廊道关键节点实施栖息地修复工程</w:t>
      </w:r>
      <w:r>
        <w:rPr>
          <w:rFonts w:hint="eastAsia"/>
          <w:lang w:val="en-US" w:eastAsia="zh-CN"/>
        </w:rPr>
        <w:t>，</w:t>
      </w:r>
      <w:r>
        <w:rPr>
          <w:rFonts w:hint="default"/>
          <w:lang w:val="en-US" w:eastAsia="zh-CN"/>
        </w:rPr>
        <w:t>通过植被恢复、水源保障、配备辅助设施等措施</w:t>
      </w:r>
      <w:r>
        <w:rPr>
          <w:rFonts w:hint="eastAsia"/>
          <w:lang w:val="en-US" w:eastAsia="zh-CN"/>
        </w:rPr>
        <w:t>，</w:t>
      </w:r>
      <w:r>
        <w:rPr>
          <w:rFonts w:hint="default"/>
          <w:lang w:val="en-US" w:eastAsia="zh-CN"/>
        </w:rPr>
        <w:t>改善生态廊道连通性和生境质量。</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加强重点物种栖息地保护修复</w:t>
      </w:r>
      <w:r>
        <w:rPr>
          <w:rFonts w:hint="eastAsia"/>
          <w:lang w:val="en-US" w:eastAsia="zh-CN"/>
        </w:rPr>
        <w:t>，</w:t>
      </w:r>
      <w:r>
        <w:rPr>
          <w:rFonts w:hint="default"/>
          <w:lang w:val="en-US" w:eastAsia="zh-CN"/>
        </w:rPr>
        <w:t>针对双峰野骆驼、蒙古野驴、马鹿、盘羊、北山羊、</w:t>
      </w:r>
      <w:r>
        <w:rPr>
          <w:rFonts w:hint="eastAsia"/>
          <w:lang w:val="en-US" w:eastAsia="zh-CN"/>
        </w:rPr>
        <w:t>鹅喉羚</w:t>
      </w:r>
      <w:r>
        <w:rPr>
          <w:rFonts w:hint="default"/>
          <w:lang w:val="en-US" w:eastAsia="zh-CN"/>
        </w:rPr>
        <w:t>、雪鸡、金雕、红隼等国家一、二级保护动物</w:t>
      </w:r>
      <w:r>
        <w:rPr>
          <w:rFonts w:hint="eastAsia"/>
          <w:lang w:val="en-US" w:eastAsia="zh-CN"/>
        </w:rPr>
        <w:t>，</w:t>
      </w:r>
      <w:r>
        <w:rPr>
          <w:rFonts w:hint="default"/>
          <w:lang w:val="en-US" w:eastAsia="zh-CN"/>
        </w:rPr>
        <w:t>划定重要栖息地保护范围</w:t>
      </w:r>
      <w:r>
        <w:rPr>
          <w:rFonts w:hint="eastAsia"/>
          <w:lang w:val="en-US" w:eastAsia="zh-CN"/>
        </w:rPr>
        <w:t>，</w:t>
      </w:r>
      <w:r>
        <w:rPr>
          <w:rFonts w:hint="default"/>
          <w:lang w:val="en-US" w:eastAsia="zh-CN"/>
        </w:rPr>
        <w:t>实施严格保护措施</w:t>
      </w:r>
      <w:r>
        <w:rPr>
          <w:rFonts w:hint="eastAsia"/>
          <w:lang w:val="en-US" w:eastAsia="zh-CN"/>
        </w:rPr>
        <w:t>，</w:t>
      </w:r>
      <w:r>
        <w:rPr>
          <w:rFonts w:hint="default"/>
          <w:lang w:val="en-US" w:eastAsia="zh-CN"/>
        </w:rPr>
        <w:t>严禁破坏性开发活动。实施栖息地生态修复工程</w:t>
      </w:r>
      <w:r>
        <w:rPr>
          <w:rFonts w:hint="eastAsia"/>
          <w:lang w:val="en-US" w:eastAsia="zh-CN"/>
        </w:rPr>
        <w:t>，</w:t>
      </w:r>
      <w:r>
        <w:rPr>
          <w:rFonts w:hint="default"/>
          <w:lang w:val="en-US" w:eastAsia="zh-CN"/>
        </w:rPr>
        <w:t>通过封育保护、植被恢复、水源涵养林建设等措施</w:t>
      </w:r>
      <w:r>
        <w:rPr>
          <w:rFonts w:hint="eastAsia"/>
          <w:lang w:val="en-US" w:eastAsia="zh-CN"/>
        </w:rPr>
        <w:t>，</w:t>
      </w:r>
      <w:r>
        <w:rPr>
          <w:rFonts w:hint="default"/>
          <w:lang w:val="en-US" w:eastAsia="zh-CN"/>
        </w:rPr>
        <w:t>改善野生动物生存环境。在野生动物活动频繁区域、季节性缺水区域建设引水设施</w:t>
      </w:r>
      <w:r>
        <w:rPr>
          <w:rFonts w:hint="eastAsia"/>
          <w:lang w:val="en-US" w:eastAsia="zh-CN"/>
        </w:rPr>
        <w:t>，</w:t>
      </w:r>
      <w:r>
        <w:rPr>
          <w:rFonts w:hint="default"/>
          <w:lang w:val="en-US" w:eastAsia="zh-CN"/>
        </w:rPr>
        <w:t>保障野生动物饮水需求。强化冬春季野生动物投食补饲工作</w:t>
      </w:r>
      <w:r>
        <w:rPr>
          <w:rFonts w:hint="eastAsia"/>
          <w:lang w:val="en-US" w:eastAsia="zh-CN"/>
        </w:rPr>
        <w:t>，</w:t>
      </w:r>
      <w:r>
        <w:rPr>
          <w:rFonts w:hint="default"/>
          <w:lang w:val="en-US" w:eastAsia="zh-CN"/>
        </w:rPr>
        <w:t>帮助野生动物安全越冬。提升野生动物救护基础设施和救护能力</w:t>
      </w:r>
      <w:r>
        <w:rPr>
          <w:rFonts w:hint="eastAsia"/>
          <w:lang w:val="en-US" w:eastAsia="zh-CN"/>
        </w:rPr>
        <w:t>，</w:t>
      </w:r>
      <w:r>
        <w:rPr>
          <w:rFonts w:hint="default"/>
          <w:lang w:val="en-US" w:eastAsia="zh-CN"/>
        </w:rPr>
        <w:t>配备专业救护设备和技术人员</w:t>
      </w:r>
      <w:r>
        <w:rPr>
          <w:rFonts w:hint="eastAsia"/>
          <w:lang w:val="en-US" w:eastAsia="zh-CN"/>
        </w:rPr>
        <w:t>，</w:t>
      </w:r>
      <w:r>
        <w:rPr>
          <w:rFonts w:hint="default"/>
          <w:lang w:val="en-US" w:eastAsia="zh-CN"/>
        </w:rPr>
        <w:t>提高野生动物救护成功率和放归质量。</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完善野生植物保护管理</w:t>
      </w:r>
      <w:r>
        <w:rPr>
          <w:rFonts w:hint="eastAsia"/>
          <w:lang w:val="en-US" w:eastAsia="zh-CN"/>
        </w:rPr>
        <w:t>，</w:t>
      </w:r>
      <w:r>
        <w:rPr>
          <w:rFonts w:hint="default"/>
          <w:lang w:val="en-US" w:eastAsia="zh-CN"/>
        </w:rPr>
        <w:t>对贝母、麻黄、甘草、肉苁蓉、大芸等珍稀濒危野生植物和野生药用植物</w:t>
      </w:r>
      <w:r>
        <w:rPr>
          <w:rFonts w:hint="eastAsia"/>
          <w:lang w:val="en-US" w:eastAsia="zh-CN"/>
        </w:rPr>
        <w:t>，</w:t>
      </w:r>
      <w:r>
        <w:rPr>
          <w:rFonts w:hint="default"/>
          <w:lang w:val="en-US" w:eastAsia="zh-CN"/>
        </w:rPr>
        <w:t>实施禁采封育保护</w:t>
      </w:r>
      <w:r>
        <w:rPr>
          <w:rFonts w:hint="eastAsia"/>
          <w:lang w:val="en-US" w:eastAsia="zh-CN"/>
        </w:rPr>
        <w:t>，</w:t>
      </w:r>
      <w:r>
        <w:rPr>
          <w:rFonts w:hint="default"/>
          <w:lang w:val="en-US" w:eastAsia="zh-CN"/>
        </w:rPr>
        <w:t>严格控制采集、收购、调运活动。在珍稀植物集中分布区</w:t>
      </w:r>
      <w:r>
        <w:rPr>
          <w:rFonts w:hint="eastAsia"/>
          <w:lang w:val="en-US" w:eastAsia="zh-CN"/>
        </w:rPr>
        <w:t>，</w:t>
      </w:r>
      <w:r>
        <w:rPr>
          <w:rFonts w:hint="default"/>
          <w:lang w:val="en-US" w:eastAsia="zh-CN"/>
        </w:rPr>
        <w:t>增设警示牌、宣传墙</w:t>
      </w:r>
      <w:r>
        <w:rPr>
          <w:rFonts w:hint="eastAsia"/>
          <w:lang w:val="en-US" w:eastAsia="zh-CN"/>
        </w:rPr>
        <w:t>，</w:t>
      </w:r>
      <w:r>
        <w:rPr>
          <w:rFonts w:hint="default"/>
          <w:lang w:val="en-US" w:eastAsia="zh-CN"/>
        </w:rPr>
        <w:t>加强巡护监管</w:t>
      </w:r>
      <w:r>
        <w:rPr>
          <w:rFonts w:hint="eastAsia"/>
          <w:lang w:val="en-US" w:eastAsia="zh-CN"/>
        </w:rPr>
        <w:t>，</w:t>
      </w:r>
      <w:r>
        <w:rPr>
          <w:rFonts w:hint="default"/>
          <w:lang w:val="en-US" w:eastAsia="zh-CN"/>
        </w:rPr>
        <w:t>为珍稀物种创造适宜生存环境。建立野生植物资源调查监测制度</w:t>
      </w:r>
      <w:r>
        <w:rPr>
          <w:rFonts w:hint="eastAsia"/>
          <w:lang w:val="en-US" w:eastAsia="zh-CN"/>
        </w:rPr>
        <w:t>，</w:t>
      </w:r>
      <w:r>
        <w:rPr>
          <w:rFonts w:hint="default"/>
          <w:lang w:val="en-US" w:eastAsia="zh-CN"/>
        </w:rPr>
        <w:t>定期开展珍稀濒危物种调查</w:t>
      </w:r>
      <w:r>
        <w:rPr>
          <w:rFonts w:hint="eastAsia"/>
          <w:lang w:val="en-US" w:eastAsia="zh-CN"/>
        </w:rPr>
        <w:t>，</w:t>
      </w:r>
      <w:r>
        <w:rPr>
          <w:rFonts w:hint="default"/>
          <w:lang w:val="en-US" w:eastAsia="zh-CN"/>
        </w:rPr>
        <w:t>掌握种群数量、分布范围、生境状况等基础信息</w:t>
      </w:r>
      <w:r>
        <w:rPr>
          <w:rFonts w:hint="eastAsia"/>
          <w:lang w:val="en-US" w:eastAsia="zh-CN"/>
        </w:rPr>
        <w:t>，</w:t>
      </w:r>
      <w:r>
        <w:rPr>
          <w:rFonts w:hint="default"/>
          <w:lang w:val="en-US" w:eastAsia="zh-CN"/>
        </w:rPr>
        <w:t>建立野生植物资源数据库。开展珍稀濒危植物人工繁育和迁地保护研究</w:t>
      </w:r>
      <w:r>
        <w:rPr>
          <w:rFonts w:hint="eastAsia"/>
          <w:lang w:val="en-US" w:eastAsia="zh-CN"/>
        </w:rPr>
        <w:t>，</w:t>
      </w:r>
      <w:r>
        <w:rPr>
          <w:rFonts w:hint="default"/>
          <w:lang w:val="en-US" w:eastAsia="zh-CN"/>
        </w:rPr>
        <w:t>探索就地保护与迁地保护相结合的保护模式。</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强化执法监管和社会参与</w:t>
      </w:r>
      <w:r>
        <w:rPr>
          <w:rFonts w:hint="eastAsia"/>
          <w:lang w:val="en-US" w:eastAsia="zh-CN"/>
        </w:rPr>
        <w:t>，</w:t>
      </w:r>
      <w:r>
        <w:rPr>
          <w:rFonts w:hint="default"/>
          <w:lang w:val="en-US" w:eastAsia="zh-CN"/>
        </w:rPr>
        <w:t>持续开展打击野生动植物非法贸易联合行动</w:t>
      </w:r>
      <w:r>
        <w:rPr>
          <w:rFonts w:hint="eastAsia"/>
          <w:lang w:val="en-US" w:eastAsia="zh-CN"/>
        </w:rPr>
        <w:t>，</w:t>
      </w:r>
      <w:r>
        <w:rPr>
          <w:rFonts w:hint="default"/>
          <w:lang w:val="en-US" w:eastAsia="zh-CN"/>
        </w:rPr>
        <w:t>加大对非法猎捕、采挖、交易野生动植物及其制品违法行为的查处力度</w:t>
      </w:r>
      <w:r>
        <w:rPr>
          <w:rFonts w:hint="eastAsia"/>
          <w:lang w:val="en-US" w:eastAsia="zh-CN"/>
        </w:rPr>
        <w:t>，</w:t>
      </w:r>
      <w:r>
        <w:rPr>
          <w:rFonts w:hint="default"/>
          <w:lang w:val="en-US" w:eastAsia="zh-CN"/>
        </w:rPr>
        <w:t>形成有效震慑。完善野生动物疫源疫病监测防控体系</w:t>
      </w:r>
      <w:r>
        <w:rPr>
          <w:rFonts w:hint="eastAsia"/>
          <w:lang w:val="en-US" w:eastAsia="zh-CN"/>
        </w:rPr>
        <w:t>，</w:t>
      </w:r>
      <w:r>
        <w:rPr>
          <w:rFonts w:hint="default"/>
          <w:lang w:val="en-US" w:eastAsia="zh-CN"/>
        </w:rPr>
        <w:t>按照野生禽类、迁徙候鸟分布、通道、栖息地确定监测重点</w:t>
      </w:r>
      <w:r>
        <w:rPr>
          <w:rFonts w:hint="eastAsia"/>
          <w:lang w:val="en-US" w:eastAsia="zh-CN"/>
        </w:rPr>
        <w:t>，</w:t>
      </w:r>
      <w:r>
        <w:rPr>
          <w:rFonts w:hint="default"/>
          <w:lang w:val="en-US" w:eastAsia="zh-CN"/>
        </w:rPr>
        <w:t>加大巡查力度、加密巡查线路、增加巡查时间</w:t>
      </w:r>
      <w:r>
        <w:rPr>
          <w:rFonts w:hint="eastAsia"/>
          <w:lang w:val="en-US" w:eastAsia="zh-CN"/>
        </w:rPr>
        <w:t>，</w:t>
      </w:r>
      <w:r>
        <w:rPr>
          <w:rFonts w:hint="default"/>
          <w:lang w:val="en-US" w:eastAsia="zh-CN"/>
        </w:rPr>
        <w:t>在鸟类活动高峰时进行重点巡护监测</w:t>
      </w:r>
      <w:r>
        <w:rPr>
          <w:rFonts w:hint="eastAsia"/>
          <w:lang w:val="en-US" w:eastAsia="zh-CN"/>
        </w:rPr>
        <w:t>，</w:t>
      </w:r>
      <w:r>
        <w:rPr>
          <w:rFonts w:hint="default"/>
          <w:lang w:val="en-US" w:eastAsia="zh-CN"/>
        </w:rPr>
        <w:t>构建疫源疫病防控屏障。探索野生动物致害防控机制</w:t>
      </w:r>
      <w:r>
        <w:rPr>
          <w:rFonts w:hint="eastAsia"/>
          <w:lang w:val="en-US" w:eastAsia="zh-CN"/>
        </w:rPr>
        <w:t>，</w:t>
      </w:r>
      <w:r>
        <w:rPr>
          <w:rFonts w:hint="default"/>
          <w:lang w:val="en-US" w:eastAsia="zh-CN"/>
        </w:rPr>
        <w:t>推动野生动物致害补偿纳入政策性农业保险</w:t>
      </w:r>
      <w:r>
        <w:rPr>
          <w:rFonts w:hint="eastAsia"/>
          <w:lang w:val="en-US" w:eastAsia="zh-CN"/>
        </w:rPr>
        <w:t>，</w:t>
      </w:r>
      <w:r>
        <w:rPr>
          <w:rFonts w:hint="default"/>
          <w:lang w:val="en-US" w:eastAsia="zh-CN"/>
        </w:rPr>
        <w:t>减轻农牧民损失</w:t>
      </w:r>
      <w:r>
        <w:rPr>
          <w:rFonts w:hint="eastAsia"/>
          <w:lang w:val="en-US" w:eastAsia="zh-CN"/>
        </w:rPr>
        <w:t>，</w:t>
      </w:r>
      <w:r>
        <w:rPr>
          <w:rFonts w:hint="default"/>
          <w:lang w:val="en-US" w:eastAsia="zh-CN"/>
        </w:rPr>
        <w:t>促进人与自然和谐共生。广泛开展生物多样性保护宣传教育</w:t>
      </w:r>
      <w:r>
        <w:rPr>
          <w:rFonts w:hint="eastAsia"/>
          <w:lang w:val="en-US" w:eastAsia="zh-CN"/>
        </w:rPr>
        <w:t>，</w:t>
      </w:r>
      <w:r>
        <w:rPr>
          <w:rFonts w:hint="default"/>
          <w:lang w:val="en-US" w:eastAsia="zh-CN"/>
        </w:rPr>
        <w:t>提升公众保护意识</w:t>
      </w:r>
      <w:r>
        <w:rPr>
          <w:rFonts w:hint="eastAsia"/>
          <w:lang w:val="en-US" w:eastAsia="zh-CN"/>
        </w:rPr>
        <w:t>，</w:t>
      </w:r>
      <w:r>
        <w:rPr>
          <w:rFonts w:hint="default"/>
          <w:lang w:val="en-US" w:eastAsia="zh-CN"/>
        </w:rPr>
        <w:t>鼓励社会组织和公众参与保护行动</w:t>
      </w:r>
      <w:r>
        <w:rPr>
          <w:rFonts w:hint="eastAsia"/>
          <w:lang w:val="en-US" w:eastAsia="zh-CN"/>
        </w:rPr>
        <w:t>，</w:t>
      </w:r>
      <w:r>
        <w:rPr>
          <w:rFonts w:hint="default"/>
          <w:lang w:val="en-US" w:eastAsia="zh-CN"/>
        </w:rPr>
        <w:t>营造全社会共同保护生物多样性的良好氛围。</w:t>
      </w:r>
    </w:p>
    <w:p>
      <w:pPr>
        <w:pStyle w:val="4"/>
        <w:numPr>
          <w:ilvl w:val="0"/>
          <w:numId w:val="15"/>
        </w:numPr>
        <w:bidi w:val="0"/>
        <w:rPr>
          <w:rFonts w:hint="eastAsia"/>
          <w:lang w:val="en-US" w:eastAsia="zh-CN"/>
        </w:rPr>
      </w:pPr>
      <w:bookmarkStart w:id="96" w:name="_Toc26740"/>
      <w:r>
        <w:rPr>
          <w:rFonts w:hint="eastAsia"/>
          <w:lang w:val="en-US" w:eastAsia="zh-CN"/>
        </w:rPr>
        <w:t>林地生产力系统维护</w:t>
      </w:r>
      <w:bookmarkEnd w:id="96"/>
    </w:p>
    <w:p>
      <w:pPr>
        <w:pStyle w:val="7"/>
        <w:bidi w:val="0"/>
        <w:rPr>
          <w:rFonts w:hint="default"/>
          <w:lang w:val="en-US" w:eastAsia="zh-CN"/>
        </w:rPr>
      </w:pPr>
      <w:r>
        <w:rPr>
          <w:rFonts w:hint="default"/>
          <w:lang w:val="en-US" w:eastAsia="zh-CN"/>
        </w:rPr>
        <w:t>严格天然林保护制度落实</w:t>
      </w:r>
      <w:r>
        <w:rPr>
          <w:rFonts w:hint="eastAsia"/>
          <w:lang w:val="en-US" w:eastAsia="zh-CN"/>
        </w:rPr>
        <w:t>，</w:t>
      </w:r>
      <w:r>
        <w:rPr>
          <w:rFonts w:hint="default"/>
          <w:lang w:val="en-US" w:eastAsia="zh-CN"/>
        </w:rPr>
        <w:t>全面执行天然林全面停止商业性采伐政策</w:t>
      </w:r>
      <w:r>
        <w:rPr>
          <w:rFonts w:hint="eastAsia"/>
          <w:lang w:val="en-US" w:eastAsia="zh-CN"/>
        </w:rPr>
        <w:t>，</w:t>
      </w:r>
      <w:r>
        <w:rPr>
          <w:rFonts w:hint="default"/>
          <w:lang w:val="en-US" w:eastAsia="zh-CN"/>
        </w:rPr>
        <w:t>严禁任何形式的商业性采伐活动。强化天然林用途管制</w:t>
      </w:r>
      <w:r>
        <w:rPr>
          <w:rFonts w:hint="eastAsia"/>
          <w:lang w:val="en-US" w:eastAsia="zh-CN"/>
        </w:rPr>
        <w:t>，</w:t>
      </w:r>
      <w:r>
        <w:rPr>
          <w:rFonts w:hint="default"/>
          <w:lang w:val="en-US" w:eastAsia="zh-CN"/>
        </w:rPr>
        <w:t>严格控制天然林地转为其他用途。严格执行生态保护红线管理要求</w:t>
      </w:r>
      <w:r>
        <w:rPr>
          <w:rFonts w:hint="eastAsia"/>
          <w:lang w:val="en-US" w:eastAsia="zh-CN"/>
        </w:rPr>
        <w:t>，</w:t>
      </w:r>
      <w:r>
        <w:rPr>
          <w:rFonts w:hint="default"/>
          <w:lang w:val="en-US" w:eastAsia="zh-CN"/>
        </w:rPr>
        <w:t>生态保护红线内天然林面积占红线内林地面积的99.97%，严格控制天然林地转为其他用途</w:t>
      </w:r>
      <w:r>
        <w:rPr>
          <w:rFonts w:hint="eastAsia"/>
          <w:lang w:val="en-US" w:eastAsia="zh-CN"/>
        </w:rPr>
        <w:t>，</w:t>
      </w:r>
      <w:r>
        <w:rPr>
          <w:rFonts w:hint="default"/>
          <w:lang w:val="en-US" w:eastAsia="zh-CN"/>
        </w:rPr>
        <w:t>禁止毁林开垦等破坏天然林及其生态环境的行为。加大依法治林力度</w:t>
      </w:r>
      <w:r>
        <w:rPr>
          <w:rFonts w:hint="eastAsia"/>
          <w:lang w:val="en-US" w:eastAsia="zh-CN"/>
        </w:rPr>
        <w:t>，</w:t>
      </w:r>
      <w:r>
        <w:rPr>
          <w:rFonts w:hint="default"/>
          <w:lang w:val="en-US" w:eastAsia="zh-CN"/>
        </w:rPr>
        <w:t>联合森林公安、林政执法队伍严厉打击破坏森林资源违法行为</w:t>
      </w:r>
      <w:r>
        <w:rPr>
          <w:rFonts w:hint="eastAsia"/>
          <w:lang w:val="en-US" w:eastAsia="zh-CN"/>
        </w:rPr>
        <w:t>，</w:t>
      </w:r>
      <w:r>
        <w:rPr>
          <w:rFonts w:hint="default"/>
          <w:lang w:val="en-US" w:eastAsia="zh-CN"/>
        </w:rPr>
        <w:t>对盗伐滥伐、毁林开垦、非法占用林地等行为依法严肃查处</w:t>
      </w:r>
      <w:r>
        <w:rPr>
          <w:rFonts w:hint="eastAsia"/>
          <w:lang w:val="en-US" w:eastAsia="zh-CN"/>
        </w:rPr>
        <w:t>，</w:t>
      </w:r>
      <w:r>
        <w:rPr>
          <w:rFonts w:hint="default"/>
          <w:lang w:val="en-US" w:eastAsia="zh-CN"/>
        </w:rPr>
        <w:t>确保案件办结率达到100%</w:t>
      </w:r>
      <w:r>
        <w:rPr>
          <w:rFonts w:hint="eastAsia"/>
          <w:lang w:val="en-US" w:eastAsia="zh-CN"/>
        </w:rPr>
        <w:t>，</w:t>
      </w:r>
      <w:r>
        <w:rPr>
          <w:rFonts w:hint="default"/>
          <w:lang w:val="en-US" w:eastAsia="zh-CN"/>
        </w:rPr>
        <w:t>从制度层面筑牢天然林保护防线。</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建立水资源承载力刚性约束机制</w:t>
      </w:r>
      <w:r>
        <w:rPr>
          <w:rFonts w:hint="eastAsia"/>
          <w:lang w:val="en-US" w:eastAsia="zh-CN"/>
        </w:rPr>
        <w:t>，</w:t>
      </w:r>
      <w:r>
        <w:rPr>
          <w:rFonts w:hint="default"/>
          <w:lang w:val="en-US" w:eastAsia="zh-CN"/>
        </w:rPr>
        <w:t>科学划定天然林生态用水红线</w:t>
      </w:r>
      <w:r>
        <w:rPr>
          <w:rFonts w:hint="eastAsia"/>
          <w:lang w:val="en-US" w:eastAsia="zh-CN"/>
        </w:rPr>
        <w:t>，</w:t>
      </w:r>
      <w:r>
        <w:rPr>
          <w:rFonts w:hint="default"/>
          <w:lang w:val="en-US" w:eastAsia="zh-CN"/>
        </w:rPr>
        <w:t>保障天然林基本生态用水需求。在天然林保护修复规划和工程实施中</w:t>
      </w:r>
      <w:r>
        <w:rPr>
          <w:rFonts w:hint="eastAsia"/>
          <w:lang w:val="en-US" w:eastAsia="zh-CN"/>
        </w:rPr>
        <w:t>，</w:t>
      </w:r>
      <w:r>
        <w:rPr>
          <w:rFonts w:hint="default"/>
          <w:lang w:val="en-US" w:eastAsia="zh-CN"/>
        </w:rPr>
        <w:t>严格按照水资源承载能力确定保护修复布局和任务规模</w:t>
      </w:r>
      <w:r>
        <w:rPr>
          <w:rFonts w:hint="eastAsia"/>
          <w:lang w:val="en-US" w:eastAsia="zh-CN"/>
        </w:rPr>
        <w:t>，</w:t>
      </w:r>
      <w:r>
        <w:rPr>
          <w:rFonts w:hint="default"/>
          <w:lang w:val="en-US" w:eastAsia="zh-CN"/>
        </w:rPr>
        <w:t>坚决防止不顾水资源条件的盲目扩张。探索实施引洪灌溉、节水滴灌等工程措施</w:t>
      </w:r>
      <w:r>
        <w:rPr>
          <w:rFonts w:hint="eastAsia"/>
          <w:lang w:val="en-US" w:eastAsia="zh-CN"/>
        </w:rPr>
        <w:t>，</w:t>
      </w:r>
      <w:r>
        <w:rPr>
          <w:rFonts w:hint="default"/>
          <w:lang w:val="en-US" w:eastAsia="zh-CN"/>
        </w:rPr>
        <w:t>在水源条件允许区域适度开展人工补水</w:t>
      </w:r>
      <w:r>
        <w:rPr>
          <w:rFonts w:hint="eastAsia"/>
          <w:lang w:val="en-US" w:eastAsia="zh-CN"/>
        </w:rPr>
        <w:t>，</w:t>
      </w:r>
      <w:r>
        <w:rPr>
          <w:rFonts w:hint="default"/>
          <w:lang w:val="en-US" w:eastAsia="zh-CN"/>
        </w:rPr>
        <w:t>遏制荒漠林分退化趋势。充分利用伊吾河流域水系</w:t>
      </w:r>
      <w:r>
        <w:rPr>
          <w:rFonts w:hint="eastAsia"/>
          <w:lang w:val="en-US" w:eastAsia="zh-CN"/>
        </w:rPr>
        <w:t>，</w:t>
      </w:r>
      <w:r>
        <w:rPr>
          <w:rFonts w:hint="default"/>
          <w:lang w:val="en-US" w:eastAsia="zh-CN"/>
        </w:rPr>
        <w:t>科学调配生态用水</w:t>
      </w:r>
      <w:r>
        <w:rPr>
          <w:rFonts w:hint="eastAsia"/>
          <w:lang w:val="en-US" w:eastAsia="zh-CN"/>
        </w:rPr>
        <w:t>，</w:t>
      </w:r>
      <w:r>
        <w:rPr>
          <w:rFonts w:hint="default"/>
          <w:lang w:val="en-US" w:eastAsia="zh-CN"/>
        </w:rPr>
        <w:t>优先保障重点区域天然林生态用水需求。</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科学实施退化林修复工程</w:t>
      </w:r>
      <w:r>
        <w:rPr>
          <w:rFonts w:hint="eastAsia"/>
          <w:lang w:val="en-US" w:eastAsia="zh-CN"/>
        </w:rPr>
        <w:t>，</w:t>
      </w:r>
      <w:r>
        <w:rPr>
          <w:rFonts w:hint="default"/>
          <w:lang w:val="en-US" w:eastAsia="zh-CN"/>
        </w:rPr>
        <w:t>对水源条件较好、具备恢复潜力的退化林分</w:t>
      </w:r>
      <w:r>
        <w:rPr>
          <w:rFonts w:hint="eastAsia"/>
          <w:lang w:val="en-US" w:eastAsia="zh-CN"/>
        </w:rPr>
        <w:t>，</w:t>
      </w:r>
      <w:r>
        <w:rPr>
          <w:rFonts w:hint="default"/>
          <w:lang w:val="en-US" w:eastAsia="zh-CN"/>
        </w:rPr>
        <w:t>科学制定修复方案</w:t>
      </w:r>
      <w:r>
        <w:rPr>
          <w:rFonts w:hint="eastAsia"/>
          <w:lang w:val="en-US" w:eastAsia="zh-CN"/>
        </w:rPr>
        <w:t>，</w:t>
      </w:r>
      <w:r>
        <w:rPr>
          <w:rFonts w:hint="default"/>
          <w:lang w:val="en-US" w:eastAsia="zh-CN"/>
        </w:rPr>
        <w:t>采取封育管护、补植补造、林分改造等措施</w:t>
      </w:r>
      <w:r>
        <w:rPr>
          <w:rFonts w:hint="eastAsia"/>
          <w:lang w:val="en-US" w:eastAsia="zh-CN"/>
        </w:rPr>
        <w:t>，</w:t>
      </w:r>
      <w:r>
        <w:rPr>
          <w:rFonts w:hint="default"/>
          <w:lang w:val="en-US" w:eastAsia="zh-CN"/>
        </w:rPr>
        <w:t>促进森林自然恢复和质量提升。针对自然灾害后的残次林</w:t>
      </w:r>
      <w:r>
        <w:rPr>
          <w:rFonts w:hint="eastAsia"/>
          <w:lang w:val="en-US" w:eastAsia="zh-CN"/>
        </w:rPr>
        <w:t>，</w:t>
      </w:r>
      <w:r>
        <w:rPr>
          <w:rFonts w:hint="default"/>
          <w:lang w:val="en-US" w:eastAsia="zh-CN"/>
        </w:rPr>
        <w:t>实施系统重建工程</w:t>
      </w:r>
      <w:r>
        <w:rPr>
          <w:rFonts w:hint="eastAsia"/>
          <w:lang w:val="en-US" w:eastAsia="zh-CN"/>
        </w:rPr>
        <w:t>，</w:t>
      </w:r>
      <w:r>
        <w:rPr>
          <w:rFonts w:hint="default"/>
          <w:lang w:val="en-US" w:eastAsia="zh-CN"/>
        </w:rPr>
        <w:t>通过虫害疫木清理、伐根处理、植被重建等综合生态修复技术</w:t>
      </w:r>
      <w:r>
        <w:rPr>
          <w:rFonts w:hint="eastAsia"/>
          <w:lang w:val="en-US" w:eastAsia="zh-CN"/>
        </w:rPr>
        <w:t>，</w:t>
      </w:r>
      <w:r>
        <w:rPr>
          <w:rFonts w:hint="default"/>
          <w:lang w:val="en-US" w:eastAsia="zh-CN"/>
        </w:rPr>
        <w:t>有效恢复受损天然林的生态功能</w:t>
      </w:r>
      <w:r>
        <w:rPr>
          <w:rFonts w:hint="eastAsia"/>
          <w:lang w:val="en-US" w:eastAsia="zh-CN"/>
        </w:rPr>
        <w:t>，</w:t>
      </w:r>
      <w:r>
        <w:rPr>
          <w:rFonts w:hint="default"/>
          <w:lang w:val="en-US" w:eastAsia="zh-CN"/>
        </w:rPr>
        <w:t>提升森林生态系统的抗灾能力和自我修复能力。坚持</w:t>
      </w:r>
      <w:r>
        <w:rPr>
          <w:rFonts w:hint="eastAsia"/>
          <w:lang w:val="en-US" w:eastAsia="zh-CN"/>
        </w:rPr>
        <w:t>“</w:t>
      </w:r>
      <w:r>
        <w:rPr>
          <w:rFonts w:hint="default"/>
          <w:lang w:val="en-US" w:eastAsia="zh-CN"/>
        </w:rPr>
        <w:t>先试点、后推广</w:t>
      </w:r>
      <w:r>
        <w:rPr>
          <w:rFonts w:hint="eastAsia"/>
          <w:lang w:val="en-US" w:eastAsia="zh-CN"/>
        </w:rPr>
        <w:t>”</w:t>
      </w:r>
      <w:r>
        <w:rPr>
          <w:rFonts w:hint="default"/>
          <w:lang w:val="en-US" w:eastAsia="zh-CN"/>
        </w:rPr>
        <w:t>的方式</w:t>
      </w:r>
      <w:r>
        <w:rPr>
          <w:rFonts w:hint="eastAsia"/>
          <w:lang w:val="en-US" w:eastAsia="zh-CN"/>
        </w:rPr>
        <w:t>，</w:t>
      </w:r>
      <w:r>
        <w:rPr>
          <w:rFonts w:hint="default"/>
          <w:lang w:val="en-US" w:eastAsia="zh-CN"/>
        </w:rPr>
        <w:t>先选择典型地块开展试点修复</w:t>
      </w:r>
      <w:r>
        <w:rPr>
          <w:rFonts w:hint="eastAsia"/>
          <w:lang w:val="en-US" w:eastAsia="zh-CN"/>
        </w:rPr>
        <w:t>，</w:t>
      </w:r>
      <w:r>
        <w:rPr>
          <w:rFonts w:hint="default"/>
          <w:lang w:val="en-US" w:eastAsia="zh-CN"/>
        </w:rPr>
        <w:t>重点跟踪实施措施效果和林分恢复动态</w:t>
      </w:r>
      <w:r>
        <w:rPr>
          <w:rFonts w:hint="eastAsia"/>
          <w:lang w:val="en-US" w:eastAsia="zh-CN"/>
        </w:rPr>
        <w:t>，</w:t>
      </w:r>
      <w:r>
        <w:rPr>
          <w:rFonts w:hint="default"/>
          <w:lang w:val="en-US" w:eastAsia="zh-CN"/>
        </w:rPr>
        <w:t>在综合评估系统重建成效和生态风险的基础上</w:t>
      </w:r>
      <w:r>
        <w:rPr>
          <w:rFonts w:hint="eastAsia"/>
          <w:lang w:val="en-US" w:eastAsia="zh-CN"/>
        </w:rPr>
        <w:t>，</w:t>
      </w:r>
      <w:r>
        <w:rPr>
          <w:rFonts w:hint="default"/>
          <w:lang w:val="en-US" w:eastAsia="zh-CN"/>
        </w:rPr>
        <w:t>稳妥扩大实施规模。鼓励以多树种、多层次混交造林模式替代单一纯林</w:t>
      </w:r>
      <w:r>
        <w:rPr>
          <w:rFonts w:hint="eastAsia"/>
          <w:lang w:val="en-US" w:eastAsia="zh-CN"/>
        </w:rPr>
        <w:t>，</w:t>
      </w:r>
      <w:r>
        <w:rPr>
          <w:rFonts w:hint="default"/>
          <w:lang w:val="en-US" w:eastAsia="zh-CN"/>
        </w:rPr>
        <w:t>适当增加本地灌木和草本植物配置</w:t>
      </w:r>
      <w:r>
        <w:rPr>
          <w:rFonts w:hint="eastAsia"/>
          <w:lang w:val="en-US" w:eastAsia="zh-CN"/>
        </w:rPr>
        <w:t>，</w:t>
      </w:r>
      <w:r>
        <w:rPr>
          <w:rFonts w:hint="default"/>
          <w:lang w:val="en-US" w:eastAsia="zh-CN"/>
        </w:rPr>
        <w:t>提高生物多样性和林分稳定性。</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加强森林资源动态监测评估</w:t>
      </w:r>
      <w:r>
        <w:rPr>
          <w:rFonts w:hint="eastAsia"/>
          <w:lang w:val="en-US" w:eastAsia="zh-CN"/>
        </w:rPr>
        <w:t>，</w:t>
      </w:r>
      <w:r>
        <w:rPr>
          <w:rFonts w:hint="default"/>
          <w:lang w:val="en-US" w:eastAsia="zh-CN"/>
        </w:rPr>
        <w:t>建立森林资源监测评估体系</w:t>
      </w:r>
      <w:r>
        <w:rPr>
          <w:rFonts w:hint="eastAsia"/>
          <w:lang w:val="en-US" w:eastAsia="zh-CN"/>
        </w:rPr>
        <w:t>，</w:t>
      </w:r>
      <w:r>
        <w:rPr>
          <w:rFonts w:hint="default"/>
          <w:lang w:val="en-US" w:eastAsia="zh-CN"/>
        </w:rPr>
        <w:t>定期开展林地质量监测、森林生长状况监测、生态功能评估</w:t>
      </w:r>
      <w:r>
        <w:rPr>
          <w:rFonts w:hint="eastAsia"/>
          <w:lang w:val="en-US" w:eastAsia="zh-CN"/>
        </w:rPr>
        <w:t>，</w:t>
      </w:r>
      <w:r>
        <w:rPr>
          <w:rFonts w:hint="default"/>
          <w:lang w:val="en-US" w:eastAsia="zh-CN"/>
        </w:rPr>
        <w:t>及时掌握天然林生长动态和生态功能变化。依托国家林草资源智慧管理平台，实现天然林资源动态监测和精细化管理</w:t>
      </w:r>
      <w:r>
        <w:rPr>
          <w:rFonts w:hint="eastAsia"/>
          <w:lang w:val="en-US" w:eastAsia="zh-CN"/>
        </w:rPr>
        <w:t>，</w:t>
      </w:r>
      <w:r>
        <w:rPr>
          <w:rFonts w:hint="default"/>
          <w:lang w:val="en-US" w:eastAsia="zh-CN"/>
        </w:rPr>
        <w:t>强化林班、小班精准管护。利用卫星遥感、无人机航拍等技术手段</w:t>
      </w:r>
      <w:r>
        <w:rPr>
          <w:rFonts w:hint="eastAsia"/>
          <w:lang w:val="en-US" w:eastAsia="zh-CN"/>
        </w:rPr>
        <w:t>，</w:t>
      </w:r>
      <w:r>
        <w:rPr>
          <w:rFonts w:hint="default"/>
          <w:lang w:val="en-US" w:eastAsia="zh-CN"/>
        </w:rPr>
        <w:t>开展天然林资源变化监测</w:t>
      </w:r>
      <w:r>
        <w:rPr>
          <w:rFonts w:hint="eastAsia"/>
          <w:lang w:val="en-US" w:eastAsia="zh-CN"/>
        </w:rPr>
        <w:t>，</w:t>
      </w:r>
      <w:r>
        <w:rPr>
          <w:rFonts w:hint="default"/>
          <w:lang w:val="en-US" w:eastAsia="zh-CN"/>
        </w:rPr>
        <w:t>及时发现违法占用林地、盗伐滥伐、林木枯死等异常情况</w:t>
      </w:r>
      <w:r>
        <w:rPr>
          <w:rFonts w:hint="eastAsia"/>
          <w:lang w:val="en-US" w:eastAsia="zh-CN"/>
        </w:rPr>
        <w:t>，</w:t>
      </w:r>
      <w:r>
        <w:rPr>
          <w:rFonts w:hint="default"/>
          <w:lang w:val="en-US" w:eastAsia="zh-CN"/>
        </w:rPr>
        <w:t>为科学保护决策提供数据支撑。建立天然林保护修复成效评估制度</w:t>
      </w:r>
      <w:r>
        <w:rPr>
          <w:rFonts w:hint="eastAsia"/>
          <w:lang w:val="en-US" w:eastAsia="zh-CN"/>
        </w:rPr>
        <w:t>，</w:t>
      </w:r>
      <w:r>
        <w:rPr>
          <w:rFonts w:hint="default"/>
          <w:lang w:val="en-US" w:eastAsia="zh-CN"/>
        </w:rPr>
        <w:t>定期评估管护措施落实情况、修复工程实施成效、生态功能提升程度</w:t>
      </w:r>
      <w:r>
        <w:rPr>
          <w:rFonts w:hint="eastAsia"/>
          <w:lang w:val="en-US" w:eastAsia="zh-CN"/>
        </w:rPr>
        <w:t>，</w:t>
      </w:r>
      <w:r>
        <w:rPr>
          <w:rFonts w:hint="default"/>
          <w:lang w:val="en-US" w:eastAsia="zh-CN"/>
        </w:rPr>
        <w:t>及时总结经验、发现问题、改进措施</w:t>
      </w:r>
      <w:r>
        <w:rPr>
          <w:rFonts w:hint="eastAsia"/>
          <w:lang w:val="en-US" w:eastAsia="zh-CN"/>
        </w:rPr>
        <w:t>，</w:t>
      </w:r>
      <w:r>
        <w:rPr>
          <w:rFonts w:hint="default"/>
          <w:lang w:val="en-US" w:eastAsia="zh-CN"/>
        </w:rPr>
        <w:t>确保天然林保护修复目标如期实现。</w:t>
      </w:r>
    </w:p>
    <w:p>
      <w:pPr>
        <w:pStyle w:val="3"/>
        <w:bidi w:val="0"/>
        <w:rPr>
          <w:rFonts w:hint="default"/>
          <w:lang w:val="en-US" w:eastAsia="zh-CN"/>
        </w:rPr>
      </w:pPr>
      <w:bookmarkStart w:id="97" w:name="_Toc29858"/>
      <w:r>
        <w:rPr>
          <w:rFonts w:hint="eastAsia"/>
          <w:lang w:val="en-US" w:eastAsia="zh-CN"/>
        </w:rPr>
        <w:t>第三节 全面管护</w:t>
      </w:r>
      <w:bookmarkEnd w:id="97"/>
    </w:p>
    <w:p>
      <w:pPr>
        <w:pStyle w:val="4"/>
        <w:numPr>
          <w:ilvl w:val="0"/>
          <w:numId w:val="22"/>
        </w:numPr>
        <w:bidi w:val="0"/>
        <w:ind w:left="840" w:leftChars="0" w:firstLineChars="0"/>
        <w:rPr>
          <w:rFonts w:hint="eastAsia"/>
          <w:lang w:val="en-US" w:eastAsia="zh-CN"/>
        </w:rPr>
      </w:pPr>
      <w:bookmarkStart w:id="98" w:name="_Toc19336"/>
      <w:r>
        <w:rPr>
          <w:rFonts w:hint="eastAsia"/>
          <w:lang w:val="en-US" w:eastAsia="zh-CN"/>
        </w:rPr>
        <w:t>管护任务统筹</w:t>
      </w:r>
      <w:bookmarkEnd w:id="98"/>
    </w:p>
    <w:p>
      <w:pPr>
        <w:pStyle w:val="7"/>
        <w:bidi w:val="0"/>
        <w:rPr>
          <w:rFonts w:hint="default"/>
          <w:lang w:val="en-US" w:eastAsia="zh-CN"/>
        </w:rPr>
      </w:pPr>
      <w:r>
        <w:rPr>
          <w:rFonts w:hint="default"/>
          <w:lang w:val="en-US" w:eastAsia="zh-CN"/>
        </w:rPr>
        <w:t>实施天然林与公益林一体化管护，</w:t>
      </w:r>
      <w:r>
        <w:rPr>
          <w:rFonts w:hint="eastAsia"/>
          <w:lang w:val="en-US" w:eastAsia="zh-CN"/>
        </w:rPr>
        <w:t>伊吾</w:t>
      </w:r>
      <w:r>
        <w:rPr>
          <w:rFonts w:hint="default"/>
          <w:lang w:val="en-US" w:eastAsia="zh-CN"/>
        </w:rPr>
        <w:t>县管护总面积</w:t>
      </w:r>
      <w:r>
        <w:rPr>
          <w:rFonts w:hint="eastAsia"/>
          <w:lang w:val="en-US" w:eastAsia="zh-CN"/>
        </w:rPr>
        <w:t>203.40</w:t>
      </w:r>
      <w:r>
        <w:rPr>
          <w:rFonts w:hint="default"/>
          <w:lang w:val="en-US" w:eastAsia="zh-CN"/>
        </w:rPr>
        <w:t>万亩，其中天然林</w:t>
      </w:r>
      <w:r>
        <w:rPr>
          <w:rFonts w:hint="eastAsia"/>
          <w:lang w:val="en-US" w:eastAsia="zh-CN"/>
        </w:rPr>
        <w:t>203.35</w:t>
      </w:r>
      <w:r>
        <w:rPr>
          <w:rFonts w:hint="default"/>
          <w:lang w:val="en-US" w:eastAsia="zh-CN"/>
        </w:rPr>
        <w:t>万亩</w:t>
      </w:r>
      <w:r>
        <w:rPr>
          <w:rFonts w:hint="eastAsia"/>
          <w:lang w:val="en-US" w:eastAsia="zh-CN"/>
        </w:rPr>
        <w:t>、非天然国家级公益林0.05万亩，</w:t>
      </w:r>
      <w:r>
        <w:rPr>
          <w:rFonts w:hint="default"/>
          <w:lang w:val="en-US" w:eastAsia="zh-CN"/>
        </w:rPr>
        <w:t>实现应保尽保、应管尽管。按照《新疆维吾尔自治区国家级公益林管护办法》相关规定，综合考虑</w:t>
      </w:r>
      <w:r>
        <w:rPr>
          <w:rFonts w:hint="eastAsia"/>
          <w:lang w:val="en-US" w:eastAsia="zh-CN"/>
        </w:rPr>
        <w:t>伊吾</w:t>
      </w:r>
      <w:r>
        <w:rPr>
          <w:rFonts w:hint="default"/>
          <w:lang w:val="en-US" w:eastAsia="zh-CN"/>
        </w:rPr>
        <w:t>县管护任务特点和人员配置需求，2026—2035年规划逐步优化管护人员结构</w:t>
      </w:r>
      <w:r>
        <w:rPr>
          <w:rFonts w:hint="eastAsia"/>
          <w:lang w:val="en-US" w:eastAsia="zh-CN"/>
        </w:rPr>
        <w:t>，</w:t>
      </w:r>
      <w:r>
        <w:rPr>
          <w:rFonts w:hint="default"/>
          <w:lang w:val="en-US" w:eastAsia="zh-CN"/>
        </w:rPr>
        <w:t>人均管护面积由2026年度的2.29万亩逐步增加至2035年度的2.99万亩。2026年度管护面积203.40万亩，配备一线管护人员89人；2027年度管护面积保持203.40万亩，一线管护人员83人，人均管护面积2.45万亩；2035年度一线管护人员调减至68人，人均管护面积2.99万亩，实现管护效率与管护质量的协调提升。</w:t>
      </w:r>
    </w:p>
    <w:p>
      <w:pPr>
        <w:pStyle w:val="6"/>
        <w:bidi w:val="0"/>
        <w:ind w:left="0" w:leftChars="0" w:firstLine="0" w:firstLineChars="0"/>
        <w:jc w:val="center"/>
        <w:rPr>
          <w:rFonts w:ascii="黑体" w:hAnsi="黑体" w:eastAsia="黑体" w:cs="黑体"/>
          <w:b/>
          <w:bCs/>
          <w:color w:val="FF0000"/>
          <w:spacing w:val="1"/>
          <w:sz w:val="25"/>
          <w:szCs w:val="25"/>
        </w:rPr>
      </w:pPr>
      <w:r>
        <w:rPr>
          <w:rFonts w:ascii="黑体" w:hAnsi="黑体" w:eastAsia="黑体" w:cs="黑体"/>
          <w:b/>
          <w:bCs/>
          <w:spacing w:val="1"/>
          <w:sz w:val="25"/>
          <w:szCs w:val="25"/>
        </w:rPr>
        <w:t>表4-</w:t>
      </w:r>
      <w:r>
        <w:rPr>
          <w:rFonts w:hint="eastAsia" w:ascii="黑体" w:hAnsi="黑体" w:eastAsia="黑体" w:cs="黑体"/>
          <w:b/>
          <w:bCs/>
          <w:spacing w:val="1"/>
          <w:sz w:val="25"/>
          <w:szCs w:val="25"/>
          <w:lang w:val="en-US" w:eastAsia="zh-CN"/>
        </w:rPr>
        <w:t>1</w:t>
      </w:r>
      <w:r>
        <w:rPr>
          <w:rFonts w:ascii="黑体" w:hAnsi="黑体" w:eastAsia="黑体" w:cs="黑体"/>
          <w:b/>
          <w:bCs/>
          <w:spacing w:val="1"/>
          <w:sz w:val="25"/>
          <w:szCs w:val="25"/>
        </w:rPr>
        <w:t xml:space="preserve"> </w:t>
      </w:r>
      <w:r>
        <w:rPr>
          <w:rFonts w:ascii="黑体" w:hAnsi="黑体" w:eastAsia="黑体" w:cs="黑体"/>
          <w:b/>
          <w:bCs/>
          <w:color w:val="auto"/>
          <w:spacing w:val="1"/>
          <w:sz w:val="25"/>
          <w:szCs w:val="25"/>
        </w:rPr>
        <w:t>管护任务规划一览表</w:t>
      </w:r>
    </w:p>
    <w:tbl>
      <w:tblPr>
        <w:tblStyle w:val="21"/>
        <w:tblW w:w="502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81"/>
        <w:gridCol w:w="843"/>
        <w:gridCol w:w="1442"/>
        <w:gridCol w:w="2313"/>
        <w:gridCol w:w="2009"/>
        <w:gridCol w:w="4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66" w:type="pct"/>
            <w:tcBorders>
              <w:bottom w:val="single" w:color="auto" w:sz="4" w:space="0"/>
            </w:tcBorders>
            <w:vAlign w:val="top"/>
          </w:tcPr>
          <w:p>
            <w:pPr>
              <w:pStyle w:val="20"/>
              <w:spacing w:before="192" w:line="220" w:lineRule="auto"/>
              <w:ind w:left="281"/>
              <w:rPr>
                <w:b/>
                <w:bCs/>
                <w:sz w:val="18"/>
                <w:szCs w:val="18"/>
              </w:rPr>
            </w:pPr>
            <w:bookmarkStart w:id="99" w:name="bookmark57"/>
            <w:bookmarkEnd w:id="99"/>
            <w:r>
              <w:rPr>
                <w:b/>
                <w:bCs/>
                <w:spacing w:val="-2"/>
                <w:sz w:val="18"/>
                <w:szCs w:val="18"/>
              </w:rPr>
              <w:t>单位名称</w:t>
            </w:r>
          </w:p>
        </w:tc>
        <w:tc>
          <w:tcPr>
            <w:tcW w:w="504" w:type="pct"/>
            <w:vAlign w:val="top"/>
          </w:tcPr>
          <w:p>
            <w:pPr>
              <w:pStyle w:val="20"/>
              <w:spacing w:before="192" w:line="219" w:lineRule="auto"/>
              <w:ind w:left="202"/>
              <w:rPr>
                <w:b/>
                <w:bCs/>
                <w:sz w:val="18"/>
                <w:szCs w:val="18"/>
              </w:rPr>
            </w:pPr>
            <w:r>
              <w:rPr>
                <w:b/>
                <w:bCs/>
                <w:spacing w:val="-2"/>
                <w:sz w:val="18"/>
                <w:szCs w:val="18"/>
              </w:rPr>
              <w:t>年度</w:t>
            </w:r>
          </w:p>
        </w:tc>
        <w:tc>
          <w:tcPr>
            <w:tcW w:w="862" w:type="pct"/>
            <w:vAlign w:val="top"/>
          </w:tcPr>
          <w:p>
            <w:pPr>
              <w:pStyle w:val="20"/>
              <w:spacing w:before="172" w:line="219" w:lineRule="auto"/>
              <w:ind w:left="83"/>
              <w:rPr>
                <w:b/>
                <w:bCs/>
                <w:sz w:val="18"/>
                <w:szCs w:val="18"/>
              </w:rPr>
            </w:pPr>
            <w:r>
              <w:rPr>
                <w:b/>
                <w:bCs/>
                <w:spacing w:val="4"/>
                <w:sz w:val="18"/>
                <w:szCs w:val="18"/>
              </w:rPr>
              <w:t>管护面积(万亩)</w:t>
            </w:r>
          </w:p>
        </w:tc>
        <w:tc>
          <w:tcPr>
            <w:tcW w:w="1383" w:type="pct"/>
            <w:vAlign w:val="top"/>
          </w:tcPr>
          <w:p>
            <w:pPr>
              <w:pStyle w:val="20"/>
              <w:spacing w:before="172" w:line="219" w:lineRule="auto"/>
              <w:ind w:left="74"/>
              <w:jc w:val="center"/>
              <w:rPr>
                <w:b/>
                <w:bCs/>
                <w:sz w:val="18"/>
                <w:szCs w:val="18"/>
              </w:rPr>
            </w:pPr>
            <w:r>
              <w:rPr>
                <w:rFonts w:hint="eastAsia"/>
                <w:b/>
                <w:bCs/>
                <w:spacing w:val="3"/>
                <w:sz w:val="18"/>
                <w:szCs w:val="18"/>
                <w:lang w:val="en-US" w:eastAsia="zh-CN"/>
              </w:rPr>
              <w:t>一线</w:t>
            </w:r>
            <w:r>
              <w:rPr>
                <w:b/>
                <w:bCs/>
                <w:spacing w:val="3"/>
                <w:sz w:val="18"/>
                <w:szCs w:val="18"/>
              </w:rPr>
              <w:t>管护人员(</w:t>
            </w:r>
            <w:r>
              <w:rPr>
                <w:rFonts w:hint="eastAsia"/>
                <w:b/>
                <w:bCs/>
                <w:spacing w:val="3"/>
                <w:sz w:val="18"/>
                <w:szCs w:val="18"/>
                <w:lang w:val="en-US" w:eastAsia="zh-CN"/>
              </w:rPr>
              <w:t>人</w:t>
            </w:r>
            <w:r>
              <w:rPr>
                <w:b/>
                <w:bCs/>
                <w:spacing w:val="3"/>
                <w:sz w:val="18"/>
                <w:szCs w:val="18"/>
              </w:rPr>
              <w:t>)</w:t>
            </w:r>
          </w:p>
        </w:tc>
        <w:tc>
          <w:tcPr>
            <w:tcW w:w="1201" w:type="pct"/>
            <w:vAlign w:val="top"/>
          </w:tcPr>
          <w:p>
            <w:pPr>
              <w:pStyle w:val="20"/>
              <w:spacing w:before="172" w:line="219" w:lineRule="auto"/>
              <w:ind w:left="57"/>
              <w:rPr>
                <w:b/>
                <w:bCs/>
                <w:sz w:val="18"/>
                <w:szCs w:val="18"/>
              </w:rPr>
            </w:pPr>
            <w:r>
              <w:rPr>
                <w:b/>
                <w:bCs/>
                <w:spacing w:val="3"/>
                <w:sz w:val="18"/>
                <w:szCs w:val="18"/>
              </w:rPr>
              <w:t>人均管护面积(万亩)</w:t>
            </w:r>
          </w:p>
        </w:tc>
        <w:tc>
          <w:tcPr>
            <w:tcW w:w="282" w:type="pct"/>
            <w:vAlign w:val="top"/>
          </w:tcPr>
          <w:p>
            <w:pPr>
              <w:pStyle w:val="20"/>
              <w:spacing w:before="153" w:line="221" w:lineRule="auto"/>
              <w:ind w:left="169"/>
              <w:rPr>
                <w:b/>
                <w:bCs/>
                <w:sz w:val="18"/>
                <w:szCs w:val="18"/>
              </w:rPr>
            </w:pPr>
            <w:r>
              <w:rPr>
                <w:b/>
                <w:bCs/>
                <w:spacing w:val="-3"/>
                <w:sz w:val="18"/>
                <w:szCs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6"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伊吾县</w:t>
            </w:r>
          </w:p>
        </w:tc>
        <w:tc>
          <w:tcPr>
            <w:tcW w:w="504" w:type="pct"/>
            <w:tcBorders>
              <w:left w:val="single" w:color="auto" w:sz="4" w:space="0"/>
            </w:tcBorders>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2026</w:t>
            </w:r>
          </w:p>
        </w:tc>
        <w:tc>
          <w:tcPr>
            <w:tcW w:w="862" w:type="pc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203.40</w:t>
            </w:r>
          </w:p>
        </w:tc>
        <w:tc>
          <w:tcPr>
            <w:tcW w:w="1383" w:type="pc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89</w:t>
            </w:r>
          </w:p>
        </w:tc>
        <w:tc>
          <w:tcPr>
            <w:tcW w:w="1201" w:type="pc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2.29</w:t>
            </w:r>
          </w:p>
        </w:tc>
        <w:tc>
          <w:tcPr>
            <w:tcW w:w="282" w:type="pct"/>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6" w:type="pct"/>
            <w:vMerge w:val="continue"/>
            <w:tcBorders>
              <w:top w:val="single" w:color="auto" w:sz="4" w:space="0"/>
              <w:bottom w:val="single" w:color="auto" w:sz="4" w:space="0"/>
              <w:right w:val="single" w:color="auto" w:sz="4" w:space="0"/>
            </w:tcBorders>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p>
        </w:tc>
        <w:tc>
          <w:tcPr>
            <w:tcW w:w="504" w:type="pct"/>
            <w:tcBorders>
              <w:left w:val="single" w:color="auto" w:sz="4" w:space="0"/>
            </w:tcBorders>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2027</w:t>
            </w:r>
          </w:p>
        </w:tc>
        <w:tc>
          <w:tcPr>
            <w:tcW w:w="862" w:type="pct"/>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203.40</w:t>
            </w:r>
          </w:p>
        </w:tc>
        <w:tc>
          <w:tcPr>
            <w:tcW w:w="1383" w:type="pc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83</w:t>
            </w:r>
          </w:p>
        </w:tc>
        <w:tc>
          <w:tcPr>
            <w:tcW w:w="1201" w:type="pc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2.45</w:t>
            </w:r>
          </w:p>
        </w:tc>
        <w:tc>
          <w:tcPr>
            <w:tcW w:w="282" w:type="pct"/>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66" w:type="pct"/>
            <w:vMerge w:val="continue"/>
            <w:tcBorders>
              <w:top w:val="single" w:color="auto" w:sz="4" w:space="0"/>
              <w:bottom w:val="single" w:color="auto" w:sz="4" w:space="0"/>
              <w:right w:val="single" w:color="auto" w:sz="4" w:space="0"/>
            </w:tcBorders>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p>
        </w:tc>
        <w:tc>
          <w:tcPr>
            <w:tcW w:w="504" w:type="pct"/>
            <w:tcBorders>
              <w:left w:val="single" w:color="auto" w:sz="4" w:space="0"/>
            </w:tcBorders>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2035</w:t>
            </w:r>
          </w:p>
        </w:tc>
        <w:tc>
          <w:tcPr>
            <w:tcW w:w="862" w:type="pct"/>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203.40</w:t>
            </w:r>
          </w:p>
        </w:tc>
        <w:tc>
          <w:tcPr>
            <w:tcW w:w="1383" w:type="pc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68</w:t>
            </w:r>
          </w:p>
        </w:tc>
        <w:tc>
          <w:tcPr>
            <w:tcW w:w="1201" w:type="pc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2.99</w:t>
            </w:r>
          </w:p>
        </w:tc>
        <w:tc>
          <w:tcPr>
            <w:tcW w:w="282" w:type="pct"/>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p>
        </w:tc>
      </w:tr>
    </w:tbl>
    <w:p>
      <w:pPr>
        <w:pStyle w:val="7"/>
        <w:bidi w:val="0"/>
        <w:rPr>
          <w:rFonts w:hint="default"/>
          <w:lang w:val="en-US" w:eastAsia="zh-CN"/>
        </w:rPr>
      </w:pPr>
      <w:r>
        <w:rPr>
          <w:rFonts w:hint="default"/>
          <w:lang w:val="en-US" w:eastAsia="zh-CN"/>
        </w:rPr>
        <w:t>优化分区分类管护模式，根据林分特征和管护需求，将全县管护区域划分为山地针叶林重点管护区、林农交错地带综合管护区和荒漠林区巡护监测区三类，分别采取差异化管护方式。山地针叶林重点管护区覆盖喀尔里克山北坡</w:t>
      </w:r>
      <w:r>
        <w:rPr>
          <w:rFonts w:hint="eastAsia"/>
          <w:lang w:val="en-US" w:eastAsia="zh-CN"/>
        </w:rPr>
        <w:t>（伊吾县境内）</w:t>
      </w:r>
      <w:r>
        <w:rPr>
          <w:rFonts w:hint="default"/>
          <w:lang w:val="en-US" w:eastAsia="zh-CN"/>
        </w:rPr>
        <w:t>和莫钦乌拉山中高山地带核心区域，以天山云杉、西伯利亚落叶松针叶混交林为主，属于森林火险等级高地段和水源涵养核心区，采取专业管护模式，由长期聘用的专职护林员实施全年驻站管护，配备苇子峡乡管护站、吐葫芦乡管护站，重点开展森林防火、有害生物监测、野生动植物保护、资源动态监测等工作。林农交错地带综合管护区覆盖苇子峡乡、吐葫芦乡、淖毛湖镇等林农交错地带，人为活动频繁、火源管控压力大，采取网格化管护模式，重点加强日常巡护、火源管控、违法行为查处、森林防火宣传等工作。荒漠林区巡护监测区覆盖淖毛湖盆地、下马崖乡等荒漠林分布区，以梭梭林、胡杨林、柽柳林为主，林分稀疏、面积广阔，采取巡护与定点监测相结合的方式，依托淖毛湖镇管护站、淖毛湖沙枣泉管护站、下马崖乡管护站、盐池镇管护站定期开展巡护检查，重点监测林木生长状况、有害生物发生情况、野生动物活动动态，及时发现和处置各类问题。</w:t>
      </w:r>
    </w:p>
    <w:p>
      <w:pPr>
        <w:pStyle w:val="4"/>
        <w:numPr>
          <w:ilvl w:val="0"/>
          <w:numId w:val="15"/>
        </w:numPr>
        <w:bidi w:val="0"/>
        <w:ind w:left="840" w:leftChars="0" w:firstLineChars="0"/>
        <w:rPr>
          <w:rFonts w:hint="default"/>
          <w:lang w:val="en-US" w:eastAsia="zh-CN"/>
        </w:rPr>
      </w:pPr>
      <w:bookmarkStart w:id="100" w:name="_Toc27961"/>
      <w:r>
        <w:rPr>
          <w:rFonts w:hint="eastAsia"/>
          <w:lang w:val="en-US" w:eastAsia="zh-CN"/>
        </w:rPr>
        <w:t>管护责任落实</w:t>
      </w:r>
      <w:bookmarkEnd w:id="100"/>
    </w:p>
    <w:p>
      <w:pPr>
        <w:pStyle w:val="7"/>
        <w:keepNext w:val="0"/>
        <w:keepLines w:val="0"/>
        <w:pageBreakBefore w:val="0"/>
        <w:widowControl w:val="0"/>
        <w:kinsoku w:val="0"/>
        <w:wordWrap/>
        <w:overflowPunct/>
        <w:topLinePunct w:val="0"/>
        <w:autoSpaceDE/>
        <w:autoSpaceDN/>
        <w:bidi w:val="0"/>
        <w:adjustRightInd w:val="0"/>
        <w:snapToGrid w:val="0"/>
        <w:textAlignment w:val="baseline"/>
        <w:rPr>
          <w:rFonts w:hint="eastAsia"/>
          <w:lang w:val="en-US" w:eastAsia="zh-CN"/>
        </w:rPr>
      </w:pPr>
      <w:r>
        <w:rPr>
          <w:rFonts w:hint="eastAsia"/>
          <w:lang w:val="en-US" w:eastAsia="zh-CN"/>
        </w:rPr>
        <w:t>根据伊吾县天然林分布特点、地形地貌条件、交通可达性及管护难易程度，科学划定管护责任区，明确管护主体和管护边界，将管护责任落实到山头地块、管护责任人。全县7个管护站点均明确管护范围、管护职责、管护标准，建立管护责任制，实行管护人员绩效考核，将森林资源保护成效与管护人员报酬挂钩；建立管护工作通报制度，对管护工作成效显著的管护站点和个人予以表扬，对工作不力、责任落实不到位的严肃问责，形成“责任明确、运转高效”的管护工作格局。</w:t>
      </w:r>
    </w:p>
    <w:p>
      <w:pPr>
        <w:pStyle w:val="6"/>
        <w:bidi w:val="0"/>
        <w:ind w:left="0" w:leftChars="0" w:firstLine="0" w:firstLineChars="0"/>
        <w:jc w:val="center"/>
        <w:rPr>
          <w:rFonts w:hint="default" w:ascii="黑体" w:hAnsi="黑体" w:eastAsia="黑体" w:cs="黑体"/>
          <w:b/>
          <w:bCs/>
          <w:color w:val="FF0000"/>
          <w:spacing w:val="1"/>
          <w:sz w:val="25"/>
          <w:szCs w:val="25"/>
          <w:lang w:val="en-US" w:eastAsia="zh-CN"/>
        </w:rPr>
      </w:pPr>
      <w:r>
        <w:rPr>
          <w:rFonts w:ascii="黑体" w:hAnsi="黑体" w:eastAsia="黑体" w:cs="黑体"/>
          <w:b/>
          <w:bCs/>
          <w:spacing w:val="1"/>
          <w:sz w:val="25"/>
          <w:szCs w:val="25"/>
        </w:rPr>
        <w:t>表4-</w:t>
      </w:r>
      <w:r>
        <w:rPr>
          <w:rFonts w:hint="eastAsia" w:ascii="黑体" w:hAnsi="黑体" w:eastAsia="黑体" w:cs="黑体"/>
          <w:b/>
          <w:bCs/>
          <w:spacing w:val="1"/>
          <w:sz w:val="25"/>
          <w:szCs w:val="25"/>
          <w:lang w:val="en-US" w:eastAsia="zh-CN"/>
        </w:rPr>
        <w:t>2</w:t>
      </w:r>
      <w:r>
        <w:rPr>
          <w:rFonts w:ascii="黑体" w:hAnsi="黑体" w:eastAsia="黑体" w:cs="黑体"/>
          <w:b/>
          <w:bCs/>
          <w:spacing w:val="1"/>
          <w:sz w:val="25"/>
          <w:szCs w:val="25"/>
        </w:rPr>
        <w:t xml:space="preserve"> </w:t>
      </w:r>
      <w:r>
        <w:rPr>
          <w:rFonts w:ascii="黑体" w:hAnsi="黑体" w:eastAsia="黑体" w:cs="黑体"/>
          <w:b/>
          <w:bCs/>
          <w:color w:val="auto"/>
          <w:spacing w:val="1"/>
          <w:sz w:val="25"/>
          <w:szCs w:val="25"/>
        </w:rPr>
        <w:t>管护</w:t>
      </w:r>
      <w:r>
        <w:rPr>
          <w:rFonts w:hint="eastAsia" w:ascii="黑体" w:hAnsi="黑体" w:eastAsia="黑体" w:cs="黑体"/>
          <w:b/>
          <w:bCs/>
          <w:color w:val="auto"/>
          <w:spacing w:val="1"/>
          <w:sz w:val="25"/>
          <w:szCs w:val="25"/>
          <w:lang w:val="en-US" w:eastAsia="zh-CN"/>
        </w:rPr>
        <w:t>所站统计表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6"/>
        <w:gridCol w:w="888"/>
        <w:gridCol w:w="1944"/>
        <w:gridCol w:w="1165"/>
        <w:gridCol w:w="1271"/>
        <w:gridCol w:w="1057"/>
        <w:gridCol w:w="1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restart"/>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县、市、区</w:t>
            </w:r>
          </w:p>
        </w:tc>
        <w:tc>
          <w:tcPr>
            <w:tcW w:w="888" w:type="dxa"/>
            <w:vMerge w:val="restart"/>
            <w:vAlign w:val="center"/>
          </w:tcPr>
          <w:p>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所属站</w:t>
            </w:r>
          </w:p>
        </w:tc>
        <w:tc>
          <w:tcPr>
            <w:tcW w:w="1944" w:type="dxa"/>
            <w:vMerge w:val="restart"/>
            <w:vAlign w:val="center"/>
          </w:tcPr>
          <w:p>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管护用房名称</w:t>
            </w:r>
          </w:p>
        </w:tc>
        <w:tc>
          <w:tcPr>
            <w:tcW w:w="4538" w:type="dxa"/>
            <w:gridSpan w:val="4"/>
            <w:vAlign w:val="center"/>
          </w:tcPr>
          <w:p>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具体信息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p>
        </w:tc>
        <w:tc>
          <w:tcPr>
            <w:tcW w:w="1944"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p>
        </w:tc>
        <w:tc>
          <w:tcPr>
            <w:tcW w:w="2436" w:type="dxa"/>
            <w:gridSpan w:val="2"/>
            <w:vAlign w:val="center"/>
          </w:tcPr>
          <w:p>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公里网坐标</w:t>
            </w:r>
          </w:p>
        </w:tc>
        <w:tc>
          <w:tcPr>
            <w:tcW w:w="1057" w:type="dxa"/>
            <w:vMerge w:val="restart"/>
            <w:vAlign w:val="center"/>
          </w:tcPr>
          <w:p>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建筑面积（㎡）</w:t>
            </w:r>
          </w:p>
        </w:tc>
        <w:tc>
          <w:tcPr>
            <w:tcW w:w="1045" w:type="dxa"/>
            <w:vMerge w:val="restart"/>
            <w:vAlign w:val="center"/>
          </w:tcPr>
          <w:p>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管护面积（亩）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p>
        </w:tc>
        <w:tc>
          <w:tcPr>
            <w:tcW w:w="1944"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X</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bCs/>
                <w:i w:val="0"/>
                <w:iCs w:val="0"/>
                <w:snapToGrid w:val="0"/>
                <w:color w:val="000000"/>
                <w:kern w:val="0"/>
                <w:sz w:val="18"/>
                <w:szCs w:val="18"/>
                <w:u w:val="none"/>
                <w:lang w:val="en-US" w:eastAsia="zh-CN" w:bidi="ar"/>
              </w:rPr>
            </w:pPr>
            <w:r>
              <w:rPr>
                <w:rFonts w:hint="eastAsia" w:ascii="仿宋" w:hAnsi="仿宋" w:eastAsia="仿宋" w:cs="仿宋"/>
                <w:b/>
                <w:bCs/>
                <w:i w:val="0"/>
                <w:iCs w:val="0"/>
                <w:snapToGrid w:val="0"/>
                <w:color w:val="000000"/>
                <w:kern w:val="0"/>
                <w:sz w:val="18"/>
                <w:szCs w:val="18"/>
                <w:u w:val="none"/>
                <w:lang w:val="en-US" w:eastAsia="zh-CN" w:bidi="ar"/>
              </w:rPr>
              <w:t>Y</w:t>
            </w:r>
          </w:p>
        </w:tc>
        <w:tc>
          <w:tcPr>
            <w:tcW w:w="1057"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1045"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restar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伊吾县</w:t>
            </w:r>
          </w:p>
        </w:tc>
        <w:tc>
          <w:tcPr>
            <w:tcW w:w="888" w:type="dxa"/>
            <w:vMerge w:val="restart"/>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伊吾</w:t>
            </w:r>
            <w:r>
              <w:rPr>
                <w:rFonts w:hint="default" w:ascii="仿宋" w:hAnsi="仿宋" w:eastAsia="仿宋" w:cs="仿宋"/>
                <w:i w:val="0"/>
                <w:iCs w:val="0"/>
                <w:snapToGrid w:val="0"/>
                <w:color w:val="000000"/>
                <w:kern w:val="0"/>
                <w:sz w:val="18"/>
                <w:szCs w:val="18"/>
                <w:u w:val="none"/>
                <w:lang w:val="en-US" w:eastAsia="zh-CN" w:bidi="ar"/>
              </w:rPr>
              <w:t>县公益林中心管护站</w:t>
            </w:r>
          </w:p>
        </w:tc>
        <w:tc>
          <w:tcPr>
            <w:tcW w:w="1944"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伊吾</w:t>
            </w:r>
            <w:r>
              <w:rPr>
                <w:rFonts w:hint="default" w:ascii="仿宋" w:hAnsi="仿宋" w:eastAsia="仿宋" w:cs="仿宋"/>
                <w:i w:val="0"/>
                <w:iCs w:val="0"/>
                <w:snapToGrid w:val="0"/>
                <w:color w:val="000000"/>
                <w:kern w:val="0"/>
                <w:sz w:val="18"/>
                <w:szCs w:val="18"/>
                <w:u w:val="none"/>
                <w:lang w:val="en-US" w:eastAsia="zh-CN" w:bidi="ar"/>
              </w:rPr>
              <w:t>县公益林中心管护站</w:t>
            </w: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636444 </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4790833 </w:t>
            </w:r>
          </w:p>
        </w:tc>
        <w:tc>
          <w:tcPr>
            <w:tcW w:w="1057"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27</w:t>
            </w:r>
          </w:p>
        </w:tc>
        <w:tc>
          <w:tcPr>
            <w:tcW w:w="1045"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1944" w:type="dxa"/>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苇子峡乡管护站</w:t>
            </w: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649639 </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4815097 </w:t>
            </w:r>
          </w:p>
        </w:tc>
        <w:tc>
          <w:tcPr>
            <w:tcW w:w="1057"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150</w:t>
            </w:r>
          </w:p>
        </w:tc>
        <w:tc>
          <w:tcPr>
            <w:tcW w:w="1045"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84659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1944" w:type="dxa"/>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吐葫芦乡管护站</w:t>
            </w: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634739 </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4789632 </w:t>
            </w:r>
          </w:p>
        </w:tc>
        <w:tc>
          <w:tcPr>
            <w:tcW w:w="1057"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150</w:t>
            </w:r>
          </w:p>
        </w:tc>
        <w:tc>
          <w:tcPr>
            <w:tcW w:w="1045"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206817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1944" w:type="dxa"/>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淖毛</w:t>
            </w:r>
            <w:r>
              <w:rPr>
                <w:rFonts w:hint="eastAsia" w:ascii="仿宋" w:hAnsi="仿宋" w:eastAsia="仿宋" w:cs="仿宋"/>
                <w:i w:val="0"/>
                <w:iCs w:val="0"/>
                <w:snapToGrid w:val="0"/>
                <w:color w:val="000000"/>
                <w:kern w:val="0"/>
                <w:sz w:val="18"/>
                <w:szCs w:val="18"/>
                <w:u w:val="none"/>
                <w:lang w:val="en-US" w:eastAsia="zh-CN" w:bidi="ar"/>
              </w:rPr>
              <w:t>湖</w:t>
            </w:r>
            <w:r>
              <w:rPr>
                <w:rFonts w:hint="default" w:ascii="仿宋" w:hAnsi="仿宋" w:eastAsia="仿宋" w:cs="仿宋"/>
                <w:i w:val="0"/>
                <w:iCs w:val="0"/>
                <w:snapToGrid w:val="0"/>
                <w:color w:val="000000"/>
                <w:kern w:val="0"/>
                <w:sz w:val="18"/>
                <w:szCs w:val="18"/>
                <w:u w:val="none"/>
                <w:lang w:val="en-US" w:eastAsia="zh-CN" w:bidi="ar"/>
              </w:rPr>
              <w:t>镇管护站</w:t>
            </w: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667809 </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4846921 </w:t>
            </w:r>
          </w:p>
        </w:tc>
        <w:tc>
          <w:tcPr>
            <w:tcW w:w="1057"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240</w:t>
            </w:r>
          </w:p>
        </w:tc>
        <w:tc>
          <w:tcPr>
            <w:tcW w:w="1045"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193468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1944" w:type="dxa"/>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淖毛湖沙枣泉管护站</w:t>
            </w: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604326 </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4866331 </w:t>
            </w:r>
          </w:p>
        </w:tc>
        <w:tc>
          <w:tcPr>
            <w:tcW w:w="1057"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120</w:t>
            </w:r>
          </w:p>
        </w:tc>
        <w:tc>
          <w:tcPr>
            <w:tcW w:w="1045"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59582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1944"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下马崖乡管护站</w:t>
            </w: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683901 </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4789544 </w:t>
            </w:r>
          </w:p>
        </w:tc>
        <w:tc>
          <w:tcPr>
            <w:tcW w:w="1057"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150</w:t>
            </w:r>
          </w:p>
        </w:tc>
        <w:tc>
          <w:tcPr>
            <w:tcW w:w="1045"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1211004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6"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p>
        </w:tc>
        <w:tc>
          <w:tcPr>
            <w:tcW w:w="888" w:type="dxa"/>
            <w:vMerge w:val="continue"/>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p>
        </w:tc>
        <w:tc>
          <w:tcPr>
            <w:tcW w:w="1944"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仿宋" w:hAnsi="仿宋" w:eastAsia="仿宋" w:cs="仿宋"/>
                <w:i w:val="0"/>
                <w:iCs w:val="0"/>
                <w:snapToGrid w:val="0"/>
                <w:color w:val="000000"/>
                <w:kern w:val="0"/>
                <w:sz w:val="18"/>
                <w:szCs w:val="18"/>
                <w:u w:val="none"/>
                <w:lang w:val="en-US" w:eastAsia="zh-CN" w:bidi="ar"/>
              </w:rPr>
              <w:t>伊吾县盐池镇公益林管护站</w:t>
            </w:r>
          </w:p>
        </w:tc>
        <w:tc>
          <w:tcPr>
            <w:tcW w:w="116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605072 </w:t>
            </w:r>
          </w:p>
        </w:tc>
        <w:tc>
          <w:tcPr>
            <w:tcW w:w="1271"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 xml:space="preserve">4800087 </w:t>
            </w:r>
          </w:p>
        </w:tc>
        <w:tc>
          <w:tcPr>
            <w:tcW w:w="1057" w:type="dxa"/>
            <w:vAlign w:val="center"/>
          </w:tcPr>
          <w:p>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180</w:t>
            </w:r>
          </w:p>
        </w:tc>
        <w:tc>
          <w:tcPr>
            <w:tcW w:w="1045" w:type="dxa"/>
            <w:vAlign w:val="center"/>
          </w:tcPr>
          <w:p>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278512</w:t>
            </w:r>
          </w:p>
        </w:tc>
      </w:tr>
    </w:tbl>
    <w:p>
      <w:pPr>
        <w:pStyle w:val="4"/>
        <w:keepNext w:val="0"/>
        <w:keepLines w:val="0"/>
        <w:pageBreakBefore w:val="0"/>
        <w:widowControl/>
        <w:numPr>
          <w:ilvl w:val="0"/>
          <w:numId w:val="15"/>
        </w:numPr>
        <w:kinsoku w:val="0"/>
        <w:wordWrap/>
        <w:overflowPunct/>
        <w:topLinePunct w:val="0"/>
        <w:autoSpaceDE w:val="0"/>
        <w:autoSpaceDN w:val="0"/>
        <w:bidi w:val="0"/>
        <w:adjustRightInd w:val="0"/>
        <w:snapToGrid w:val="0"/>
        <w:spacing w:before="211" w:line="224" w:lineRule="auto"/>
        <w:ind w:left="840" w:leftChars="0" w:firstLineChars="0"/>
        <w:textAlignment w:val="baseline"/>
        <w:rPr>
          <w:rFonts w:hint="eastAsia"/>
          <w:lang w:val="en-US" w:eastAsia="zh-CN"/>
        </w:rPr>
      </w:pPr>
      <w:bookmarkStart w:id="101" w:name="_Toc2791"/>
      <w:r>
        <w:rPr>
          <w:rFonts w:hint="eastAsia"/>
          <w:lang w:val="en-US" w:eastAsia="zh-CN"/>
        </w:rPr>
        <w:t>管护能力提升</w:t>
      </w:r>
      <w:bookmarkEnd w:id="101"/>
    </w:p>
    <w:p>
      <w:pPr>
        <w:pStyle w:val="7"/>
        <w:keepNext w:val="0"/>
        <w:keepLines w:val="0"/>
        <w:pageBreakBefore w:val="0"/>
        <w:widowControl w:val="0"/>
        <w:kinsoku w:val="0"/>
        <w:wordWrap/>
        <w:overflowPunct/>
        <w:topLinePunct w:val="0"/>
        <w:autoSpaceDE/>
        <w:autoSpaceDN/>
        <w:bidi w:val="0"/>
        <w:adjustRightInd w:val="0"/>
        <w:snapToGrid w:val="0"/>
        <w:textAlignment w:val="baseline"/>
        <w:rPr>
          <w:rFonts w:hint="default"/>
          <w:lang w:val="en-US" w:eastAsia="zh-CN"/>
        </w:rPr>
      </w:pPr>
      <w:r>
        <w:rPr>
          <w:rFonts w:hint="default"/>
          <w:lang w:val="en-US" w:eastAsia="zh-CN"/>
        </w:rPr>
        <w:t>分期推进管护站点提档升级</w:t>
      </w:r>
      <w:r>
        <w:rPr>
          <w:rFonts w:hint="eastAsia"/>
          <w:lang w:val="en-US" w:eastAsia="zh-CN"/>
        </w:rPr>
        <w:t>，</w:t>
      </w:r>
      <w:r>
        <w:rPr>
          <w:rFonts w:hint="default"/>
          <w:lang w:val="en-US" w:eastAsia="zh-CN"/>
        </w:rPr>
        <w:t>坚持</w:t>
      </w:r>
      <w:r>
        <w:rPr>
          <w:rFonts w:hint="eastAsia"/>
          <w:lang w:val="en-US" w:eastAsia="zh-CN"/>
        </w:rPr>
        <w:t>“</w:t>
      </w:r>
      <w:r>
        <w:rPr>
          <w:rFonts w:hint="default"/>
          <w:lang w:val="en-US" w:eastAsia="zh-CN"/>
        </w:rPr>
        <w:t>布局合理、功能完善、保障有力</w:t>
      </w:r>
      <w:r>
        <w:rPr>
          <w:rFonts w:hint="eastAsia"/>
          <w:lang w:val="en-US" w:eastAsia="zh-CN"/>
        </w:rPr>
        <w:t>”</w:t>
      </w:r>
      <w:r>
        <w:rPr>
          <w:rFonts w:hint="default"/>
          <w:lang w:val="en-US" w:eastAsia="zh-CN"/>
        </w:rPr>
        <w:t>原则</w:t>
      </w:r>
      <w:r>
        <w:rPr>
          <w:rFonts w:hint="eastAsia"/>
          <w:lang w:val="en-US" w:eastAsia="zh-CN"/>
        </w:rPr>
        <w:t>，</w:t>
      </w:r>
      <w:r>
        <w:rPr>
          <w:rFonts w:hint="default"/>
          <w:lang w:val="en-US" w:eastAsia="zh-CN"/>
        </w:rPr>
        <w:t>对伊吾县7座管护站点(1个中心管护站、6个管护站)实施分期分批改造提升。管护站改造的分年度任务量和投资额度，在年度实施方案中结合中央财政资金下达情况另行确定。针对建设年限较长、设施老化的管护站</w:t>
      </w:r>
      <w:r>
        <w:rPr>
          <w:rFonts w:hint="eastAsia"/>
          <w:lang w:val="en-US" w:eastAsia="zh-CN"/>
        </w:rPr>
        <w:t>，</w:t>
      </w:r>
      <w:r>
        <w:rPr>
          <w:rFonts w:hint="default"/>
          <w:lang w:val="en-US" w:eastAsia="zh-CN"/>
        </w:rPr>
        <w:t>优先安排改造升级</w:t>
      </w:r>
      <w:r>
        <w:rPr>
          <w:rFonts w:hint="eastAsia"/>
          <w:lang w:val="en-US" w:eastAsia="zh-CN"/>
        </w:rPr>
        <w:t>，</w:t>
      </w:r>
      <w:r>
        <w:rPr>
          <w:rFonts w:hint="default"/>
          <w:lang w:val="en-US" w:eastAsia="zh-CN"/>
        </w:rPr>
        <w:t>解决房屋老化、设施陈旧、功能不完善等问题。对基础设施相对完善的站点</w:t>
      </w:r>
      <w:r>
        <w:rPr>
          <w:rFonts w:hint="eastAsia"/>
          <w:lang w:val="en-US" w:eastAsia="zh-CN"/>
        </w:rPr>
        <w:t>，</w:t>
      </w:r>
      <w:r>
        <w:rPr>
          <w:rFonts w:hint="default"/>
          <w:lang w:val="en-US" w:eastAsia="zh-CN"/>
        </w:rPr>
        <w:t>重点进行功能完善和设备更新</w:t>
      </w:r>
      <w:r>
        <w:rPr>
          <w:rFonts w:hint="eastAsia"/>
          <w:lang w:val="en-US" w:eastAsia="zh-CN"/>
        </w:rPr>
        <w:t>，</w:t>
      </w:r>
      <w:r>
        <w:rPr>
          <w:rFonts w:hint="default"/>
          <w:lang w:val="en-US" w:eastAsia="zh-CN"/>
        </w:rPr>
        <w:t>提升现代化水平。重点完善水、电、暖、消防、安全等基础设施</w:t>
      </w:r>
      <w:r>
        <w:rPr>
          <w:rFonts w:hint="eastAsia"/>
          <w:lang w:val="en-US" w:eastAsia="zh-CN"/>
        </w:rPr>
        <w:t>，</w:t>
      </w:r>
      <w:r>
        <w:rPr>
          <w:rFonts w:hint="default"/>
          <w:lang w:val="en-US" w:eastAsia="zh-CN"/>
        </w:rPr>
        <w:t>配齐办公、通讯、生活设备</w:t>
      </w:r>
      <w:r>
        <w:rPr>
          <w:rFonts w:hint="eastAsia"/>
          <w:lang w:val="en-US" w:eastAsia="zh-CN"/>
        </w:rPr>
        <w:t>，</w:t>
      </w:r>
      <w:r>
        <w:rPr>
          <w:rFonts w:hint="default"/>
          <w:lang w:val="en-US" w:eastAsia="zh-CN"/>
        </w:rPr>
        <w:t>确保管护人员驻站工作条件达标。规划期内实现全部管护站达标运行。</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规划期内新增智能管护设备9台（套），构建“天空地一体化”保护网络，大幅提升资源监测和应急响应能力。空中监测方面，新增便携式或固定无人值守巡护无人机4架，实现重点林区无人机巡护全覆盖，具体配置年度在年度实施方案中确定。地面监控方面，新增高空云台5套，优先布设在森林火险高地段、林农交错地带。系统功能建设方面</w:t>
      </w:r>
      <w:r>
        <w:rPr>
          <w:rFonts w:hint="eastAsia"/>
          <w:lang w:val="en-US" w:eastAsia="zh-CN"/>
        </w:rPr>
        <w:t>，</w:t>
      </w:r>
      <w:r>
        <w:rPr>
          <w:rFonts w:hint="default"/>
          <w:lang w:val="en-US" w:eastAsia="zh-CN"/>
        </w:rPr>
        <w:t>建设伊吾县森林资源智能管护平台</w:t>
      </w:r>
      <w:r>
        <w:rPr>
          <w:rFonts w:hint="eastAsia"/>
          <w:lang w:val="en-US" w:eastAsia="zh-CN"/>
        </w:rPr>
        <w:t>，</w:t>
      </w:r>
      <w:r>
        <w:rPr>
          <w:rFonts w:hint="default"/>
          <w:lang w:val="en-US" w:eastAsia="zh-CN"/>
        </w:rPr>
        <w:t>整合视频监控、无人机巡护、地面巡护、资源监测等多源数据</w:t>
      </w:r>
      <w:r>
        <w:rPr>
          <w:rFonts w:hint="eastAsia"/>
          <w:lang w:val="en-US" w:eastAsia="zh-CN"/>
        </w:rPr>
        <w:t>，</w:t>
      </w:r>
      <w:r>
        <w:rPr>
          <w:rFonts w:hint="default"/>
          <w:lang w:val="en-US" w:eastAsia="zh-CN"/>
        </w:rPr>
        <w:t>实现资源管护可视化、智能化、精准化。平台具备火情预警、资源动态监测、违法行为识别、应急指挥调度等功能</w:t>
      </w:r>
      <w:r>
        <w:rPr>
          <w:rFonts w:hint="eastAsia"/>
          <w:lang w:val="en-US" w:eastAsia="zh-CN"/>
        </w:rPr>
        <w:t>，</w:t>
      </w:r>
      <w:r>
        <w:rPr>
          <w:rFonts w:hint="default"/>
          <w:lang w:val="en-US" w:eastAsia="zh-CN"/>
        </w:rPr>
        <w:t>为科学决策和高效管护提供技术支撑。加强与市级、自治区级林草管理系统的数据对接</w:t>
      </w:r>
      <w:r>
        <w:rPr>
          <w:rFonts w:hint="eastAsia"/>
          <w:lang w:val="en-US" w:eastAsia="zh-CN"/>
        </w:rPr>
        <w:t>，</w:t>
      </w:r>
      <w:r>
        <w:rPr>
          <w:rFonts w:hint="default"/>
          <w:lang w:val="en-US" w:eastAsia="zh-CN"/>
        </w:rPr>
        <w:t>实现信息共享和联动管理。</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系统配置应急处置装备</w:t>
      </w:r>
      <w:r>
        <w:rPr>
          <w:rFonts w:hint="eastAsia"/>
          <w:lang w:val="en-US" w:eastAsia="zh-CN"/>
        </w:rPr>
        <w:t>，</w:t>
      </w:r>
      <w:r>
        <w:rPr>
          <w:rFonts w:hint="default"/>
          <w:lang w:val="en-US" w:eastAsia="zh-CN"/>
        </w:rPr>
        <w:t>为每个管护站配备森林防火器材</w:t>
      </w:r>
      <w:r>
        <w:rPr>
          <w:rFonts w:hint="eastAsia"/>
          <w:lang w:val="en-US" w:eastAsia="zh-CN"/>
        </w:rPr>
        <w:t>，</w:t>
      </w:r>
      <w:r>
        <w:rPr>
          <w:rFonts w:hint="default"/>
          <w:lang w:val="en-US" w:eastAsia="zh-CN"/>
        </w:rPr>
        <w:t>包括风力灭火机、油锯、砍刀、铁锹、水桶等基础灭火工具;配备有害生物防治设备</w:t>
      </w:r>
      <w:r>
        <w:rPr>
          <w:rFonts w:hint="eastAsia"/>
          <w:lang w:val="en-US" w:eastAsia="zh-CN"/>
        </w:rPr>
        <w:t>，</w:t>
      </w:r>
      <w:r>
        <w:rPr>
          <w:rFonts w:hint="default"/>
          <w:lang w:val="en-US" w:eastAsia="zh-CN"/>
        </w:rPr>
        <w:t>包括背负式喷雾器、烟雾机、诱捕器、监测工具等;配备应急通讯设备</w:t>
      </w:r>
      <w:r>
        <w:rPr>
          <w:rFonts w:hint="eastAsia"/>
          <w:lang w:val="en-US" w:eastAsia="zh-CN"/>
        </w:rPr>
        <w:t>，</w:t>
      </w:r>
      <w:r>
        <w:rPr>
          <w:rFonts w:hint="default"/>
          <w:lang w:val="en-US" w:eastAsia="zh-CN"/>
        </w:rPr>
        <w:t>包括卫星电话、对讲机、应急通讯中继设备等;配备应急救援装备</w:t>
      </w:r>
      <w:r>
        <w:rPr>
          <w:rFonts w:hint="eastAsia"/>
          <w:lang w:val="en-US" w:eastAsia="zh-CN"/>
        </w:rPr>
        <w:t>，</w:t>
      </w:r>
      <w:r>
        <w:rPr>
          <w:rFonts w:hint="default"/>
          <w:lang w:val="en-US" w:eastAsia="zh-CN"/>
        </w:rPr>
        <w:t>包括急救箱、救生绳索、应急照明设备、防护服等。在重点林区配置便携式灭火设备</w:t>
      </w:r>
      <w:r>
        <w:rPr>
          <w:rFonts w:hint="eastAsia"/>
          <w:lang w:val="en-US" w:eastAsia="zh-CN"/>
        </w:rPr>
        <w:t>，</w:t>
      </w:r>
      <w:r>
        <w:rPr>
          <w:rFonts w:hint="default"/>
          <w:lang w:val="en-US" w:eastAsia="zh-CN"/>
        </w:rPr>
        <w:t>包括便携式高压水泵、灭火弹、阻燃剂等。在中心管护站配置专业探测设备</w:t>
      </w:r>
      <w:r>
        <w:rPr>
          <w:rFonts w:hint="eastAsia"/>
          <w:lang w:val="en-US" w:eastAsia="zh-CN"/>
        </w:rPr>
        <w:t>，</w:t>
      </w:r>
      <w:r>
        <w:rPr>
          <w:rFonts w:hint="default"/>
          <w:lang w:val="en-US" w:eastAsia="zh-CN"/>
        </w:rPr>
        <w:t>包括红外探测仪、无人机热成像设备等。配套建设应急物资储备库</w:t>
      </w:r>
      <w:r>
        <w:rPr>
          <w:rFonts w:hint="eastAsia"/>
          <w:lang w:val="en-US" w:eastAsia="zh-CN"/>
        </w:rPr>
        <w:t>，</w:t>
      </w:r>
      <w:r>
        <w:rPr>
          <w:rFonts w:hint="default"/>
          <w:lang w:val="en-US" w:eastAsia="zh-CN"/>
        </w:rPr>
        <w:t>储备必要的防火、防疫、救援物资</w:t>
      </w:r>
      <w:r>
        <w:rPr>
          <w:rFonts w:hint="eastAsia"/>
          <w:lang w:val="en-US" w:eastAsia="zh-CN"/>
        </w:rPr>
        <w:t>，</w:t>
      </w:r>
      <w:r>
        <w:rPr>
          <w:rFonts w:hint="default"/>
          <w:lang w:val="en-US" w:eastAsia="zh-CN"/>
        </w:rPr>
        <w:t>确保应急需求。</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r>
        <w:rPr>
          <w:rFonts w:hint="default"/>
          <w:lang w:val="en-US" w:eastAsia="zh-CN"/>
        </w:rPr>
        <w:t>强化管护队伍能力建设</w:t>
      </w:r>
      <w:r>
        <w:rPr>
          <w:rFonts w:hint="eastAsia"/>
          <w:lang w:val="en-US" w:eastAsia="zh-CN"/>
        </w:rPr>
        <w:t>，</w:t>
      </w:r>
      <w:r>
        <w:rPr>
          <w:rFonts w:hint="default"/>
          <w:lang w:val="en-US" w:eastAsia="zh-CN"/>
        </w:rPr>
        <w:t>建立管护人员培训长效机制</w:t>
      </w:r>
      <w:r>
        <w:rPr>
          <w:rFonts w:hint="eastAsia"/>
          <w:lang w:val="en-US" w:eastAsia="zh-CN"/>
        </w:rPr>
        <w:t>，</w:t>
      </w:r>
      <w:r>
        <w:rPr>
          <w:rFonts w:hint="default"/>
          <w:lang w:val="en-US" w:eastAsia="zh-CN"/>
        </w:rPr>
        <w:t>制定年度培训计划</w:t>
      </w:r>
      <w:r>
        <w:rPr>
          <w:rFonts w:hint="eastAsia"/>
          <w:lang w:val="en-US" w:eastAsia="zh-CN"/>
        </w:rPr>
        <w:t>，</w:t>
      </w:r>
      <w:r>
        <w:rPr>
          <w:rFonts w:hint="default"/>
          <w:lang w:val="en-US" w:eastAsia="zh-CN"/>
        </w:rPr>
        <w:t>开展森林防火、有害生物防治、野生动植物保护、资源监测、法律法规、应急处置等专业技能培训</w:t>
      </w:r>
      <w:r>
        <w:rPr>
          <w:rFonts w:hint="eastAsia"/>
          <w:lang w:val="en-US" w:eastAsia="zh-CN"/>
        </w:rPr>
        <w:t>，</w:t>
      </w:r>
      <w:r>
        <w:rPr>
          <w:rFonts w:hint="default"/>
          <w:lang w:val="en-US" w:eastAsia="zh-CN"/>
        </w:rPr>
        <w:t>每年组织季度业务培训和应急演练</w:t>
      </w:r>
      <w:r>
        <w:rPr>
          <w:rFonts w:hint="eastAsia"/>
          <w:lang w:val="en-US" w:eastAsia="zh-CN"/>
        </w:rPr>
        <w:t>，</w:t>
      </w:r>
      <w:r>
        <w:rPr>
          <w:rFonts w:hint="default"/>
          <w:lang w:val="en-US" w:eastAsia="zh-CN"/>
        </w:rPr>
        <w:t>提升管护人员专业化水平和综合素质。加强与林草科研院所、高等院校的合作</w:t>
      </w:r>
      <w:r>
        <w:rPr>
          <w:rFonts w:hint="eastAsia"/>
          <w:lang w:val="en-US" w:eastAsia="zh-CN"/>
        </w:rPr>
        <w:t>，</w:t>
      </w:r>
      <w:r>
        <w:rPr>
          <w:rFonts w:hint="default"/>
          <w:lang w:val="en-US" w:eastAsia="zh-CN"/>
        </w:rPr>
        <w:t>邀请专家学者开展专题讲座和现场指导</w:t>
      </w:r>
      <w:r>
        <w:rPr>
          <w:rFonts w:hint="eastAsia"/>
          <w:lang w:val="en-US" w:eastAsia="zh-CN"/>
        </w:rPr>
        <w:t>，</w:t>
      </w:r>
      <w:r>
        <w:rPr>
          <w:rFonts w:hint="default"/>
          <w:lang w:val="en-US" w:eastAsia="zh-CN"/>
        </w:rPr>
        <w:t>提升管护人员技术能力。完善管护人员考核评价机制</w:t>
      </w:r>
      <w:r>
        <w:rPr>
          <w:rFonts w:hint="eastAsia"/>
          <w:lang w:val="en-US" w:eastAsia="zh-CN"/>
        </w:rPr>
        <w:t>，</w:t>
      </w:r>
      <w:r>
        <w:rPr>
          <w:rFonts w:hint="default"/>
          <w:lang w:val="en-US" w:eastAsia="zh-CN"/>
        </w:rPr>
        <w:t>建立绩效激励机制</w:t>
      </w:r>
      <w:r>
        <w:rPr>
          <w:rFonts w:hint="eastAsia"/>
          <w:lang w:val="en-US" w:eastAsia="zh-CN"/>
        </w:rPr>
        <w:t>，</w:t>
      </w:r>
      <w:r>
        <w:rPr>
          <w:rFonts w:hint="default"/>
          <w:lang w:val="en-US" w:eastAsia="zh-CN"/>
        </w:rPr>
        <w:t>激发管护人员工作积极性。完善薪酬待遇体系</w:t>
      </w:r>
      <w:r>
        <w:rPr>
          <w:rFonts w:hint="eastAsia"/>
          <w:lang w:val="en-US" w:eastAsia="zh-CN"/>
        </w:rPr>
        <w:t>，</w:t>
      </w:r>
      <w:r>
        <w:rPr>
          <w:rFonts w:hint="default"/>
          <w:lang w:val="en-US" w:eastAsia="zh-CN"/>
        </w:rPr>
        <w:t>增强管护队伍稳定性。探索引入专业技术人员和大学生</w:t>
      </w:r>
      <w:r>
        <w:rPr>
          <w:rFonts w:hint="eastAsia"/>
          <w:lang w:val="en-US" w:eastAsia="zh-CN"/>
        </w:rPr>
        <w:t>，</w:t>
      </w:r>
      <w:r>
        <w:rPr>
          <w:rFonts w:hint="default"/>
          <w:lang w:val="en-US" w:eastAsia="zh-CN"/>
        </w:rPr>
        <w:t>优化管护队伍年龄结构和专业结构</w:t>
      </w:r>
      <w:r>
        <w:rPr>
          <w:rFonts w:hint="eastAsia"/>
          <w:lang w:val="en-US" w:eastAsia="zh-CN"/>
        </w:rPr>
        <w:t>，</w:t>
      </w:r>
      <w:r>
        <w:rPr>
          <w:rFonts w:hint="default"/>
          <w:lang w:val="en-US" w:eastAsia="zh-CN"/>
        </w:rPr>
        <w:t>提升管护队伍整体素质。</w:t>
      </w:r>
    </w:p>
    <w:p>
      <w:pPr>
        <w:pStyle w:val="7"/>
        <w:widowControl w:val="0"/>
        <w:spacing w:before="0"/>
        <w:jc w:val="center"/>
        <w:rPr>
          <w:rFonts w:ascii="黑体" w:hAnsi="黑体" w:eastAsia="黑体" w:cs="黑体"/>
          <w:b/>
          <w:bCs/>
          <w:spacing w:val="1"/>
          <w:sz w:val="25"/>
          <w:szCs w:val="25"/>
        </w:rPr>
      </w:pPr>
      <w:r>
        <w:rPr>
          <w:rFonts w:ascii="黑体" w:hAnsi="黑体" w:eastAsia="黑体" w:cs="黑体"/>
          <w:b/>
          <w:bCs/>
          <w:spacing w:val="1"/>
          <w:sz w:val="25"/>
          <w:szCs w:val="25"/>
        </w:rPr>
        <w:t>表4-</w:t>
      </w:r>
      <w:r>
        <w:rPr>
          <w:rFonts w:hint="eastAsia" w:ascii="黑体" w:hAnsi="黑体" w:eastAsia="黑体" w:cs="黑体"/>
          <w:b/>
          <w:bCs/>
          <w:spacing w:val="1"/>
          <w:sz w:val="25"/>
          <w:szCs w:val="25"/>
          <w:lang w:val="en-US" w:eastAsia="zh-CN"/>
        </w:rPr>
        <w:t>3</w:t>
      </w:r>
      <w:r>
        <w:rPr>
          <w:rFonts w:ascii="黑体" w:hAnsi="黑体" w:eastAsia="黑体" w:cs="黑体"/>
          <w:b/>
          <w:bCs/>
          <w:spacing w:val="1"/>
          <w:sz w:val="25"/>
          <w:szCs w:val="25"/>
        </w:rPr>
        <w:t xml:space="preserve"> 管护</w:t>
      </w:r>
      <w:r>
        <w:rPr>
          <w:rFonts w:hint="eastAsia" w:ascii="黑体" w:hAnsi="黑体" w:eastAsia="黑体" w:cs="黑体"/>
          <w:b/>
          <w:bCs/>
          <w:spacing w:val="1"/>
          <w:sz w:val="25"/>
          <w:szCs w:val="25"/>
          <w:lang w:val="en-US" w:eastAsia="zh-CN"/>
        </w:rPr>
        <w:t>能力提升</w:t>
      </w:r>
      <w:r>
        <w:rPr>
          <w:rFonts w:ascii="黑体" w:hAnsi="黑体" w:eastAsia="黑体" w:cs="黑体"/>
          <w:b/>
          <w:bCs/>
          <w:spacing w:val="1"/>
          <w:sz w:val="25"/>
          <w:szCs w:val="25"/>
        </w:rPr>
        <w:t>规划一览表</w:t>
      </w:r>
    </w:p>
    <w:tbl>
      <w:tblPr>
        <w:tblStyle w:val="14"/>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8"/>
        <w:gridCol w:w="812"/>
        <w:gridCol w:w="2308"/>
        <w:gridCol w:w="1230"/>
        <w:gridCol w:w="814"/>
        <w:gridCol w:w="604"/>
        <w:gridCol w:w="604"/>
        <w:gridCol w:w="744"/>
        <w:gridCol w:w="8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序号</w:t>
            </w:r>
          </w:p>
        </w:tc>
        <w:tc>
          <w:tcPr>
            <w:tcW w:w="8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实施单位</w:t>
            </w:r>
          </w:p>
        </w:tc>
        <w:tc>
          <w:tcPr>
            <w:tcW w:w="495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snapToGrid w:val="0"/>
                <w:color w:val="000000"/>
                <w:kern w:val="0"/>
                <w:sz w:val="18"/>
                <w:szCs w:val="18"/>
                <w:u w:val="none"/>
                <w:lang w:val="en-US" w:eastAsia="zh-CN" w:bidi="ar"/>
              </w:rPr>
            </w:pPr>
            <w:r>
              <w:rPr>
                <w:rFonts w:hint="eastAsia" w:ascii="宋体" w:hAnsi="宋体" w:eastAsia="宋体" w:cs="宋体"/>
                <w:b/>
                <w:bCs/>
                <w:i w:val="0"/>
                <w:iCs w:val="0"/>
                <w:snapToGrid w:val="0"/>
                <w:color w:val="000000"/>
                <w:kern w:val="0"/>
                <w:sz w:val="18"/>
                <w:szCs w:val="18"/>
                <w:u w:val="none"/>
                <w:lang w:val="en-US" w:eastAsia="zh-CN" w:bidi="ar"/>
              </w:rPr>
              <w:t>智能管护设备</w:t>
            </w:r>
          </w:p>
        </w:tc>
        <w:tc>
          <w:tcPr>
            <w:tcW w:w="22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应急设备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8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2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无人机、视频定点监控设备、高空云台及其他智能信息化管护设备等</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便携式或固定无人值守无人机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自动巡护机器狗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高空云台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手持终端</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安全防护装备</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应急处理设施设备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8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2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8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b/>
                <w:bCs/>
                <w:i w:val="0"/>
                <w:iCs w:val="0"/>
                <w:color w:val="000000"/>
                <w:sz w:val="18"/>
                <w:szCs w:val="18"/>
                <w:u w:val="none"/>
              </w:rPr>
            </w:pPr>
          </w:p>
        </w:tc>
        <w:tc>
          <w:tcPr>
            <w:tcW w:w="23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架、套</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个/套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snapToGrid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伊吾县</w:t>
            </w:r>
          </w:p>
        </w:tc>
        <w:tc>
          <w:tcPr>
            <w:tcW w:w="23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5</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hint="eastAsia" w:ascii="宋体" w:hAnsi="宋体" w:eastAsia="宋体" w:cs="宋体"/>
                <w:i w:val="0"/>
                <w:iCs w:val="0"/>
                <w:color w:val="000000"/>
                <w:sz w:val="24"/>
                <w:szCs w:val="24"/>
                <w:u w:val="none"/>
              </w:rPr>
            </w:pPr>
          </w:p>
        </w:tc>
      </w:tr>
    </w:tbl>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pP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default"/>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ind w:left="0" w:leftChars="0" w:firstLine="0" w:firstLineChars="0"/>
        <w:jc w:val="center"/>
        <w:rPr>
          <w:rFonts w:hint="eastAsia"/>
          <w:lang w:val="en-US" w:eastAsia="zh-CN"/>
        </w:rPr>
      </w:pPr>
      <w:bookmarkStart w:id="102" w:name="_Toc1592"/>
      <w:bookmarkStart w:id="103" w:name="_Toc28098"/>
      <w:bookmarkStart w:id="104" w:name="_Toc1992"/>
      <w:r>
        <w:rPr>
          <w:rFonts w:hint="eastAsia"/>
          <w:lang w:val="en-US" w:eastAsia="zh-CN"/>
        </w:rPr>
        <w:t>第五章 林区转型发展</w:t>
      </w:r>
      <w:bookmarkEnd w:id="102"/>
      <w:bookmarkEnd w:id="103"/>
      <w:bookmarkEnd w:id="104"/>
    </w:p>
    <w:p>
      <w:pPr>
        <w:pStyle w:val="3"/>
        <w:numPr>
          <w:ilvl w:val="0"/>
          <w:numId w:val="23"/>
        </w:numPr>
        <w:bidi w:val="0"/>
        <w:rPr>
          <w:rFonts w:hint="eastAsia"/>
          <w:lang w:val="en-US" w:eastAsia="zh-CN"/>
        </w:rPr>
      </w:pPr>
      <w:bookmarkStart w:id="105" w:name="_Toc9190"/>
      <w:bookmarkStart w:id="106" w:name="_Toc13525"/>
      <w:bookmarkStart w:id="107" w:name="_Toc23005"/>
      <w:r>
        <w:rPr>
          <w:rFonts w:hint="eastAsia"/>
          <w:lang w:val="en-US" w:eastAsia="zh-CN"/>
        </w:rPr>
        <w:t>民生保障</w:t>
      </w:r>
      <w:bookmarkEnd w:id="105"/>
      <w:bookmarkEnd w:id="106"/>
      <w:bookmarkEnd w:id="107"/>
    </w:p>
    <w:p>
      <w:pPr>
        <w:pStyle w:val="4"/>
        <w:numPr>
          <w:ilvl w:val="0"/>
          <w:numId w:val="24"/>
        </w:numPr>
        <w:bidi w:val="0"/>
        <w:ind w:left="840" w:leftChars="0" w:firstLineChars="0"/>
        <w:rPr>
          <w:rFonts w:hint="eastAsia"/>
          <w:lang w:val="en-US" w:eastAsia="zh-CN"/>
        </w:rPr>
      </w:pPr>
      <w:bookmarkStart w:id="108" w:name="_Toc351"/>
      <w:bookmarkStart w:id="109" w:name="_Toc4685"/>
      <w:bookmarkStart w:id="110" w:name="_Toc19439"/>
      <w:r>
        <w:rPr>
          <w:rFonts w:hint="eastAsia"/>
          <w:lang w:val="en-US" w:eastAsia="zh-CN"/>
        </w:rPr>
        <w:t>现状</w:t>
      </w:r>
      <w:bookmarkEnd w:id="108"/>
      <w:bookmarkEnd w:id="109"/>
      <w:bookmarkEnd w:id="110"/>
    </w:p>
    <w:p>
      <w:pPr>
        <w:pStyle w:val="5"/>
        <w:numPr>
          <w:ilvl w:val="0"/>
          <w:numId w:val="25"/>
        </w:numPr>
        <w:bidi w:val="0"/>
        <w:rPr>
          <w:rFonts w:hint="eastAsia"/>
          <w:lang w:val="en-US" w:eastAsia="zh-CN"/>
        </w:rPr>
      </w:pPr>
      <w:bookmarkStart w:id="111" w:name="_Toc13369"/>
      <w:r>
        <w:rPr>
          <w:rFonts w:hint="eastAsia"/>
          <w:lang w:val="en-US" w:eastAsia="zh-CN"/>
        </w:rPr>
        <w:t>基层实施单位资金保障</w:t>
      </w:r>
      <w:bookmarkEnd w:id="111"/>
    </w:p>
    <w:p>
      <w:pPr>
        <w:pStyle w:val="7"/>
        <w:spacing w:before="0"/>
        <w:rPr>
          <w:rFonts w:hint="eastAsia"/>
          <w:lang w:val="en-US" w:eastAsia="zh-CN"/>
        </w:rPr>
      </w:pPr>
      <w:r>
        <w:rPr>
          <w:rFonts w:hint="eastAsia"/>
          <w:lang w:val="en-US" w:eastAsia="zh-CN"/>
        </w:rPr>
        <w:t>伊吾县天然林保护修复工作由县级林业主管部门统筹协调，基层实施单位为7个管护站点（1个中心管护站、6个管护站），共同承担天然林、国家公益林管护、修复、监测等具体任务。资金来源以中央财政林业和草原生态保护恢复资金（森林生态保护修复补偿项目）为主，为天然林保护修复工作提供稳定的资金支撑。通过建立规范的资金管理制度，实行资金使用公开透明、专款专用、绩效评价等管理机制，确保资金使用效率和安全性，保障天然林保护修复工作持续稳定开展。</w:t>
      </w:r>
    </w:p>
    <w:p>
      <w:pPr>
        <w:pStyle w:val="5"/>
        <w:numPr>
          <w:ilvl w:val="0"/>
          <w:numId w:val="2"/>
        </w:numPr>
        <w:bidi w:val="0"/>
        <w:rPr>
          <w:rFonts w:hint="eastAsia"/>
          <w:lang w:val="en-US" w:eastAsia="zh-CN"/>
        </w:rPr>
      </w:pPr>
      <w:bookmarkStart w:id="112" w:name="_Toc28019"/>
      <w:r>
        <w:rPr>
          <w:rFonts w:hint="eastAsia"/>
          <w:lang w:val="en-US" w:eastAsia="zh-CN"/>
        </w:rPr>
        <w:t>在编职工配置情况</w:t>
      </w:r>
      <w:bookmarkEnd w:id="112"/>
    </w:p>
    <w:p>
      <w:pPr>
        <w:pStyle w:val="7"/>
        <w:keepNext w:val="0"/>
        <w:keepLines w:val="0"/>
        <w:pageBreakBefore w:val="0"/>
        <w:widowControl w:val="0"/>
        <w:kinsoku w:val="0"/>
        <w:wordWrap/>
        <w:overflowPunct/>
        <w:topLinePunct w:val="0"/>
        <w:autoSpaceDE w:val="0"/>
        <w:autoSpaceDN w:val="0"/>
        <w:bidi w:val="0"/>
        <w:adjustRightInd w:val="0"/>
        <w:snapToGrid w:val="0"/>
        <w:spacing w:before="0"/>
        <w:ind w:left="0" w:leftChars="0" w:firstLine="540" w:firstLineChars="200"/>
        <w:textAlignment w:val="baseline"/>
        <w:rPr>
          <w:rFonts w:hint="default"/>
          <w:lang w:val="en-US" w:eastAsia="zh-CN"/>
        </w:rPr>
      </w:pPr>
      <w:r>
        <w:rPr>
          <w:rFonts w:hint="eastAsia"/>
          <w:lang w:val="en-US" w:eastAsia="zh-CN"/>
        </w:rPr>
        <w:t>伊吾县</w:t>
      </w:r>
      <w:r>
        <w:rPr>
          <w:rFonts w:hint="default"/>
          <w:lang w:val="en-US" w:eastAsia="zh-CN"/>
        </w:rPr>
        <w:t>有</w:t>
      </w:r>
      <w:r>
        <w:rPr>
          <w:rFonts w:hint="eastAsia"/>
          <w:lang w:val="en-US" w:eastAsia="zh-CN"/>
        </w:rPr>
        <w:t>二</w:t>
      </w:r>
      <w:r>
        <w:rPr>
          <w:rFonts w:hint="default"/>
          <w:lang w:val="en-US" w:eastAsia="zh-CN"/>
        </w:rPr>
        <w:t>个公益一类天保单位，为</w:t>
      </w:r>
      <w:r>
        <w:rPr>
          <w:rFonts w:hint="eastAsia"/>
          <w:lang w:val="en-US" w:eastAsia="zh-CN"/>
        </w:rPr>
        <w:t>伊吾县河谷林管理站、伊吾县胡杨林工作站</w:t>
      </w:r>
      <w:r>
        <w:rPr>
          <w:rFonts w:hint="default"/>
          <w:lang w:val="en-US" w:eastAsia="zh-CN"/>
        </w:rPr>
        <w:t>。核定编制</w:t>
      </w:r>
      <w:r>
        <w:rPr>
          <w:rFonts w:hint="eastAsia"/>
          <w:lang w:val="en-US" w:eastAsia="zh-CN"/>
        </w:rPr>
        <w:t>7</w:t>
      </w:r>
      <w:r>
        <w:rPr>
          <w:rFonts w:hint="default"/>
          <w:lang w:val="en-US" w:eastAsia="zh-CN"/>
        </w:rPr>
        <w:t>人，实际在岗职工</w:t>
      </w:r>
      <w:r>
        <w:rPr>
          <w:rFonts w:hint="eastAsia"/>
          <w:lang w:val="en-US" w:eastAsia="zh-CN"/>
        </w:rPr>
        <w:t>5</w:t>
      </w:r>
      <w:r>
        <w:rPr>
          <w:rFonts w:hint="default"/>
          <w:lang w:val="en-US" w:eastAsia="zh-CN"/>
        </w:rPr>
        <w:t>人，均为</w:t>
      </w:r>
      <w:r>
        <w:rPr>
          <w:rFonts w:hint="eastAsia"/>
          <w:lang w:val="en-US" w:eastAsia="zh-CN"/>
        </w:rPr>
        <w:t>一线管护</w:t>
      </w:r>
      <w:r>
        <w:rPr>
          <w:rFonts w:hint="default"/>
          <w:lang w:val="en-US" w:eastAsia="zh-CN"/>
        </w:rPr>
        <w:t>人员。薪酬待遇方面，</w:t>
      </w:r>
      <w:r>
        <w:rPr>
          <w:rFonts w:hint="eastAsia"/>
          <w:lang w:val="en-US" w:eastAsia="zh-CN"/>
        </w:rPr>
        <w:t>伊吾县</w:t>
      </w:r>
      <w:r>
        <w:rPr>
          <w:rFonts w:hint="default"/>
          <w:lang w:val="en-US" w:eastAsia="zh-CN"/>
        </w:rPr>
        <w:t>在岗职工年平均工资为</w:t>
      </w:r>
      <w:r>
        <w:rPr>
          <w:rFonts w:hint="eastAsia"/>
          <w:lang w:val="en-US" w:eastAsia="zh-CN"/>
        </w:rPr>
        <w:t>9.41</w:t>
      </w:r>
      <w:r>
        <w:rPr>
          <w:rFonts w:hint="default"/>
          <w:lang w:val="en-US" w:eastAsia="zh-CN"/>
        </w:rPr>
        <w:t>万元，其社会保险缴费比例：缴纳养老保险16%、失业保险0.5%、医疗保险6</w:t>
      </w:r>
      <w:r>
        <w:rPr>
          <w:rFonts w:hint="eastAsia"/>
          <w:lang w:val="en-US" w:eastAsia="zh-CN"/>
        </w:rPr>
        <w:t>.5</w:t>
      </w:r>
      <w:r>
        <w:rPr>
          <w:rFonts w:hint="default"/>
          <w:lang w:val="en-US" w:eastAsia="zh-CN"/>
        </w:rPr>
        <w:t>%、大额医疗保险</w:t>
      </w:r>
      <w:r>
        <w:rPr>
          <w:rFonts w:hint="eastAsia"/>
          <w:lang w:val="en-US" w:eastAsia="zh-CN"/>
        </w:rPr>
        <w:t>比例0.15%、</w:t>
      </w:r>
      <w:r>
        <w:rPr>
          <w:rFonts w:hint="default"/>
          <w:lang w:val="en-US" w:eastAsia="zh-CN"/>
        </w:rPr>
        <w:t>工伤保险0.2%</w:t>
      </w:r>
      <w:r>
        <w:rPr>
          <w:rFonts w:hint="eastAsia"/>
          <w:lang w:val="en-US" w:eastAsia="zh-CN"/>
        </w:rPr>
        <w:t>，</w:t>
      </w:r>
      <w:r>
        <w:rPr>
          <w:rFonts w:hint="default"/>
          <w:lang w:val="en-US" w:eastAsia="zh-CN"/>
        </w:rPr>
        <w:t>社保缴存比例占工资的2</w:t>
      </w:r>
      <w:r>
        <w:rPr>
          <w:rFonts w:hint="eastAsia"/>
          <w:lang w:val="en-US" w:eastAsia="zh-CN"/>
        </w:rPr>
        <w:t>3.35</w:t>
      </w:r>
      <w:r>
        <w:rPr>
          <w:rFonts w:hint="default"/>
          <w:lang w:val="en-US" w:eastAsia="zh-CN"/>
        </w:rPr>
        <w:t>%</w:t>
      </w:r>
      <w:r>
        <w:rPr>
          <w:rFonts w:hint="eastAsia"/>
          <w:lang w:val="en-US" w:eastAsia="zh-CN"/>
        </w:rPr>
        <w:t>。</w:t>
      </w:r>
      <w:r>
        <w:rPr>
          <w:rFonts w:hint="default"/>
          <w:lang w:val="en-US" w:eastAsia="zh-CN"/>
        </w:rPr>
        <w:t>在岗职工社会保障实现全覆盖，权益得到有效保障，职工工资及社会保险费用全部由地方财政拨款保障，确保职工收入稳定。</w:t>
      </w:r>
    </w:p>
    <w:p>
      <w:pPr>
        <w:pStyle w:val="5"/>
        <w:numPr>
          <w:ilvl w:val="0"/>
          <w:numId w:val="2"/>
        </w:numPr>
        <w:bidi w:val="0"/>
        <w:rPr>
          <w:rFonts w:hint="eastAsia"/>
          <w:lang w:val="en-US" w:eastAsia="zh-CN"/>
        </w:rPr>
      </w:pPr>
      <w:bookmarkStart w:id="113" w:name="_Toc30340"/>
      <w:r>
        <w:rPr>
          <w:rFonts w:hint="eastAsia"/>
          <w:lang w:val="en-US" w:eastAsia="zh-CN"/>
        </w:rPr>
        <w:t>就业促进与脱贫巩固</w:t>
      </w:r>
      <w:bookmarkEnd w:id="113"/>
    </w:p>
    <w:p>
      <w:pPr>
        <w:pStyle w:val="7"/>
        <w:keepNext w:val="0"/>
        <w:keepLines w:val="0"/>
        <w:pageBreakBefore w:val="0"/>
        <w:widowControl w:val="0"/>
        <w:kinsoku w:val="0"/>
        <w:wordWrap/>
        <w:overflowPunct/>
        <w:topLinePunct w:val="0"/>
        <w:autoSpaceDE/>
        <w:autoSpaceDN/>
        <w:bidi w:val="0"/>
        <w:adjustRightInd w:val="0"/>
        <w:snapToGrid w:val="0"/>
        <w:spacing w:before="0"/>
        <w:ind w:left="0" w:leftChars="0" w:firstLine="540" w:firstLineChars="200"/>
        <w:textAlignment w:val="baseline"/>
        <w:rPr>
          <w:rFonts w:hint="eastAsia"/>
          <w:lang w:val="en-US" w:eastAsia="zh-CN"/>
        </w:rPr>
      </w:pPr>
      <w:r>
        <w:rPr>
          <w:rFonts w:hint="eastAsia"/>
          <w:lang w:val="en-US" w:eastAsia="zh-CN"/>
        </w:rPr>
        <w:t>伊吾县天然林及国家公益林管护任务主要由社会聘用人员承担。目前伊吾县一线管护人员89人，分布在7个管护站点，承担203.40万亩天然林及国家公益林的日常管护任务，管护人员人均管护面积约2.29万亩。管护人员主要来源于林区周边乡镇农牧民，通过公开招聘、择优录取的方式选聘，优先从已脱贫家庭中选聘生态护林员，参与天然林及国家公益林日常巡护、火灾防控、病虫害监测、违法行为制止、修复工程实施等工作，增加工资性收入，助力脱贫攻坚成果巩固和乡村振兴战略实施，实现生态保护与民生改善的有机统一。</w:t>
      </w:r>
    </w:p>
    <w:p>
      <w:pPr>
        <w:pStyle w:val="4"/>
        <w:numPr>
          <w:ilvl w:val="0"/>
          <w:numId w:val="15"/>
        </w:numPr>
        <w:bidi w:val="0"/>
        <w:ind w:left="840" w:leftChars="0" w:firstLineChars="0"/>
        <w:rPr>
          <w:rFonts w:hint="eastAsia"/>
          <w:lang w:val="en-US" w:eastAsia="zh-CN"/>
        </w:rPr>
      </w:pPr>
      <w:bookmarkStart w:id="114" w:name="_Toc7416"/>
      <w:bookmarkStart w:id="115" w:name="_Toc22694"/>
      <w:bookmarkStart w:id="116" w:name="_Toc15672"/>
      <w:r>
        <w:rPr>
          <w:rFonts w:hint="eastAsia"/>
          <w:lang w:val="en-US" w:eastAsia="zh-CN"/>
        </w:rPr>
        <w:t>职工就业</w:t>
      </w:r>
      <w:bookmarkEnd w:id="114"/>
      <w:bookmarkEnd w:id="115"/>
      <w:bookmarkEnd w:id="116"/>
    </w:p>
    <w:p>
      <w:pPr>
        <w:pStyle w:val="5"/>
        <w:numPr>
          <w:ilvl w:val="0"/>
          <w:numId w:val="26"/>
        </w:numPr>
        <w:bidi w:val="0"/>
        <w:rPr>
          <w:rFonts w:hint="eastAsia"/>
          <w:lang w:val="en-US" w:eastAsia="zh-CN"/>
        </w:rPr>
      </w:pPr>
      <w:bookmarkStart w:id="117" w:name="_Toc30855"/>
      <w:r>
        <w:rPr>
          <w:rFonts w:hint="eastAsia"/>
          <w:lang w:val="en-US" w:eastAsia="zh-CN"/>
        </w:rPr>
        <w:t>管护队伍稳定机制</w:t>
      </w:r>
      <w:bookmarkEnd w:id="117"/>
    </w:p>
    <w:p>
      <w:pPr>
        <w:pStyle w:val="7"/>
        <w:bidi w:val="0"/>
        <w:spacing w:before="0"/>
        <w:rPr>
          <w:rFonts w:hint="eastAsia"/>
          <w:lang w:val="en-US" w:eastAsia="zh-CN"/>
        </w:rPr>
      </w:pPr>
      <w:r>
        <w:rPr>
          <w:rFonts w:hint="eastAsia"/>
          <w:lang w:val="en-US" w:eastAsia="zh-CN"/>
        </w:rPr>
        <w:t>持续深化国有林场改革，确保管护机构正常运转与社会稳定。聚焦管护人员民生改善，优化工作和生活条件，配备必要的巡护装备、通讯设备、防护用品等，保障管护人员健康及人身安全。在喀尔里克山北坡山区、淖毛湖荒漠戈壁等自然条件严酷地区，加强管护站点基础设施建设，改善管护人员住宿、饮水、取暖等生活条件，增强职业吸引力和队伍稳定性。</w:t>
      </w:r>
    </w:p>
    <w:p>
      <w:pPr>
        <w:pStyle w:val="7"/>
        <w:bidi w:val="0"/>
        <w:spacing w:before="0"/>
        <w:rPr>
          <w:rFonts w:hint="eastAsia"/>
          <w:lang w:val="en-US" w:eastAsia="zh-CN"/>
        </w:rPr>
      </w:pPr>
      <w:r>
        <w:rPr>
          <w:rFonts w:hint="eastAsia"/>
          <w:lang w:val="en-US" w:eastAsia="zh-CN"/>
        </w:rPr>
        <w:t>强化管护人员参与权与民主决策权，建立定期座谈交流机制，听取管护人员意见建议，及时解决工作生活中的实际困难。开展形式多样的文体活动，丰富管护人员业余生活，增强团队凝聚力和归属感。通过举办职业技能竞赛、评选先进典型、宣传优秀事迹等方式，激发管护人员工作热情，增强获得感与幸福感。</w:t>
      </w:r>
    </w:p>
    <w:p>
      <w:pPr>
        <w:pStyle w:val="5"/>
        <w:numPr>
          <w:ilvl w:val="0"/>
          <w:numId w:val="2"/>
        </w:numPr>
        <w:bidi w:val="0"/>
        <w:rPr>
          <w:rFonts w:hint="eastAsia"/>
          <w:lang w:val="en-US" w:eastAsia="zh-CN"/>
        </w:rPr>
      </w:pPr>
      <w:bookmarkStart w:id="118" w:name="_Toc16729"/>
      <w:r>
        <w:rPr>
          <w:rFonts w:hint="eastAsia"/>
          <w:lang w:val="en-US" w:eastAsia="zh-CN"/>
        </w:rPr>
        <w:t>技术能力提升</w:t>
      </w:r>
      <w:bookmarkEnd w:id="118"/>
    </w:p>
    <w:p>
      <w:pPr>
        <w:pStyle w:val="7"/>
        <w:keepNext w:val="0"/>
        <w:keepLines w:val="0"/>
        <w:pageBreakBefore w:val="0"/>
        <w:widowControl w:val="0"/>
        <w:kinsoku w:val="0"/>
        <w:wordWrap/>
        <w:overflowPunct/>
        <w:topLinePunct w:val="0"/>
        <w:autoSpaceDE w:val="0"/>
        <w:autoSpaceDN w:val="0"/>
        <w:bidi w:val="0"/>
        <w:adjustRightInd w:val="0"/>
        <w:snapToGrid w:val="0"/>
        <w:spacing w:before="0"/>
        <w:textAlignment w:val="baseline"/>
        <w:rPr>
          <w:rFonts w:hint="eastAsia"/>
          <w:lang w:val="en-US" w:eastAsia="zh-CN"/>
        </w:rPr>
      </w:pPr>
      <w:r>
        <w:rPr>
          <w:rFonts w:hint="eastAsia"/>
          <w:lang w:val="en-US" w:eastAsia="zh-CN"/>
        </w:rPr>
        <w:t>加强管护人员技术培训，建立分级分类培训体系。每年组织开展天然林保护修复政策法规、管护技术规范、森林防火技能、病虫害识别防治、应急处置能力等专题培训，提高管护人员业务素质和履职能力。鼓励管护人员通过自学、函授、网络教育等方式提升学历水平，支持工勤技能人员通过职称评审、认定晋升林草专业技术职称，建立“能力提升—职称晋升—待遇提高”的良性激励机制。</w:t>
      </w:r>
    </w:p>
    <w:p>
      <w:pPr>
        <w:pStyle w:val="7"/>
        <w:keepNext w:val="0"/>
        <w:keepLines w:val="0"/>
        <w:pageBreakBefore w:val="0"/>
        <w:widowControl w:val="0"/>
        <w:kinsoku w:val="0"/>
        <w:wordWrap/>
        <w:overflowPunct/>
        <w:topLinePunct w:val="0"/>
        <w:autoSpaceDE w:val="0"/>
        <w:autoSpaceDN w:val="0"/>
        <w:bidi w:val="0"/>
        <w:adjustRightInd w:val="0"/>
        <w:snapToGrid w:val="0"/>
        <w:spacing w:before="0"/>
        <w:textAlignment w:val="baseline"/>
        <w:rPr>
          <w:rFonts w:hint="eastAsia"/>
          <w:lang w:val="en-US" w:eastAsia="zh-CN"/>
        </w:rPr>
      </w:pPr>
      <w:r>
        <w:rPr>
          <w:rFonts w:hint="eastAsia"/>
          <w:lang w:val="en-US" w:eastAsia="zh-CN"/>
        </w:rPr>
        <w:t>邀请高等院校、科研院所专家开展现场指导和技术帮扶，组织管护人员到先进地区学习交流，拓宽视野、更新理念、掌握新技术新方法。建立管护人员技术档案，记录培训经历、技能等级、工作业绩等信息，作为岗位调整、待遇提升、评先选优的重要依据，激励管护人员不断提升专业能力。</w:t>
      </w:r>
    </w:p>
    <w:p>
      <w:pPr>
        <w:pStyle w:val="5"/>
        <w:numPr>
          <w:ilvl w:val="0"/>
          <w:numId w:val="2"/>
        </w:numPr>
        <w:bidi w:val="0"/>
        <w:rPr>
          <w:rFonts w:hint="eastAsia"/>
          <w:lang w:val="en-US" w:eastAsia="zh-CN"/>
        </w:rPr>
      </w:pPr>
      <w:bookmarkStart w:id="119" w:name="_Toc15265"/>
      <w:r>
        <w:rPr>
          <w:rFonts w:hint="eastAsia"/>
          <w:lang w:val="en-US" w:eastAsia="zh-CN"/>
        </w:rPr>
        <w:t>公益岗位开发利用</w:t>
      </w:r>
      <w:bookmarkEnd w:id="119"/>
    </w:p>
    <w:p>
      <w:pPr>
        <w:pStyle w:val="6"/>
        <w:bidi w:val="0"/>
        <w:rPr>
          <w:rFonts w:hint="eastAsia"/>
          <w:lang w:val="en-US" w:eastAsia="zh-CN"/>
        </w:rPr>
      </w:pPr>
      <w:r>
        <w:rPr>
          <w:rFonts w:hint="eastAsia"/>
          <w:lang w:val="en-US" w:eastAsia="zh-CN"/>
        </w:rPr>
        <w:t>强化地方政府责任，完善民生保障长效机制。结合天然林管护、巡护、修复等任务设立公益性岗位，优先聘用并鼓励当地农牧民担任生态护林员、技术指导员、工程管护员等，通过参与天然林保护修复任务获取劳务报酬。建立“人人干事、多劳多得、优绩优酬”的激励导向，根据管护面积、工作难度、履职情况等因素合理确定劳务报酬标准，既解决生态保护的人力需求，又为当地农牧民提供稳定就业机会。</w:t>
      </w:r>
    </w:p>
    <w:p>
      <w:pPr>
        <w:pStyle w:val="4"/>
        <w:numPr>
          <w:ilvl w:val="0"/>
          <w:numId w:val="15"/>
        </w:numPr>
        <w:bidi w:val="0"/>
        <w:ind w:left="840" w:leftChars="0" w:firstLineChars="0"/>
        <w:rPr>
          <w:rFonts w:hint="eastAsia"/>
          <w:lang w:val="en-US" w:eastAsia="zh-CN"/>
        </w:rPr>
      </w:pPr>
      <w:bookmarkStart w:id="120" w:name="_Toc24819"/>
      <w:bookmarkStart w:id="121" w:name="_Toc19440"/>
      <w:bookmarkStart w:id="122" w:name="_Toc20755"/>
      <w:r>
        <w:rPr>
          <w:rFonts w:hint="eastAsia"/>
          <w:lang w:val="en-US" w:eastAsia="zh-CN"/>
        </w:rPr>
        <w:t>运行管理</w:t>
      </w:r>
      <w:bookmarkEnd w:id="120"/>
      <w:bookmarkEnd w:id="121"/>
      <w:bookmarkEnd w:id="122"/>
    </w:p>
    <w:p>
      <w:pPr>
        <w:pStyle w:val="5"/>
        <w:numPr>
          <w:ilvl w:val="0"/>
          <w:numId w:val="27"/>
        </w:numPr>
        <w:bidi w:val="0"/>
        <w:rPr>
          <w:rFonts w:hint="eastAsia"/>
          <w:lang w:val="en-US" w:eastAsia="zh-CN"/>
        </w:rPr>
      </w:pPr>
      <w:bookmarkStart w:id="123" w:name="_Toc11515"/>
      <w:r>
        <w:rPr>
          <w:rFonts w:hint="eastAsia"/>
          <w:lang w:val="en-US" w:eastAsia="zh-CN"/>
        </w:rPr>
        <w:t>管护人员配置规划</w:t>
      </w:r>
      <w:bookmarkEnd w:id="123"/>
    </w:p>
    <w:p>
      <w:pPr>
        <w:pStyle w:val="7"/>
        <w:keepNext w:val="0"/>
        <w:keepLines w:val="0"/>
        <w:pageBreakBefore w:val="0"/>
        <w:widowControl/>
        <w:kinsoku w:val="0"/>
        <w:wordWrap/>
        <w:overflowPunct/>
        <w:topLinePunct w:val="0"/>
        <w:autoSpaceDE w:val="0"/>
        <w:autoSpaceDN w:val="0"/>
        <w:bidi w:val="0"/>
        <w:adjustRightInd w:val="0"/>
        <w:snapToGrid w:val="0"/>
        <w:spacing w:before="0"/>
        <w:textAlignment w:val="baseline"/>
        <w:rPr>
          <w:rFonts w:hint="eastAsia"/>
          <w:lang w:val="en-US" w:eastAsia="zh-CN"/>
        </w:rPr>
      </w:pPr>
      <w:r>
        <w:rPr>
          <w:rFonts w:hint="eastAsia"/>
          <w:lang w:val="en-US" w:eastAsia="zh-CN"/>
        </w:rPr>
        <w:t>2026至2035年，伊吾县规划累计长期聘用管护人员728人次，年均73人次。按照逐步加强智能化管护、合理优化管护人员配置的原则，长期聘用管护人员数量从2026年的89人逐步调整至2030年的68人，至2035年保持在68人。通过应用无人机巡护、高空云台监控、GPS、北斗定位系统等现代信息技术手段，提高管护效率，在保障管护质量的前提下合理控制人员规模。</w:t>
      </w:r>
    </w:p>
    <w:p>
      <w:pPr>
        <w:pStyle w:val="7"/>
        <w:keepNext w:val="0"/>
        <w:keepLines w:val="0"/>
        <w:pageBreakBefore w:val="0"/>
        <w:widowControl/>
        <w:kinsoku w:val="0"/>
        <w:wordWrap/>
        <w:overflowPunct/>
        <w:topLinePunct w:val="0"/>
        <w:autoSpaceDE w:val="0"/>
        <w:autoSpaceDN w:val="0"/>
        <w:bidi w:val="0"/>
        <w:adjustRightInd w:val="0"/>
        <w:snapToGrid w:val="0"/>
        <w:spacing w:before="0"/>
        <w:textAlignment w:val="baseline"/>
        <w:rPr>
          <w:rFonts w:hint="eastAsia"/>
          <w:lang w:val="en-US" w:eastAsia="zh-CN"/>
        </w:rPr>
      </w:pPr>
      <w:r>
        <w:rPr>
          <w:rFonts w:hint="eastAsia"/>
          <w:lang w:val="en-US" w:eastAsia="zh-CN"/>
        </w:rPr>
        <w:t>规划期内不再安排临时聘用（季节性管护人员），通过优化长期聘用管护人员的工作安排和任务分配，统筹做好日常管护和季节性重点工作。在春季森林防火期、病虫害集中防治期、修复工程实施期等关键时段，采取管护人员集中调配、加班补助、任务外包（涉及政府采购的，依法通过公开竞争方式确定承接主体）等方式，确保各项工作任务高质量完成。</w:t>
      </w:r>
    </w:p>
    <w:p>
      <w:pPr>
        <w:pStyle w:val="7"/>
        <w:keepNext w:val="0"/>
        <w:keepLines w:val="0"/>
        <w:pageBreakBefore w:val="0"/>
        <w:widowControl w:val="0"/>
        <w:kinsoku w:val="0"/>
        <w:wordWrap/>
        <w:overflowPunct/>
        <w:topLinePunct w:val="0"/>
        <w:autoSpaceDE w:val="0"/>
        <w:autoSpaceDN w:val="0"/>
        <w:bidi w:val="0"/>
        <w:adjustRightInd w:val="0"/>
        <w:snapToGrid w:val="0"/>
        <w:spacing w:before="0"/>
        <w:textAlignment w:val="baseline"/>
        <w:rPr>
          <w:rFonts w:hint="eastAsia"/>
          <w:lang w:val="en-US" w:eastAsia="zh-CN"/>
        </w:rPr>
      </w:pPr>
      <w:r>
        <w:rPr>
          <w:rFonts w:hint="eastAsia"/>
          <w:lang w:val="en-US" w:eastAsia="zh-CN"/>
        </w:rPr>
        <w:t>根据天然林分布特点、地形地貌条件、管护难易程度，科学划定管护责任区，实行网格化管理。山地针叶林重点管护区配备专职护林员实施全年驻站管护，林农交错地带采取网格化管护模式，荒漠林区采取巡护与定点监测相结合的方式，确保管护责任全覆盖、无盲区。</w:t>
      </w:r>
    </w:p>
    <w:p>
      <w:pPr>
        <w:pStyle w:val="5"/>
        <w:numPr>
          <w:ilvl w:val="0"/>
          <w:numId w:val="2"/>
        </w:numPr>
        <w:bidi w:val="0"/>
        <w:rPr>
          <w:rFonts w:hint="eastAsia"/>
          <w:lang w:val="en-US" w:eastAsia="zh-CN"/>
        </w:rPr>
      </w:pPr>
      <w:bookmarkStart w:id="124" w:name="_Toc9919"/>
      <w:r>
        <w:rPr>
          <w:rFonts w:hint="eastAsia"/>
          <w:lang w:val="en-US" w:eastAsia="zh-CN"/>
        </w:rPr>
        <w:t>薪酬待遇标准确定</w:t>
      </w:r>
      <w:bookmarkEnd w:id="124"/>
    </w:p>
    <w:p>
      <w:pPr>
        <w:pStyle w:val="7"/>
        <w:bidi w:val="0"/>
        <w:spacing w:before="0"/>
        <w:rPr>
          <w:rFonts w:hint="eastAsia"/>
          <w:lang w:val="en-US" w:eastAsia="zh-CN"/>
        </w:rPr>
      </w:pPr>
      <w:r>
        <w:rPr>
          <w:rFonts w:hint="eastAsia"/>
          <w:lang w:val="en-US" w:eastAsia="zh-CN"/>
        </w:rPr>
        <w:t>2026至2035年，规划长期聘用管护</w:t>
      </w:r>
      <w:r>
        <w:rPr>
          <w:rFonts w:hint="eastAsia"/>
          <w:highlight w:val="none"/>
          <w:lang w:val="en-US" w:eastAsia="zh-CN"/>
        </w:rPr>
        <w:t>人员人均年工资从7.20</w:t>
      </w:r>
      <w:r>
        <w:rPr>
          <w:rFonts w:hint="eastAsia"/>
          <w:lang w:val="en-US" w:eastAsia="zh-CN"/>
        </w:rPr>
        <w:t>万元逐步增加至9.0万元，</w:t>
      </w:r>
      <w:r>
        <w:rPr>
          <w:rFonts w:hint="eastAsia"/>
          <w:color w:val="auto"/>
          <w:lang w:val="en-US" w:eastAsia="zh-CN"/>
        </w:rPr>
        <w:t>年均平均增长率约2.51%，</w:t>
      </w:r>
      <w:r>
        <w:rPr>
          <w:rFonts w:hint="eastAsia"/>
          <w:lang w:val="en-US" w:eastAsia="zh-CN"/>
        </w:rPr>
        <w:t>与当地经济社会发展水平和物价上涨水平相适应。管护人员工资标准涵盖基本工资、绩效工资、岗位津贴、生活补助等内容，同时包括单位为管护人员承担的养老保险、医疗保险、失业保险、工伤保险、生育保险等社会保险费用，确保管护人员权益得到全面保障。</w:t>
      </w:r>
    </w:p>
    <w:p>
      <w:pPr>
        <w:pStyle w:val="5"/>
        <w:numPr>
          <w:ilvl w:val="0"/>
          <w:numId w:val="2"/>
        </w:numPr>
        <w:bidi w:val="0"/>
        <w:rPr>
          <w:rFonts w:hint="eastAsia"/>
          <w:color w:val="auto"/>
          <w:lang w:val="en-US" w:eastAsia="zh-CN"/>
        </w:rPr>
      </w:pPr>
      <w:bookmarkStart w:id="125" w:name="_Toc10861"/>
      <w:r>
        <w:rPr>
          <w:rFonts w:hint="eastAsia"/>
          <w:color w:val="auto"/>
          <w:lang w:val="en-US" w:eastAsia="zh-CN"/>
        </w:rPr>
        <w:t>公共管护经费安排</w:t>
      </w:r>
      <w:bookmarkEnd w:id="125"/>
    </w:p>
    <w:p>
      <w:pPr>
        <w:pStyle w:val="7"/>
        <w:bidi w:val="0"/>
        <w:spacing w:before="0"/>
        <w:rPr>
          <w:rFonts w:hint="eastAsia"/>
          <w:lang w:val="en-US" w:eastAsia="zh-CN"/>
        </w:rPr>
      </w:pPr>
      <w:r>
        <w:rPr>
          <w:rFonts w:hint="eastAsia"/>
          <w:lang w:val="en-US" w:eastAsia="zh-CN"/>
        </w:rPr>
        <w:t>2026至2035年，伊吾县公共管护支出从天然林保护资金中统筹安排，主要用于办公经费、运行保障经费等方面支出，年度额度结合中央财政资金下达情况确定，保障天然林保护修复工作正常运转。</w:t>
      </w:r>
    </w:p>
    <w:p>
      <w:pPr>
        <w:pStyle w:val="7"/>
        <w:bidi w:val="0"/>
        <w:spacing w:before="0"/>
        <w:rPr>
          <w:rFonts w:hint="eastAsia"/>
          <w:lang w:val="en-US" w:eastAsia="zh-CN"/>
        </w:rPr>
      </w:pPr>
      <w:r>
        <w:rPr>
          <w:rFonts w:hint="eastAsia"/>
          <w:lang w:val="en-US" w:eastAsia="zh-CN"/>
        </w:rPr>
        <w:t>办公经费方面，规划期内累计安排50万元，年均5万元，主要用于管护站点日常办公用品购置、文件资料印刷、通讯费用等基本支出，确保管护机构正常运转。</w:t>
      </w:r>
    </w:p>
    <w:p>
      <w:pPr>
        <w:pStyle w:val="7"/>
        <w:bidi w:val="0"/>
        <w:spacing w:before="0"/>
        <w:rPr>
          <w:rFonts w:hint="eastAsia"/>
          <w:lang w:val="en-US" w:eastAsia="zh-CN"/>
        </w:rPr>
      </w:pPr>
      <w:r>
        <w:rPr>
          <w:rFonts w:hint="eastAsia"/>
          <w:lang w:val="en-US" w:eastAsia="zh-CN"/>
        </w:rPr>
        <w:t>运行保障经费方面，规划期内累计安排821万元，每年安排79至83万元，涵盖管护车辆维护、管护站运行、应急分队建设与运维、宣传培训、管护辅助设施、原有设备维护及链路费等六项内容，具体如下：</w:t>
      </w:r>
    </w:p>
    <w:p>
      <w:pPr>
        <w:pStyle w:val="7"/>
        <w:bidi w:val="0"/>
        <w:spacing w:before="0"/>
        <w:rPr>
          <w:rFonts w:hint="eastAsia"/>
          <w:lang w:val="en-US" w:eastAsia="zh-CN"/>
        </w:rPr>
      </w:pPr>
      <w:r>
        <w:rPr>
          <w:rFonts w:hint="eastAsia"/>
          <w:lang w:val="en-US" w:eastAsia="zh-CN"/>
        </w:rPr>
        <w:t>（1）管护车辆维护：伊吾县配备运兵车、洒水车、巡护车10辆、摩托车17辆，规划期内每年安排车辆维护费用27万元，累计270万元，用于车辆油料补给、保险购置、故障维修、年检审验等，确保管护车辆安全运行、性能良好。</w:t>
      </w:r>
    </w:p>
    <w:p>
      <w:pPr>
        <w:pStyle w:val="7"/>
        <w:bidi w:val="0"/>
        <w:spacing w:before="0"/>
        <w:rPr>
          <w:rFonts w:hint="eastAsia"/>
          <w:lang w:val="en-US" w:eastAsia="zh-CN"/>
        </w:rPr>
      </w:pPr>
      <w:r>
        <w:rPr>
          <w:rFonts w:hint="eastAsia"/>
          <w:lang w:val="en-US" w:eastAsia="zh-CN"/>
        </w:rPr>
        <w:t>（2）管护站运行费：规划期内每年安排15万元，累计150万元，用于管护站水、电、暖供应，污水处理，简易维修，消防设施配备与维护，安全生产设施设备购置与维护等日常必要的生产及生活设施设备费用，保障管护人员工作生活正常开展。</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lang w:val="en-US" w:eastAsia="zh-CN"/>
        </w:rPr>
      </w:pPr>
      <w:r>
        <w:rPr>
          <w:rFonts w:hint="eastAsia"/>
          <w:lang w:val="en-US" w:eastAsia="zh-CN"/>
        </w:rPr>
        <w:t>（3）应急分队建设与运维费：规划期内每年20万元，累计200万元，配备必要的应急装备、通讯设备等，提高应对森林火灾、病虫害暴发、盗伐盗猎等突发事件的快速反应能力。建立应急响应机制，明确应急响应流程、处置程序、联动机制，定期开展实战化应急演练，提高管护人员应急处置能力和体能素质。</w:t>
      </w:r>
    </w:p>
    <w:p>
      <w:pPr>
        <w:pStyle w:val="7"/>
        <w:bidi w:val="0"/>
        <w:spacing w:before="0"/>
        <w:rPr>
          <w:rFonts w:hint="eastAsia"/>
          <w:lang w:val="en-US" w:eastAsia="zh-CN"/>
        </w:rPr>
      </w:pPr>
      <w:r>
        <w:rPr>
          <w:rFonts w:hint="eastAsia"/>
          <w:lang w:val="en-US" w:eastAsia="zh-CN"/>
        </w:rPr>
        <w:t>（4）宣传培训：规划期内每年安排10万元，累计100万元，用于制作宣传牌、宣传用品，开展护林员培训，提高管护人员业务素质和社会公众生态保护意识。通过在林区入口、主要道路、重点区域设置宣传牌，印发宣传手册、宣传单，利用广播电视、网络媒体等多种形式，广泛宣传天然林保护修复的重要意义、政策法规、典型案例等，营造全社会关心支持天然林保护的良好氛围。</w:t>
      </w:r>
    </w:p>
    <w:p>
      <w:pPr>
        <w:pStyle w:val="7"/>
        <w:bidi w:val="0"/>
        <w:spacing w:before="0"/>
        <w:rPr>
          <w:rFonts w:hint="eastAsia"/>
          <w:lang w:val="en-US" w:eastAsia="zh-CN"/>
        </w:rPr>
      </w:pPr>
      <w:r>
        <w:rPr>
          <w:rFonts w:hint="eastAsia"/>
          <w:lang w:val="en-US" w:eastAsia="zh-CN"/>
        </w:rPr>
        <w:t>（5）管护辅助设施：规划期内每年安排3万元，累计30万元，用于管护辅助设施建设，主要用于制作宣传警示牌，在重点林区、林农交错地带、人为活动频繁区域设置宣传警示牌，提高公众保护意识，营造全社会共同保护天然林的良好氛围。</w:t>
      </w:r>
    </w:p>
    <w:p>
      <w:pPr>
        <w:pStyle w:val="7"/>
        <w:bidi w:val="0"/>
        <w:spacing w:before="0"/>
        <w:rPr>
          <w:rFonts w:hint="eastAsia"/>
          <w:lang w:val="en-US" w:eastAsia="zh-CN"/>
        </w:rPr>
      </w:pPr>
      <w:r>
        <w:rPr>
          <w:rFonts w:hint="eastAsia"/>
          <w:lang w:val="en-US" w:eastAsia="zh-CN"/>
        </w:rPr>
        <w:t>（6）原有设备维护及链路费：规划期内每年安排4-8万元，累计71万元，用于原有巡护设备、通讯设备、信息系统等的维护维修和网络链路租用费用，确保设备设施正常运行、信息传输畅通。</w:t>
      </w:r>
    </w:p>
    <w:p>
      <w:pPr>
        <w:pStyle w:val="3"/>
        <w:numPr>
          <w:ilvl w:val="0"/>
          <w:numId w:val="23"/>
        </w:numPr>
        <w:bidi w:val="0"/>
        <w:rPr>
          <w:rFonts w:hint="eastAsia"/>
          <w:lang w:val="en-US" w:eastAsia="zh-CN"/>
        </w:rPr>
      </w:pPr>
      <w:bookmarkStart w:id="126" w:name="_Toc16767"/>
      <w:r>
        <w:rPr>
          <w:rFonts w:hint="eastAsia"/>
          <w:lang w:val="en-US" w:eastAsia="zh-CN"/>
        </w:rPr>
        <w:t>转型发展</w:t>
      </w:r>
      <w:bookmarkEnd w:id="126"/>
    </w:p>
    <w:p>
      <w:pPr>
        <w:pStyle w:val="7"/>
        <w:rPr>
          <w:rFonts w:hint="eastAsia"/>
          <w:lang w:val="en-US" w:eastAsia="zh-CN"/>
        </w:rPr>
      </w:pPr>
      <w:r>
        <w:t>推动天然林保护从“养人”向“干事创业”转变，调动护林员和林业职工积极性，激发担当作为与干事创</w:t>
      </w:r>
      <w:r>
        <w:rPr>
          <w:rFonts w:hint="eastAsia"/>
          <w:lang w:val="en-US" w:eastAsia="zh-CN"/>
        </w:rPr>
        <w:t>业热情。秉持保护优先、科学利用原则，在严格保护前提下，充分挖掘天然林生态旅游潜力。</w:t>
      </w:r>
    </w:p>
    <w:p>
      <w:pPr>
        <w:pStyle w:val="7"/>
        <w:keepNext w:val="0"/>
        <w:keepLines w:val="0"/>
        <w:pageBreakBefore w:val="0"/>
        <w:widowControl/>
        <w:kinsoku w:val="0"/>
        <w:wordWrap/>
        <w:overflowPunct/>
        <w:topLinePunct w:val="0"/>
        <w:autoSpaceDE/>
        <w:autoSpaceDN/>
        <w:bidi w:val="0"/>
        <w:adjustRightInd w:val="0"/>
        <w:snapToGrid w:val="0"/>
        <w:spacing w:before="0"/>
        <w:textAlignment w:val="baseline"/>
        <w:rPr>
          <w:rFonts w:hint="eastAsia"/>
          <w:lang w:val="en-US" w:eastAsia="zh-CN"/>
        </w:rPr>
      </w:pPr>
      <w:r>
        <w:rPr>
          <w:rFonts w:hint="eastAsia"/>
          <w:lang w:val="en-US" w:eastAsia="zh-CN"/>
        </w:rPr>
        <w:t>依托喀尔里克山北坡山地森林生态资源、伊吾河流域河谷湿地生态资源、新疆伊吾县胡杨林国家沙漠公园，适度发展生态观光旅游、森林康养、自然教育、生态体验等绿色产业。结合丝路文化、东天山文化特色，将林业发展历程、生态文明建设成就等融入旅游产品，开发诸如：生态观光、科普研学、生态文化体验、乡村旅游等多元化旅游产品。</w:t>
      </w:r>
    </w:p>
    <w:p>
      <w:pPr>
        <w:pStyle w:val="7"/>
        <w:bidi w:val="0"/>
        <w:spacing w:before="0"/>
        <w:rPr>
          <w:rFonts w:hint="eastAsia"/>
          <w:lang w:val="en-US" w:eastAsia="zh-CN"/>
        </w:rPr>
      </w:pPr>
      <w:r>
        <w:rPr>
          <w:rFonts w:hint="eastAsia"/>
          <w:lang w:val="en-US" w:eastAsia="zh-CN"/>
        </w:rPr>
        <w:t>严格控制旅游开发强度，依据相关自然保护地管理规定，在国家森林公园、国家沙漠公园内按功能定位和利用强度，可以规划生态保育区和合理利用区，设置游客容量上限和游客活动限制区，减少游客踩踏和车辆碾压对天然林的影响。</w:t>
      </w:r>
    </w:p>
    <w:p>
      <w:pPr>
        <w:pStyle w:val="7"/>
        <w:keepNext w:val="0"/>
        <w:keepLines w:val="0"/>
        <w:pageBreakBefore w:val="0"/>
        <w:widowControl/>
        <w:kinsoku w:val="0"/>
        <w:wordWrap/>
        <w:overflowPunct/>
        <w:topLinePunct w:val="0"/>
        <w:autoSpaceDE w:val="0"/>
        <w:autoSpaceDN w:val="0"/>
        <w:bidi w:val="0"/>
        <w:adjustRightInd w:val="0"/>
        <w:snapToGrid w:val="0"/>
        <w:spacing w:before="0"/>
        <w:textAlignment w:val="baseline"/>
        <w:rPr>
          <w:rFonts w:hint="eastAsia"/>
          <w:lang w:val="en-US" w:eastAsia="zh-CN"/>
        </w:rPr>
      </w:pPr>
      <w:r>
        <w:rPr>
          <w:rFonts w:hint="eastAsia"/>
          <w:lang w:val="en-US" w:eastAsia="zh-CN"/>
        </w:rPr>
        <w:t>探索“生态补偿+产业发展”模式，将生态保护成效与当地群众收益挂钩。优先吸纳林区周边居民、边境地区群众从事生态旅游服务、森林管护、自然教育等工作，带动周边群众增收致富。培训生态讲解员、森林康养等专业人才，提升生态旅游服务质量。实现生态保护与经济发展良性互动，把绿水青山转化为金山银山，为建设美丽伊吾、美丽哈密、美丽新疆提供有力支撑。</w:t>
      </w:r>
    </w:p>
    <w:p>
      <w:pPr>
        <w:pStyle w:val="7"/>
        <w:keepNext w:val="0"/>
        <w:keepLines w:val="0"/>
        <w:pageBreakBefore w:val="0"/>
        <w:widowControl/>
        <w:kinsoku w:val="0"/>
        <w:wordWrap/>
        <w:overflowPunct/>
        <w:topLinePunct w:val="0"/>
        <w:autoSpaceDE w:val="0"/>
        <w:autoSpaceDN w:val="0"/>
        <w:bidi w:val="0"/>
        <w:adjustRightInd w:val="0"/>
        <w:snapToGrid w:val="0"/>
        <w:spacing w:before="0"/>
        <w:ind w:left="0" w:leftChars="0" w:firstLine="0" w:firstLineChars="0"/>
        <w:textAlignment w:val="baseline"/>
        <w:rPr>
          <w:rFonts w:hint="eastAsia"/>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ind w:left="0" w:leftChars="0" w:firstLine="0" w:firstLineChars="0"/>
        <w:jc w:val="center"/>
        <w:rPr>
          <w:rFonts w:hint="eastAsia"/>
          <w:lang w:val="en-US" w:eastAsia="zh-CN"/>
        </w:rPr>
      </w:pPr>
      <w:bookmarkStart w:id="127" w:name="_Toc7088"/>
      <w:bookmarkStart w:id="128" w:name="_Toc29114"/>
      <w:bookmarkStart w:id="129" w:name="_Toc20753"/>
      <w:r>
        <w:rPr>
          <w:rFonts w:hint="eastAsia"/>
          <w:lang w:val="en-US" w:eastAsia="zh-CN"/>
        </w:rPr>
        <w:t>第六章 投资估算与资金筹措</w:t>
      </w:r>
      <w:bookmarkEnd w:id="127"/>
      <w:bookmarkEnd w:id="128"/>
      <w:bookmarkEnd w:id="129"/>
    </w:p>
    <w:p>
      <w:pPr>
        <w:pStyle w:val="3"/>
        <w:numPr>
          <w:ilvl w:val="0"/>
          <w:numId w:val="28"/>
        </w:numPr>
        <w:bidi w:val="0"/>
        <w:rPr>
          <w:rFonts w:hint="eastAsia"/>
          <w:lang w:val="en-US" w:eastAsia="zh-CN"/>
        </w:rPr>
      </w:pPr>
      <w:bookmarkStart w:id="130" w:name="_Toc10920"/>
      <w:bookmarkStart w:id="131" w:name="_Toc17897"/>
      <w:bookmarkStart w:id="132" w:name="_Toc23083"/>
      <w:r>
        <w:rPr>
          <w:rFonts w:hint="eastAsia"/>
          <w:lang w:val="en-US" w:eastAsia="zh-CN"/>
        </w:rPr>
        <w:t>投资估算依据</w:t>
      </w:r>
      <w:bookmarkEnd w:id="130"/>
      <w:bookmarkEnd w:id="131"/>
      <w:bookmarkEnd w:id="132"/>
    </w:p>
    <w:p>
      <w:pPr>
        <w:pStyle w:val="4"/>
        <w:numPr>
          <w:ilvl w:val="0"/>
          <w:numId w:val="29"/>
        </w:numPr>
        <w:bidi w:val="0"/>
        <w:ind w:left="840" w:leftChars="0" w:firstLineChars="0"/>
        <w:rPr>
          <w:rFonts w:hint="eastAsia"/>
          <w:lang w:val="en-US" w:eastAsia="zh-CN"/>
        </w:rPr>
      </w:pPr>
      <w:bookmarkStart w:id="133" w:name="_Toc28972"/>
      <w:bookmarkStart w:id="134" w:name="_Toc11086"/>
      <w:bookmarkStart w:id="135" w:name="_Toc9199"/>
      <w:r>
        <w:rPr>
          <w:rFonts w:hint="eastAsia"/>
          <w:lang w:val="en-US" w:eastAsia="zh-CN"/>
        </w:rPr>
        <w:t>估算依据</w:t>
      </w:r>
      <w:bookmarkEnd w:id="133"/>
      <w:bookmarkEnd w:id="134"/>
      <w:bookmarkEnd w:id="135"/>
    </w:p>
    <w:p>
      <w:pPr>
        <w:pStyle w:val="6"/>
        <w:keepNext w:val="0"/>
        <w:keepLines w:val="0"/>
        <w:pageBreakBefore w:val="0"/>
        <w:widowControl w:val="0"/>
        <w:kinsoku/>
        <w:wordWrap/>
        <w:overflowPunct/>
        <w:topLinePunct w:val="0"/>
        <w:autoSpaceDE/>
        <w:autoSpaceDN/>
        <w:bidi w:val="0"/>
        <w:adjustRightInd w:val="0"/>
        <w:snapToGrid/>
        <w:spacing w:before="101"/>
        <w:textAlignment w:val="auto"/>
        <w:rPr>
          <w:rFonts w:hint="eastAsia"/>
          <w:lang w:val="en-US" w:eastAsia="zh-CN"/>
        </w:rPr>
      </w:pPr>
      <w:r>
        <w:rPr>
          <w:rFonts w:hint="eastAsia"/>
          <w:lang w:val="en-US" w:eastAsia="zh-CN"/>
        </w:rPr>
        <w:t>《全国天然林保护修复中长期规划(2021-2035年)》</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lang w:val="en-US" w:eastAsia="zh-CN"/>
        </w:rPr>
      </w:pPr>
      <w:r>
        <w:rPr>
          <w:rFonts w:hint="eastAsia"/>
          <w:lang w:val="en-US" w:eastAsia="zh-CN"/>
        </w:rPr>
        <w:t>《新疆维吾尔自治区天然林保护修复中长期规划(2021-2035年)》</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lang w:val="en-US" w:eastAsia="zh-CN"/>
        </w:rPr>
      </w:pPr>
      <w:r>
        <w:rPr>
          <w:rFonts w:hint="eastAsia"/>
          <w:lang w:val="en-US" w:eastAsia="zh-CN"/>
        </w:rPr>
        <w:t>《新疆维吾尔自治区林业改革发展资金管理实施细则》</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lang w:val="en-US" w:eastAsia="zh-CN"/>
        </w:rPr>
      </w:pPr>
      <w:r>
        <w:rPr>
          <w:rFonts w:hint="eastAsia"/>
          <w:lang w:val="en-US" w:eastAsia="zh-CN"/>
        </w:rPr>
        <w:t>《新疆维吾尔自治区林业草原生态保护恢复资金管理实施办法》</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lang w:val="en-US" w:eastAsia="zh-CN"/>
        </w:rPr>
      </w:pPr>
      <w:r>
        <w:rPr>
          <w:rFonts w:hint="eastAsia"/>
          <w:lang w:val="en-US" w:eastAsia="zh-CN"/>
        </w:rPr>
        <w:t>《新疆维吾尔自治区国家级公益林管护办法》</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lang w:val="en-US" w:eastAsia="zh-CN"/>
        </w:rPr>
      </w:pPr>
      <w:r>
        <w:rPr>
          <w:rFonts w:hint="eastAsia"/>
          <w:lang w:val="en-US" w:eastAsia="zh-CN"/>
        </w:rPr>
        <w:t>《重点区域生态保护和修复项目投资估算指南》</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lang w:val="en-US" w:eastAsia="zh-CN"/>
        </w:rPr>
      </w:pPr>
      <w:r>
        <w:rPr>
          <w:rFonts w:hint="eastAsia"/>
          <w:lang w:val="en-US" w:eastAsia="zh-CN"/>
        </w:rPr>
        <w:t>自治区林业和草原局相关技术规程和定额标准</w:t>
      </w:r>
    </w:p>
    <w:p>
      <w:pPr>
        <w:pStyle w:val="6"/>
        <w:keepNext w:val="0"/>
        <w:keepLines w:val="0"/>
        <w:pageBreakBefore w:val="0"/>
        <w:widowControl w:val="0"/>
        <w:kinsoku/>
        <w:wordWrap/>
        <w:overflowPunct/>
        <w:topLinePunct w:val="0"/>
        <w:autoSpaceDE/>
        <w:autoSpaceDN/>
        <w:bidi w:val="0"/>
        <w:adjustRightInd w:val="0"/>
        <w:snapToGrid/>
        <w:spacing w:before="0"/>
        <w:textAlignment w:val="auto"/>
        <w:rPr>
          <w:rFonts w:hint="eastAsia"/>
          <w:lang w:val="en-US" w:eastAsia="zh-CN"/>
        </w:rPr>
      </w:pPr>
      <w:r>
        <w:rPr>
          <w:rFonts w:hint="eastAsia"/>
          <w:lang w:val="en-US" w:eastAsia="zh-CN"/>
        </w:rPr>
        <w:t>哈密市实际情况及市场价格水平</w:t>
      </w:r>
    </w:p>
    <w:p>
      <w:pPr>
        <w:pStyle w:val="4"/>
        <w:numPr>
          <w:ilvl w:val="0"/>
          <w:numId w:val="15"/>
        </w:numPr>
        <w:bidi w:val="0"/>
        <w:ind w:left="840" w:leftChars="0" w:firstLineChars="0"/>
        <w:rPr>
          <w:rFonts w:hint="eastAsia"/>
          <w:lang w:val="en-US" w:eastAsia="zh-CN"/>
        </w:rPr>
      </w:pPr>
      <w:bookmarkStart w:id="136" w:name="_Toc7375"/>
      <w:bookmarkStart w:id="137" w:name="_Toc21858"/>
      <w:bookmarkStart w:id="138" w:name="_Toc7991"/>
      <w:r>
        <w:rPr>
          <w:rFonts w:hint="eastAsia"/>
          <w:lang w:val="en-US" w:eastAsia="zh-CN"/>
        </w:rPr>
        <w:t>估算原则</w:t>
      </w:r>
      <w:bookmarkEnd w:id="136"/>
      <w:bookmarkEnd w:id="137"/>
      <w:bookmarkEnd w:id="138"/>
    </w:p>
    <w:p>
      <w:pPr>
        <w:pStyle w:val="7"/>
        <w:bidi w:val="0"/>
        <w:rPr>
          <w:rFonts w:hint="eastAsia"/>
          <w:lang w:val="en-US" w:eastAsia="zh-CN"/>
        </w:rPr>
      </w:pPr>
      <w:r>
        <w:rPr>
          <w:rFonts w:hint="eastAsia"/>
          <w:b/>
          <w:bCs/>
          <w:lang w:val="en-US" w:eastAsia="zh-CN"/>
        </w:rPr>
        <w:t>——坚持实事求是原则。</w:t>
      </w:r>
      <w:r>
        <w:rPr>
          <w:rFonts w:hint="eastAsia"/>
          <w:lang w:val="en-US" w:eastAsia="zh-CN"/>
        </w:rPr>
        <w:t>根据伊吾县天然林资源现状、保护修复任务需求和经济发展水平合理确定投资规模。</w:t>
      </w:r>
    </w:p>
    <w:p>
      <w:pPr>
        <w:pStyle w:val="6"/>
        <w:bidi w:val="0"/>
        <w:rPr>
          <w:rFonts w:hint="eastAsia"/>
          <w:lang w:val="en-US" w:eastAsia="zh-CN"/>
        </w:rPr>
      </w:pPr>
      <w:r>
        <w:rPr>
          <w:rFonts w:hint="eastAsia"/>
          <w:b/>
          <w:bCs/>
          <w:lang w:val="en-US" w:eastAsia="zh-CN"/>
        </w:rPr>
        <w:t>——坚持统筹兼顾原则。</w:t>
      </w:r>
      <w:r>
        <w:rPr>
          <w:rFonts w:hint="eastAsia"/>
          <w:lang w:val="en-US" w:eastAsia="zh-CN"/>
        </w:rPr>
        <w:t>统筹考虑保护、修复、管护、能力建设等各方面资金需求，确保投资结构合理。</w:t>
      </w:r>
    </w:p>
    <w:p>
      <w:pPr>
        <w:pStyle w:val="6"/>
        <w:bidi w:val="0"/>
        <w:rPr>
          <w:rFonts w:hint="eastAsia"/>
          <w:lang w:val="en-US" w:eastAsia="zh-CN"/>
        </w:rPr>
      </w:pPr>
      <w:r>
        <w:rPr>
          <w:rFonts w:hint="eastAsia"/>
          <w:b/>
          <w:bCs/>
          <w:lang w:val="en-US" w:eastAsia="zh-CN"/>
        </w:rPr>
        <w:t>——坚持节约高效原则。</w:t>
      </w:r>
      <w:r>
        <w:rPr>
          <w:rFonts w:hint="eastAsia"/>
          <w:lang w:val="en-US" w:eastAsia="zh-CN"/>
        </w:rPr>
        <w:t>严格控制投资标准，提高资金使用效益，避免重复投资和资金浪费。</w:t>
      </w:r>
    </w:p>
    <w:p>
      <w:pPr>
        <w:pStyle w:val="6"/>
        <w:bidi w:val="0"/>
        <w:rPr>
          <w:rFonts w:hint="eastAsia"/>
          <w:lang w:val="en-US" w:eastAsia="zh-CN"/>
        </w:rPr>
      </w:pPr>
      <w:r>
        <w:rPr>
          <w:rFonts w:hint="eastAsia"/>
          <w:b/>
          <w:bCs/>
          <w:lang w:val="en-US" w:eastAsia="zh-CN"/>
        </w:rPr>
        <w:t>——坚持动态调整原则。</w:t>
      </w:r>
      <w:r>
        <w:rPr>
          <w:rFonts w:hint="eastAsia"/>
          <w:lang w:val="en-US" w:eastAsia="zh-CN"/>
        </w:rPr>
        <w:t>根据政策变化、价格水平变动等因素适时调整投资估算。</w:t>
      </w:r>
    </w:p>
    <w:p>
      <w:pPr>
        <w:pStyle w:val="3"/>
        <w:numPr>
          <w:ilvl w:val="0"/>
          <w:numId w:val="28"/>
        </w:numPr>
        <w:bidi w:val="0"/>
        <w:rPr>
          <w:rFonts w:hint="eastAsia"/>
          <w:lang w:val="en-US" w:eastAsia="zh-CN"/>
        </w:rPr>
      </w:pPr>
      <w:bookmarkStart w:id="139" w:name="_Toc21829"/>
      <w:bookmarkStart w:id="140" w:name="_Toc24064"/>
      <w:bookmarkStart w:id="141" w:name="_Toc29963"/>
      <w:r>
        <w:rPr>
          <w:rFonts w:hint="eastAsia"/>
          <w:lang w:val="en-US" w:eastAsia="zh-CN"/>
        </w:rPr>
        <w:t>投资估算</w:t>
      </w:r>
      <w:bookmarkEnd w:id="139"/>
      <w:bookmarkEnd w:id="140"/>
      <w:bookmarkEnd w:id="141"/>
    </w:p>
    <w:p>
      <w:pPr>
        <w:pStyle w:val="4"/>
        <w:numPr>
          <w:ilvl w:val="0"/>
          <w:numId w:val="30"/>
        </w:numPr>
        <w:bidi w:val="0"/>
        <w:ind w:left="840" w:leftChars="0" w:firstLineChars="0"/>
        <w:rPr>
          <w:rFonts w:hint="eastAsia"/>
          <w:lang w:val="en-US" w:eastAsia="zh-CN"/>
        </w:rPr>
      </w:pPr>
      <w:bookmarkStart w:id="142" w:name="_Toc7643"/>
      <w:bookmarkStart w:id="143" w:name="_Toc30288"/>
      <w:bookmarkStart w:id="144" w:name="_Toc4818"/>
      <w:r>
        <w:rPr>
          <w:rFonts w:hint="eastAsia"/>
          <w:lang w:val="en-US" w:eastAsia="zh-CN"/>
        </w:rPr>
        <w:t>投资总规模</w:t>
      </w:r>
      <w:bookmarkEnd w:id="142"/>
      <w:bookmarkEnd w:id="143"/>
      <w:bookmarkEnd w:id="144"/>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lang w:val="en-US" w:eastAsia="zh-CN"/>
        </w:rPr>
      </w:pPr>
      <w:r>
        <w:rPr>
          <w:rFonts w:hint="eastAsia"/>
          <w:lang w:val="en-US" w:eastAsia="zh-CN"/>
        </w:rPr>
        <w:t>2021-2035年，伊吾县天然林保护修复规划总投资11178.4万元，其中保护投资11158.4万元、修复投资20万元。资金来源全部为中央财政资金。</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lang w:val="en-US" w:eastAsia="zh-CN"/>
        </w:rPr>
        <w:t>按实施阶段分：2021-2025年累计投资3656.59万元（已完成），占总投资的32.71%；2026年投资775.99万元，占总投资的6.94%；2027-2035年投资6745.82万元，占总投资的60.35%。</w:t>
      </w:r>
    </w:p>
    <w:p>
      <w:pPr>
        <w:pStyle w:val="4"/>
        <w:numPr>
          <w:ilvl w:val="0"/>
          <w:numId w:val="15"/>
        </w:numPr>
        <w:bidi w:val="0"/>
        <w:ind w:left="840" w:leftChars="0" w:firstLineChars="0"/>
        <w:rPr>
          <w:rFonts w:hint="eastAsia"/>
          <w:lang w:val="en-US" w:eastAsia="zh-CN"/>
        </w:rPr>
      </w:pPr>
      <w:bookmarkStart w:id="145" w:name="_Toc9434"/>
      <w:bookmarkStart w:id="146" w:name="_Toc25588"/>
      <w:bookmarkStart w:id="147" w:name="_Toc29907"/>
      <w:r>
        <w:rPr>
          <w:rFonts w:hint="eastAsia"/>
          <w:lang w:val="en-US" w:eastAsia="zh-CN"/>
        </w:rPr>
        <w:t>投资构成</w:t>
      </w:r>
      <w:bookmarkEnd w:id="145"/>
      <w:bookmarkEnd w:id="146"/>
      <w:bookmarkEnd w:id="147"/>
    </w:p>
    <w:p>
      <w:pPr>
        <w:pStyle w:val="6"/>
        <w:bidi w:val="0"/>
        <w:rPr>
          <w:rFonts w:hint="eastAsia"/>
          <w:lang w:val="en-US" w:eastAsia="zh-CN"/>
        </w:rPr>
      </w:pPr>
      <w:r>
        <w:rPr>
          <w:rFonts w:hint="eastAsia"/>
          <w:lang w:val="en-US" w:eastAsia="zh-CN"/>
        </w:rPr>
        <w:t>按支出类别，总投资构成如下：</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9"/>
        <w:gridCol w:w="1156"/>
        <w:gridCol w:w="915"/>
        <w:gridCol w:w="1343"/>
        <w:gridCol w:w="916"/>
        <w:gridCol w:w="916"/>
        <w:gridCol w:w="609"/>
        <w:gridCol w:w="729"/>
        <w:gridCol w:w="729"/>
        <w:gridCol w:w="609"/>
        <w:gridCol w:w="916"/>
        <w:gridCol w:w="831"/>
        <w:gridCol w:w="788"/>
        <w:gridCol w:w="1344"/>
        <w:gridCol w:w="729"/>
        <w:gridCol w:w="10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6"/>
            <w:tcBorders>
              <w:top w:val="nil"/>
              <w:left w:val="nil"/>
              <w:bottom w:val="nil"/>
              <w:right w:val="nil"/>
            </w:tcBorders>
            <w:shd w:val="clear" w:color="auto" w:fill="auto"/>
            <w:vAlign w:val="center"/>
          </w:tcPr>
          <w:p>
            <w:pPr>
              <w:keepNext w:val="0"/>
              <w:keepLines w:val="0"/>
              <w:widowControl/>
              <w:suppressLineNumbers w:val="0"/>
              <w:snapToGrid w:val="0"/>
              <w:jc w:val="center"/>
              <w:textAlignment w:val="center"/>
              <w:rPr>
                <w:rFonts w:ascii="黑体" w:hAnsi="宋体" w:eastAsia="黑体" w:cs="黑体"/>
                <w:b/>
                <w:bCs/>
                <w:i w:val="0"/>
                <w:iCs w:val="0"/>
                <w:color w:val="000000"/>
                <w:sz w:val="29"/>
                <w:szCs w:val="29"/>
                <w:u w:val="none"/>
              </w:rPr>
            </w:pPr>
            <w:r>
              <w:rPr>
                <w:rFonts w:ascii="黑体" w:hAnsi="宋体" w:eastAsia="黑体" w:cs="黑体"/>
                <w:b/>
                <w:bCs/>
                <w:i w:val="0"/>
                <w:iCs w:val="0"/>
                <w:snapToGrid w:val="0"/>
                <w:color w:val="000000"/>
                <w:kern w:val="0"/>
                <w:sz w:val="29"/>
                <w:szCs w:val="29"/>
                <w:u w:val="none"/>
                <w:lang w:val="en-US" w:eastAsia="zh-CN" w:bidi="ar"/>
              </w:rPr>
              <w:t xml:space="preserve">表7-1 </w:t>
            </w:r>
            <w:r>
              <w:rPr>
                <w:rFonts w:hint="eastAsia" w:ascii="黑体" w:hAnsi="宋体" w:eastAsia="黑体" w:cs="黑体"/>
                <w:b/>
                <w:bCs/>
                <w:i w:val="0"/>
                <w:iCs w:val="0"/>
                <w:snapToGrid w:val="0"/>
                <w:color w:val="000000"/>
                <w:kern w:val="0"/>
                <w:sz w:val="29"/>
                <w:szCs w:val="29"/>
                <w:u w:val="none"/>
                <w:lang w:val="en-US" w:eastAsia="zh-CN" w:bidi="ar"/>
              </w:rPr>
              <w:t>伊吾县</w:t>
            </w:r>
            <w:r>
              <w:rPr>
                <w:rFonts w:ascii="黑体" w:hAnsi="宋体" w:eastAsia="黑体" w:cs="黑体"/>
                <w:b/>
                <w:bCs/>
                <w:i w:val="0"/>
                <w:iCs w:val="0"/>
                <w:snapToGrid w:val="0"/>
                <w:color w:val="000000"/>
                <w:kern w:val="0"/>
                <w:sz w:val="29"/>
                <w:szCs w:val="29"/>
                <w:u w:val="none"/>
                <w:lang w:val="en-US" w:eastAsia="zh-CN" w:bidi="ar"/>
              </w:rPr>
              <w:t>天然林保护修复投资构成总表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6"/>
            <w:tcBorders>
              <w:top w:val="nil"/>
              <w:left w:val="nil"/>
              <w:bottom w:val="nil"/>
              <w:right w:val="nil"/>
            </w:tcBorders>
            <w:shd w:val="clear" w:color="auto" w:fill="auto"/>
            <w:vAlign w:val="center"/>
          </w:tcPr>
          <w:p>
            <w:pPr>
              <w:keepNext w:val="0"/>
              <w:keepLines w:val="0"/>
              <w:widowControl/>
              <w:suppressLineNumbers w:val="0"/>
              <w:snapToGrid w:val="0"/>
              <w:jc w:val="right"/>
              <w:textAlignment w:val="center"/>
              <w:rPr>
                <w:rFonts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序号</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单位</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合计</w:t>
            </w:r>
          </w:p>
        </w:tc>
        <w:tc>
          <w:tcPr>
            <w:tcW w:w="295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中央财政资金</w:t>
            </w:r>
          </w:p>
        </w:tc>
        <w:tc>
          <w:tcPr>
            <w:tcW w:w="11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地方财政（规划修复任务配套）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中央财政小计</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2021-2025</w:t>
            </w:r>
            <w:r>
              <w:rPr>
                <w:rStyle w:val="26"/>
                <w:snapToGrid w:val="0"/>
                <w:color w:val="000000"/>
                <w:lang w:val="en-US" w:eastAsia="zh-CN" w:bidi="ar"/>
              </w:rPr>
              <w:t>（已完成）</w:t>
            </w:r>
          </w:p>
        </w:tc>
        <w:tc>
          <w:tcPr>
            <w:tcW w:w="7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2026</w:t>
            </w:r>
          </w:p>
        </w:tc>
        <w:tc>
          <w:tcPr>
            <w:tcW w:w="89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2027-2035</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地方财政小计</w:t>
            </w:r>
          </w:p>
        </w:tc>
        <w:tc>
          <w:tcPr>
            <w:tcW w:w="2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2026</w:t>
            </w:r>
          </w:p>
        </w:tc>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2027-2035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小计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保护</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修复</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小计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保护</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修复</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小计</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保护</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修复</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仿宋" w:hAnsi="仿宋" w:eastAsia="仿宋" w:cs="仿宋"/>
                <w:i w:val="0"/>
                <w:iCs w:val="0"/>
                <w:color w:val="000000"/>
                <w:sz w:val="18"/>
                <w:szCs w:val="18"/>
                <w:u w:val="none"/>
              </w:rPr>
            </w:pPr>
          </w:p>
        </w:tc>
        <w:tc>
          <w:tcPr>
            <w:tcW w:w="2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snapToGrid w:val="0"/>
                <w:color w:val="000000"/>
                <w:kern w:val="0"/>
                <w:sz w:val="18"/>
                <w:szCs w:val="18"/>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伊吾县</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11178.4</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snapToGrid w:val="0"/>
                <w:color w:val="000000"/>
                <w:kern w:val="0"/>
                <w:sz w:val="18"/>
                <w:szCs w:val="18"/>
                <w:u w:val="none"/>
                <w:lang w:val="en-US" w:eastAsia="zh-CN" w:bidi="ar"/>
              </w:rPr>
              <w:t>11178.4</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3656.59</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3636.59</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20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775.99</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sz w:val="18"/>
                <w:szCs w:val="18"/>
                <w:u w:val="none"/>
                <w:lang w:val="en-US" w:eastAsia="zh-CN"/>
              </w:rPr>
              <w:t>775.99</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snapToGrid w:val="0"/>
                <w:color w:val="000000"/>
                <w:kern w:val="0"/>
                <w:sz w:val="18"/>
                <w:szCs w:val="18"/>
                <w:u w:val="none"/>
                <w:lang w:val="en-US" w:eastAsia="zh-CN" w:bidi="ar"/>
              </w:rPr>
              <w:t>6745.82</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6745.82</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r>
    </w:tbl>
    <w:p>
      <w:pPr>
        <w:pStyle w:val="6"/>
        <w:keepNext w:val="0"/>
        <w:keepLines w:val="0"/>
        <w:pageBreakBefore w:val="0"/>
        <w:widowControl w:val="0"/>
        <w:kinsoku/>
        <w:wordWrap/>
        <w:overflowPunct/>
        <w:topLinePunct w:val="0"/>
        <w:autoSpaceDE/>
        <w:autoSpaceDN/>
        <w:bidi w:val="0"/>
        <w:adjustRightInd w:val="0"/>
        <w:snapToGrid/>
        <w:spacing w:before="0"/>
        <w:ind w:left="0" w:leftChars="0" w:firstLine="0" w:firstLineChars="0"/>
        <w:textAlignment w:val="auto"/>
        <w:rPr>
          <w:rFonts w:hint="eastAsia" w:ascii="宋体" w:hAnsi="宋体" w:eastAsia="宋体" w:cs="宋体"/>
          <w:sz w:val="18"/>
          <w:szCs w:val="18"/>
          <w:lang w:val="en-US" w:eastAsia="zh-CN"/>
        </w:rPr>
      </w:pPr>
    </w:p>
    <w:p>
      <w:pPr>
        <w:pStyle w:val="6"/>
        <w:keepNext w:val="0"/>
        <w:keepLines w:val="0"/>
        <w:pageBreakBefore w:val="0"/>
        <w:widowControl w:val="0"/>
        <w:kinsoku/>
        <w:wordWrap/>
        <w:overflowPunct/>
        <w:topLinePunct w:val="0"/>
        <w:autoSpaceDE/>
        <w:autoSpaceDN/>
        <w:bidi w:val="0"/>
        <w:adjustRightInd w:val="0"/>
        <w:snapToGrid/>
        <w:spacing w:before="0"/>
        <w:ind w:left="0" w:leftChars="0" w:firstLine="0" w:firstLineChars="0"/>
        <w:textAlignment w:val="auto"/>
        <w:rPr>
          <w:rFonts w:hint="eastAsia" w:ascii="宋体" w:hAnsi="宋体" w:eastAsia="宋体" w:cs="宋体"/>
          <w:sz w:val="18"/>
          <w:szCs w:val="18"/>
          <w:lang w:val="en-US" w:eastAsia="zh-CN"/>
        </w:rPr>
        <w:sectPr>
          <w:pgSz w:w="16838" w:h="11906" w:orient="landscape"/>
          <w:pgMar w:top="1800" w:right="1440" w:bottom="1800" w:left="1440" w:header="851" w:footer="992" w:gutter="0"/>
          <w:pgNumType w:fmt="decimal"/>
          <w:cols w:space="425" w:num="1"/>
          <w:docGrid w:type="lines" w:linePitch="312" w:charSpace="0"/>
        </w:sectPr>
      </w:pPr>
    </w:p>
    <w:p>
      <w:pPr>
        <w:pStyle w:val="3"/>
        <w:numPr>
          <w:ilvl w:val="0"/>
          <w:numId w:val="28"/>
        </w:numPr>
        <w:bidi w:val="0"/>
        <w:rPr>
          <w:rFonts w:hint="eastAsia"/>
          <w:lang w:val="en-US" w:eastAsia="zh-CN"/>
        </w:rPr>
      </w:pPr>
      <w:bookmarkStart w:id="148" w:name="_Toc824"/>
      <w:bookmarkStart w:id="149" w:name="_Toc19099"/>
      <w:bookmarkStart w:id="150" w:name="_Toc4115"/>
      <w:r>
        <w:rPr>
          <w:rFonts w:hint="eastAsia"/>
          <w:lang w:val="en-US" w:eastAsia="zh-CN"/>
        </w:rPr>
        <w:t>保护修复投资估算</w:t>
      </w:r>
      <w:bookmarkEnd w:id="148"/>
      <w:bookmarkEnd w:id="149"/>
      <w:bookmarkEnd w:id="150"/>
    </w:p>
    <w:p>
      <w:pPr>
        <w:pStyle w:val="4"/>
        <w:numPr>
          <w:ilvl w:val="0"/>
          <w:numId w:val="31"/>
        </w:numPr>
        <w:bidi w:val="0"/>
        <w:ind w:left="840" w:leftChars="0" w:firstLineChars="0"/>
        <w:rPr>
          <w:rFonts w:hint="eastAsia"/>
          <w:lang w:val="en-US" w:eastAsia="zh-CN"/>
        </w:rPr>
      </w:pPr>
      <w:bookmarkStart w:id="151" w:name="_Toc15824"/>
      <w:bookmarkStart w:id="152" w:name="_Toc6097"/>
      <w:bookmarkStart w:id="153" w:name="_Toc30953"/>
      <w:r>
        <w:rPr>
          <w:rFonts w:hint="eastAsia"/>
          <w:lang w:val="en-US" w:eastAsia="zh-CN"/>
        </w:rPr>
        <w:t>保护投资总体情况</w:t>
      </w:r>
      <w:bookmarkEnd w:id="151"/>
      <w:bookmarkEnd w:id="152"/>
      <w:bookmarkEnd w:id="153"/>
    </w:p>
    <w:p>
      <w:pPr>
        <w:pStyle w:val="7"/>
        <w:bidi w:val="0"/>
        <w:rPr>
          <w:rFonts w:hint="eastAsia"/>
          <w:lang w:val="en-US" w:eastAsia="zh-CN"/>
        </w:rPr>
      </w:pPr>
      <w:r>
        <w:rPr>
          <w:rFonts w:hint="eastAsia"/>
          <w:lang w:val="en-US" w:eastAsia="zh-CN"/>
        </w:rPr>
        <w:t>2021-2025年，中央财政林业和草原生态保护恢复资金用于伊吾县天然林保护投资3636.59万元（已完成）；2026-2035年，伊吾县天然林保护投资估算7521.81万元，其中2026年775.99万元、2027—2035年6745.82万元。</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157" w:beforeLines="50"/>
        <w:jc w:val="center"/>
        <w:textAlignment w:val="center"/>
        <w:rPr>
          <w:rFonts w:hint="default" w:ascii="黑体" w:hAnsi="黑体" w:eastAsia="黑体" w:cs="黑体"/>
          <w:b/>
          <w:bCs/>
          <w:spacing w:val="1"/>
          <w:sz w:val="29"/>
          <w:szCs w:val="29"/>
          <w:lang w:val="en-US" w:eastAsia="zh-CN"/>
        </w:rPr>
      </w:pPr>
      <w:r>
        <w:rPr>
          <w:rFonts w:ascii="黑体" w:hAnsi="黑体" w:eastAsia="黑体" w:cs="黑体"/>
          <w:b/>
          <w:bCs/>
          <w:spacing w:val="1"/>
          <w:sz w:val="29"/>
          <w:szCs w:val="29"/>
        </w:rPr>
        <w:t>表</w:t>
      </w:r>
      <w:r>
        <w:rPr>
          <w:rFonts w:hint="eastAsia" w:ascii="黑体" w:hAnsi="黑体" w:eastAsia="黑体" w:cs="黑体"/>
          <w:b/>
          <w:bCs/>
          <w:spacing w:val="1"/>
          <w:sz w:val="29"/>
          <w:szCs w:val="29"/>
          <w:lang w:val="en-US" w:eastAsia="zh-CN"/>
        </w:rPr>
        <w:t>7</w:t>
      </w:r>
      <w:r>
        <w:rPr>
          <w:rFonts w:ascii="黑体" w:hAnsi="黑体" w:eastAsia="黑体" w:cs="黑体"/>
          <w:b/>
          <w:bCs/>
          <w:spacing w:val="1"/>
          <w:sz w:val="29"/>
          <w:szCs w:val="29"/>
        </w:rPr>
        <w:t>-</w:t>
      </w:r>
      <w:r>
        <w:rPr>
          <w:rFonts w:hint="eastAsia" w:ascii="黑体" w:hAnsi="黑体" w:eastAsia="黑体" w:cs="黑体"/>
          <w:b/>
          <w:bCs/>
          <w:spacing w:val="1"/>
          <w:sz w:val="29"/>
          <w:szCs w:val="29"/>
          <w:lang w:val="en-US" w:eastAsia="zh-CN"/>
        </w:rPr>
        <w:t>2 伊吾县2026-2035年保护投资构成表（分期）</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206"/>
        <w:gridCol w:w="1296"/>
        <w:gridCol w:w="2556"/>
        <w:gridCol w:w="23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snapToGrid w:val="0"/>
                <w:color w:val="000000"/>
                <w:kern w:val="0"/>
                <w:sz w:val="18"/>
                <w:szCs w:val="18"/>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snapToGrid w:val="0"/>
                <w:color w:val="000000"/>
                <w:kern w:val="0"/>
                <w:sz w:val="18"/>
                <w:szCs w:val="18"/>
                <w:u w:val="none"/>
                <w:lang w:val="en-US" w:eastAsia="zh-CN" w:bidi="ar"/>
              </w:rPr>
              <w:t>年度</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snapToGrid w:val="0"/>
                <w:color w:val="000000"/>
                <w:kern w:val="0"/>
                <w:sz w:val="18"/>
                <w:szCs w:val="18"/>
                <w:u w:val="none"/>
                <w:lang w:val="en-US" w:eastAsia="zh-CN" w:bidi="ar"/>
              </w:rPr>
              <w:t>投资额(万元)</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snapToGrid w:val="0"/>
                <w:color w:val="000000"/>
                <w:kern w:val="0"/>
                <w:sz w:val="18"/>
                <w:szCs w:val="18"/>
                <w:u w:val="none"/>
                <w:lang w:val="en-US" w:eastAsia="zh-CN" w:bidi="ar"/>
              </w:rPr>
              <w:t>占2026-2035年保护投资比(%)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snapToGrid w:val="0"/>
                <w:color w:val="000000"/>
                <w:kern w:val="0"/>
                <w:sz w:val="18"/>
                <w:szCs w:val="18"/>
                <w:u w:val="none"/>
                <w:lang w:val="en-US" w:eastAsia="zh-CN" w:bidi="ar"/>
              </w:rPr>
              <w:t>占2021-2035年总投资比(%)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b w:val="0"/>
                <w:bCs w:val="0"/>
                <w:i w:val="0"/>
                <w:iCs w:val="0"/>
                <w:color w:val="000000"/>
                <w:sz w:val="18"/>
                <w:szCs w:val="18"/>
                <w:u w:val="none"/>
                <w:lang w:val="en-US"/>
              </w:rPr>
            </w:pPr>
            <w:r>
              <w:rPr>
                <w:rFonts w:hint="eastAsia" w:ascii="宋体" w:hAnsi="宋体" w:eastAsia="宋体" w:cs="宋体"/>
                <w:b w:val="0"/>
                <w:bCs w:val="0"/>
                <w:i w:val="0"/>
                <w:iCs w:val="0"/>
                <w:snapToGrid w:val="0"/>
                <w:color w:val="000000"/>
                <w:kern w:val="0"/>
                <w:sz w:val="18"/>
                <w:szCs w:val="18"/>
                <w:u w:val="none"/>
                <w:lang w:val="en-US" w:eastAsia="zh-CN" w:bidi="ar"/>
              </w:rPr>
              <w:t>2026年</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bCs w:val="0"/>
                <w:i w:val="0"/>
                <w:iCs w:val="0"/>
                <w:snapToGrid w:val="0"/>
                <w:color w:val="000000"/>
                <w:kern w:val="0"/>
                <w:sz w:val="22"/>
                <w:szCs w:val="22"/>
                <w:u w:val="none"/>
                <w:lang w:val="en-US" w:eastAsia="en-US" w:bidi="ar-SA"/>
              </w:rPr>
            </w:pPr>
            <w:r>
              <w:rPr>
                <w:rFonts w:hint="eastAsia" w:ascii="Times New Roman" w:hAnsi="Times New Roman" w:eastAsia="宋体" w:cs="Times New Roman"/>
                <w:b w:val="0"/>
                <w:bCs w:val="0"/>
                <w:i w:val="0"/>
                <w:iCs w:val="0"/>
                <w:snapToGrid w:val="0"/>
                <w:color w:val="000000"/>
                <w:kern w:val="0"/>
                <w:sz w:val="18"/>
                <w:szCs w:val="18"/>
                <w:u w:val="none"/>
                <w:lang w:val="en-US" w:eastAsia="zh-CN" w:bidi="ar"/>
              </w:rPr>
              <w:t>775.99</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10.32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18"/>
                <w:szCs w:val="18"/>
                <w:u w:val="none"/>
                <w:lang w:val="en-US"/>
              </w:rPr>
            </w:pPr>
            <w:r>
              <w:rPr>
                <w:rFonts w:hint="eastAsia" w:ascii="Times New Roman" w:hAnsi="Times New Roman" w:eastAsia="宋体" w:cs="Times New Roman"/>
                <w:b w:val="0"/>
                <w:bCs w:val="0"/>
                <w:i w:val="0"/>
                <w:iCs w:val="0"/>
                <w:snapToGrid w:val="0"/>
                <w:color w:val="000000"/>
                <w:kern w:val="0"/>
                <w:sz w:val="18"/>
                <w:szCs w:val="18"/>
                <w:u w:val="none"/>
                <w:lang w:val="en-US" w:eastAsia="zh-CN" w:bidi="ar"/>
              </w:rPr>
              <w:t>6.94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b w:val="0"/>
                <w:bCs w:val="0"/>
                <w:i w:val="0"/>
                <w:iCs w:val="0"/>
                <w:color w:val="000000"/>
                <w:sz w:val="18"/>
                <w:szCs w:val="18"/>
                <w:u w:val="none"/>
                <w:lang w:val="en-US"/>
              </w:rPr>
            </w:pPr>
            <w:r>
              <w:rPr>
                <w:rFonts w:hint="eastAsia" w:ascii="宋体" w:hAnsi="宋体" w:eastAsia="宋体" w:cs="宋体"/>
                <w:b w:val="0"/>
                <w:bCs w:val="0"/>
                <w:i w:val="0"/>
                <w:iCs w:val="0"/>
                <w:snapToGrid w:val="0"/>
                <w:color w:val="000000"/>
                <w:kern w:val="0"/>
                <w:sz w:val="18"/>
                <w:szCs w:val="18"/>
                <w:u w:val="none"/>
                <w:lang w:val="en-US" w:eastAsia="zh-CN" w:bidi="ar"/>
              </w:rPr>
              <w:t>2027-2035年</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bCs w:val="0"/>
                <w:i w:val="0"/>
                <w:iCs w:val="0"/>
                <w:color w:val="000000"/>
                <w:sz w:val="18"/>
                <w:szCs w:val="18"/>
                <w:u w:val="none"/>
                <w:lang w:val="en-US"/>
              </w:rPr>
            </w:pPr>
            <w:r>
              <w:rPr>
                <w:rFonts w:hint="eastAsia" w:ascii="Times New Roman" w:hAnsi="Times New Roman" w:eastAsia="宋体" w:cs="Times New Roman"/>
                <w:b w:val="0"/>
                <w:bCs w:val="0"/>
                <w:i w:val="0"/>
                <w:iCs w:val="0"/>
                <w:snapToGrid w:val="0"/>
                <w:color w:val="000000"/>
                <w:kern w:val="0"/>
                <w:sz w:val="18"/>
                <w:szCs w:val="18"/>
                <w:u w:val="none"/>
                <w:lang w:val="en-US" w:eastAsia="zh-CN" w:bidi="ar"/>
              </w:rPr>
              <w:t>6745.82</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18"/>
                <w:szCs w:val="18"/>
                <w:u w:val="none"/>
                <w:lang w:val="en-US" w:eastAsia="zh-CN"/>
              </w:rPr>
            </w:pPr>
            <w:r>
              <w:rPr>
                <w:rFonts w:hint="eastAsia" w:ascii="Times New Roman" w:hAnsi="Times New Roman" w:eastAsia="宋体" w:cs="Times New Roman"/>
                <w:b w:val="0"/>
                <w:bCs w:val="0"/>
                <w:i w:val="0"/>
                <w:iCs w:val="0"/>
                <w:color w:val="000000"/>
                <w:sz w:val="18"/>
                <w:szCs w:val="18"/>
                <w:u w:val="none"/>
                <w:lang w:val="en-US" w:eastAsia="zh-CN"/>
              </w:rPr>
              <w:t>89.68</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18"/>
                <w:szCs w:val="18"/>
                <w:u w:val="none"/>
                <w:lang w:val="en-US"/>
              </w:rPr>
            </w:pPr>
            <w:r>
              <w:rPr>
                <w:rFonts w:hint="eastAsia" w:ascii="Times New Roman" w:hAnsi="Times New Roman" w:eastAsia="宋体" w:cs="Times New Roman"/>
                <w:b w:val="0"/>
                <w:bCs w:val="0"/>
                <w:i w:val="0"/>
                <w:iCs w:val="0"/>
                <w:snapToGrid w:val="0"/>
                <w:color w:val="000000"/>
                <w:kern w:val="0"/>
                <w:sz w:val="18"/>
                <w:szCs w:val="18"/>
                <w:u w:val="none"/>
                <w:lang w:val="en-US" w:eastAsia="zh-CN" w:bidi="ar"/>
              </w:rPr>
              <w:t>60.35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snapToGrid w:val="0"/>
                <w:color w:val="000000"/>
                <w:kern w:val="0"/>
                <w:sz w:val="18"/>
                <w:szCs w:val="18"/>
                <w:u w:val="none"/>
                <w:lang w:val="en-US" w:eastAsia="zh-CN" w:bidi="ar"/>
              </w:rPr>
              <w:t>合计</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val="0"/>
                <w:bCs w:val="0"/>
                <w:i w:val="0"/>
                <w:iCs w:val="0"/>
                <w:snapToGrid w:val="0"/>
                <w:color w:val="000000"/>
                <w:kern w:val="0"/>
                <w:sz w:val="18"/>
                <w:szCs w:val="18"/>
                <w:u w:val="none"/>
                <w:lang w:val="en-US" w:eastAsia="zh-CN" w:bidi="ar-SA"/>
              </w:rPr>
            </w:pPr>
            <w:r>
              <w:rPr>
                <w:rFonts w:hint="eastAsia" w:ascii="Times New Roman" w:hAnsi="Times New Roman" w:eastAsia="宋体" w:cs="Times New Roman"/>
                <w:b w:val="0"/>
                <w:bCs w:val="0"/>
                <w:i w:val="0"/>
                <w:iCs w:val="0"/>
                <w:snapToGrid w:val="0"/>
                <w:color w:val="000000"/>
                <w:kern w:val="0"/>
                <w:sz w:val="18"/>
                <w:szCs w:val="18"/>
                <w:u w:val="none"/>
                <w:lang w:val="en-US" w:eastAsia="zh-CN" w:bidi="ar"/>
              </w:rPr>
              <w:t>7521.81</w:t>
            </w:r>
          </w:p>
        </w:tc>
        <w:tc>
          <w:tcPr>
            <w:tcW w:w="2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right"/>
              <w:textAlignment w:val="center"/>
              <w:rPr>
                <w:rFonts w:hint="default" w:ascii="Times New Roman" w:hAnsi="Times New Roman" w:eastAsia="宋体" w:cs="Times New Roman"/>
                <w:b w:val="0"/>
                <w:bCs w:val="0"/>
                <w:i w:val="0"/>
                <w:iCs w:val="0"/>
                <w:color w:val="000000"/>
                <w:sz w:val="18"/>
                <w:szCs w:val="18"/>
                <w:u w:val="none"/>
              </w:rPr>
            </w:pPr>
            <w:r>
              <w:rPr>
                <w:rFonts w:hint="default" w:ascii="Times New Roman" w:hAnsi="Times New Roman" w:eastAsia="宋体" w:cs="Times New Roman"/>
                <w:b w:val="0"/>
                <w:bCs w:val="0"/>
                <w:i w:val="0"/>
                <w:iCs w:val="0"/>
                <w:snapToGrid w:val="0"/>
                <w:color w:val="000000"/>
                <w:kern w:val="0"/>
                <w:sz w:val="18"/>
                <w:szCs w:val="18"/>
                <w:u w:val="none"/>
                <w:lang w:val="en-US" w:eastAsia="zh-CN" w:bidi="ar"/>
              </w:rPr>
              <w:t>100</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18"/>
                <w:szCs w:val="18"/>
                <w:u w:val="none"/>
                <w:lang w:val="en-US"/>
              </w:rPr>
            </w:pPr>
            <w:r>
              <w:rPr>
                <w:rFonts w:hint="eastAsia" w:ascii="Times New Roman" w:hAnsi="Times New Roman" w:eastAsia="宋体" w:cs="Times New Roman"/>
                <w:b w:val="0"/>
                <w:bCs w:val="0"/>
                <w:i w:val="0"/>
                <w:iCs w:val="0"/>
                <w:snapToGrid w:val="0"/>
                <w:color w:val="000000"/>
                <w:kern w:val="0"/>
                <w:sz w:val="18"/>
                <w:szCs w:val="18"/>
                <w:u w:val="none"/>
                <w:lang w:val="en-US" w:eastAsia="zh-CN" w:bidi="ar"/>
              </w:rPr>
              <w:t>67.29</w:t>
            </w:r>
          </w:p>
        </w:tc>
      </w:tr>
    </w:tbl>
    <w:p>
      <w:pPr>
        <w:pStyle w:val="4"/>
        <w:numPr>
          <w:ilvl w:val="0"/>
          <w:numId w:val="15"/>
        </w:numPr>
        <w:bidi w:val="0"/>
        <w:ind w:left="840" w:leftChars="0" w:firstLineChars="0"/>
        <w:rPr>
          <w:rFonts w:hint="eastAsia"/>
          <w:lang w:val="en-US" w:eastAsia="zh-CN"/>
        </w:rPr>
      </w:pPr>
      <w:bookmarkStart w:id="154" w:name="_Toc27370"/>
      <w:bookmarkStart w:id="155" w:name="_Toc14521"/>
      <w:bookmarkStart w:id="156" w:name="_Toc4341"/>
      <w:r>
        <w:rPr>
          <w:rFonts w:hint="eastAsia"/>
          <w:lang w:val="en-US" w:eastAsia="zh-CN"/>
        </w:rPr>
        <w:t>修复投资总体情况</w:t>
      </w:r>
      <w:bookmarkEnd w:id="154"/>
      <w:bookmarkEnd w:id="155"/>
      <w:bookmarkEnd w:id="156"/>
    </w:p>
    <w:p>
      <w:pPr>
        <w:pStyle w:val="7"/>
        <w:bidi w:val="0"/>
        <w:rPr>
          <w:rFonts w:hint="eastAsia"/>
          <w:lang w:val="en-US" w:eastAsia="zh-CN"/>
        </w:rPr>
      </w:pPr>
      <w:r>
        <w:rPr>
          <w:rFonts w:hint="eastAsia"/>
          <w:lang w:val="en-US" w:eastAsia="zh-CN"/>
        </w:rPr>
        <w:t>2026-2035年，伊吾县未安排新增天然林修复任务，修复投资估算0万元。2021—2025年已完成修复投资20万元（中央财政资金）。</w:t>
      </w:r>
    </w:p>
    <w:p>
      <w:pPr>
        <w:pStyle w:val="3"/>
        <w:numPr>
          <w:ilvl w:val="0"/>
          <w:numId w:val="28"/>
        </w:numPr>
        <w:bidi w:val="0"/>
        <w:rPr>
          <w:rFonts w:hint="eastAsia"/>
          <w:lang w:val="en-US" w:eastAsia="zh-CN"/>
        </w:rPr>
      </w:pPr>
      <w:bookmarkStart w:id="157" w:name="_Toc1170"/>
      <w:bookmarkStart w:id="158" w:name="_Toc13863"/>
      <w:bookmarkStart w:id="159" w:name="_Toc12050"/>
      <w:r>
        <w:rPr>
          <w:rFonts w:hint="eastAsia"/>
          <w:lang w:val="en-US" w:eastAsia="zh-CN"/>
        </w:rPr>
        <w:t>资金筹措</w:t>
      </w:r>
      <w:bookmarkEnd w:id="157"/>
      <w:bookmarkEnd w:id="158"/>
      <w:bookmarkEnd w:id="159"/>
    </w:p>
    <w:p>
      <w:pPr>
        <w:pStyle w:val="4"/>
        <w:numPr>
          <w:ilvl w:val="0"/>
          <w:numId w:val="32"/>
        </w:numPr>
        <w:bidi w:val="0"/>
        <w:ind w:left="840" w:leftChars="0" w:firstLineChars="0"/>
        <w:rPr>
          <w:rFonts w:hint="eastAsia"/>
          <w:lang w:val="en-US" w:eastAsia="zh-CN"/>
        </w:rPr>
      </w:pPr>
      <w:bookmarkStart w:id="160" w:name="_Toc31927"/>
      <w:bookmarkStart w:id="161" w:name="_Toc29938"/>
      <w:bookmarkStart w:id="162" w:name="_Toc13442"/>
      <w:r>
        <w:rPr>
          <w:rFonts w:hint="eastAsia"/>
          <w:lang w:val="en-US" w:eastAsia="zh-CN"/>
        </w:rPr>
        <w:t>资金来源</w:t>
      </w:r>
      <w:bookmarkEnd w:id="160"/>
      <w:bookmarkEnd w:id="161"/>
      <w:bookmarkEnd w:id="162"/>
    </w:p>
    <w:p>
      <w:pPr>
        <w:pStyle w:val="7"/>
        <w:bidi w:val="0"/>
        <w:rPr>
          <w:rFonts w:hint="eastAsia"/>
          <w:lang w:val="en-US" w:eastAsia="zh-CN"/>
        </w:rPr>
      </w:pPr>
      <w:r>
        <w:rPr>
          <w:rFonts w:hint="eastAsia"/>
          <w:lang w:val="en-US" w:eastAsia="zh-CN"/>
        </w:rPr>
        <w:t>伊吾县天然林保护修复规划总投资11178.4万元，资金来源为中央财政资金。</w:t>
      </w:r>
    </w:p>
    <w:p>
      <w:pPr>
        <w:pStyle w:val="7"/>
        <w:bidi w:val="0"/>
        <w:rPr>
          <w:rFonts w:hint="eastAsia"/>
          <w:lang w:val="en-US" w:eastAsia="zh-CN"/>
        </w:rPr>
      </w:pPr>
      <w:r>
        <w:rPr>
          <w:rFonts w:hint="eastAsia"/>
          <w:lang w:val="en-US" w:eastAsia="zh-CN"/>
        </w:rPr>
        <w:t>中央财政资金11178.4万元，是伊吾县天然林保护修复工作的主要资金来源。主要包括：中央财政林业和草原生态保护恢复资金（森林生态保护修复补偿项目）：用于天然林和国家级公益林管护、监测等。</w:t>
      </w:r>
    </w:p>
    <w:p>
      <w:pPr>
        <w:rPr>
          <w:rFonts w:hint="eastAsia"/>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rPr>
          <w:rFonts w:hint="eastAsia"/>
          <w:lang w:val="en-US" w:eastAsia="zh-CN"/>
        </w:rPr>
      </w:pPr>
      <w:bookmarkStart w:id="163" w:name="_Toc3532"/>
      <w:bookmarkStart w:id="164" w:name="_Toc19517"/>
      <w:bookmarkStart w:id="165" w:name="_Toc3308"/>
      <w:r>
        <w:rPr>
          <w:rFonts w:hint="eastAsia"/>
          <w:lang w:val="en-US" w:eastAsia="zh-CN"/>
        </w:rPr>
        <w:t>第七章 支撑保障</w:t>
      </w:r>
      <w:bookmarkEnd w:id="163"/>
      <w:bookmarkEnd w:id="164"/>
      <w:bookmarkEnd w:id="165"/>
    </w:p>
    <w:p>
      <w:pPr>
        <w:pStyle w:val="4"/>
        <w:numPr>
          <w:ilvl w:val="0"/>
          <w:numId w:val="33"/>
        </w:numPr>
        <w:bidi w:val="0"/>
        <w:ind w:left="840" w:leftChars="0" w:firstLineChars="0"/>
        <w:rPr>
          <w:rFonts w:hint="eastAsia"/>
          <w:lang w:val="en-US" w:eastAsia="zh-CN"/>
        </w:rPr>
      </w:pPr>
      <w:bookmarkStart w:id="166" w:name="_Toc27213"/>
      <w:bookmarkStart w:id="167" w:name="_Toc27597"/>
      <w:bookmarkStart w:id="168" w:name="_Toc3925"/>
      <w:r>
        <w:rPr>
          <w:rFonts w:hint="eastAsia"/>
          <w:lang w:val="en-US" w:eastAsia="zh-CN"/>
        </w:rPr>
        <w:t>加强组织领导</w:t>
      </w:r>
      <w:bookmarkEnd w:id="166"/>
      <w:bookmarkEnd w:id="167"/>
      <w:bookmarkEnd w:id="168"/>
    </w:p>
    <w:p>
      <w:pPr>
        <w:pStyle w:val="5"/>
        <w:numPr>
          <w:ilvl w:val="0"/>
          <w:numId w:val="34"/>
        </w:numPr>
        <w:bidi w:val="0"/>
        <w:rPr>
          <w:rFonts w:hint="eastAsia"/>
          <w:lang w:val="en-US" w:eastAsia="zh-CN"/>
        </w:rPr>
      </w:pPr>
      <w:bookmarkStart w:id="169" w:name="_Toc626"/>
      <w:r>
        <w:rPr>
          <w:rFonts w:hint="eastAsia"/>
          <w:lang w:val="en-US" w:eastAsia="zh-CN"/>
        </w:rPr>
        <w:t>完善分级管理机制</w:t>
      </w:r>
      <w:bookmarkEnd w:id="169"/>
    </w:p>
    <w:p>
      <w:pPr>
        <w:pStyle w:val="6"/>
        <w:bidi w:val="0"/>
        <w:rPr>
          <w:rFonts w:hint="eastAsia"/>
          <w:lang w:val="en-US" w:eastAsia="zh-CN"/>
        </w:rPr>
      </w:pPr>
      <w:r>
        <w:rPr>
          <w:rFonts w:hint="eastAsia"/>
          <w:lang w:val="en-US" w:eastAsia="zh-CN"/>
        </w:rPr>
        <w:t>天然林保护修复实行严格的分级管理机制。伊吾县林业和草原局承担天然林保护修复主体责任，制定本辖区实施方案，组织实施各项保护修复措施，定期研究解决工作推进中的问题。伊吾县公益林中心管护站及下辖一般管护站作为基层实施单位，负责具体管护工作，落实管护责任，确保各项保护修复措施落地见效。</w:t>
      </w:r>
    </w:p>
    <w:p>
      <w:pPr>
        <w:pStyle w:val="5"/>
        <w:numPr>
          <w:ilvl w:val="0"/>
          <w:numId w:val="2"/>
        </w:numPr>
        <w:bidi w:val="0"/>
        <w:rPr>
          <w:rFonts w:hint="eastAsia"/>
          <w:lang w:val="en-US" w:eastAsia="zh-CN"/>
        </w:rPr>
      </w:pPr>
      <w:bookmarkStart w:id="170" w:name="_Toc6846"/>
      <w:r>
        <w:rPr>
          <w:rFonts w:hint="eastAsia"/>
          <w:lang w:val="en-US" w:eastAsia="zh-CN"/>
        </w:rPr>
        <w:t>强化目标责任考核</w:t>
      </w:r>
      <w:bookmarkEnd w:id="170"/>
    </w:p>
    <w:p>
      <w:pPr>
        <w:pStyle w:val="6"/>
        <w:bidi w:val="0"/>
        <w:rPr>
          <w:rFonts w:hint="eastAsia"/>
          <w:lang w:val="en-US" w:eastAsia="zh-CN"/>
        </w:rPr>
      </w:pPr>
      <w:r>
        <w:rPr>
          <w:rFonts w:hint="eastAsia"/>
          <w:lang w:val="en-US" w:eastAsia="zh-CN"/>
        </w:rPr>
        <w:t>将保护修复任务纳入县政府年度工作目标和中长期发展规划，细化保护指标、时间节点和任务分工，明确责任单位、责任人员和完成时限。将天然林保护修复工作成效纳入林长制考核体系，定期开展督查检查。建立天然林资源损害责任终身追究制，对破坏天然林资源的违法违规行为严肃追究责任。建立信息公开制度，主动接受社会监督。</w:t>
      </w:r>
    </w:p>
    <w:p>
      <w:pPr>
        <w:pStyle w:val="5"/>
        <w:numPr>
          <w:ilvl w:val="0"/>
          <w:numId w:val="2"/>
        </w:numPr>
        <w:bidi w:val="0"/>
        <w:rPr>
          <w:rFonts w:hint="eastAsia"/>
          <w:lang w:val="en-US" w:eastAsia="zh-CN"/>
        </w:rPr>
      </w:pPr>
      <w:r>
        <w:rPr>
          <w:rFonts w:hint="eastAsia"/>
          <w:lang w:val="en-US" w:eastAsia="zh-CN"/>
        </w:rPr>
        <w:t>强化规划协同衔接</w:t>
      </w:r>
    </w:p>
    <w:p>
      <w:pPr>
        <w:pStyle w:val="6"/>
        <w:bidi w:val="0"/>
        <w:rPr>
          <w:rFonts w:hint="eastAsia"/>
          <w:lang w:val="en-US" w:eastAsia="zh-CN"/>
        </w:rPr>
      </w:pPr>
      <w:r>
        <w:rPr>
          <w:rFonts w:hint="eastAsia"/>
          <w:lang w:val="en-US" w:eastAsia="zh-CN"/>
        </w:rPr>
        <w:t>建立林草、自然资源、发展改革、生态环境、水利等部门协同机制，将天然林保护修复范围、修复任务和配套设施纳入国土空间规划“一张图”统筹管理，确保方案目标任务、空间布局与国土空间总体规划及相关专项规划相互衔接、协调一致。年度实施方案编制和项目入库前开展规划符合性审查，涉及生态保护红线管控、国土空间规划调整等事项的，及时与自然资源部门会商，确保保护修复任务符合国土空间规划管控要求。</w:t>
      </w:r>
    </w:p>
    <w:p>
      <w:pPr>
        <w:pStyle w:val="4"/>
        <w:numPr>
          <w:ilvl w:val="0"/>
          <w:numId w:val="15"/>
        </w:numPr>
        <w:bidi w:val="0"/>
        <w:ind w:left="840" w:leftChars="0" w:firstLineChars="0"/>
        <w:rPr>
          <w:rFonts w:hint="eastAsia"/>
          <w:lang w:val="en-US" w:eastAsia="zh-CN"/>
        </w:rPr>
      </w:pPr>
      <w:bookmarkStart w:id="171" w:name="_Toc31802"/>
      <w:bookmarkStart w:id="172" w:name="_Toc11098"/>
      <w:bookmarkStart w:id="173" w:name="_Toc22576"/>
      <w:r>
        <w:rPr>
          <w:rFonts w:hint="eastAsia"/>
          <w:lang w:val="en-US" w:eastAsia="zh-CN"/>
        </w:rPr>
        <w:t>强化资金保障</w:t>
      </w:r>
      <w:bookmarkEnd w:id="171"/>
      <w:bookmarkEnd w:id="172"/>
      <w:bookmarkEnd w:id="173"/>
    </w:p>
    <w:p>
      <w:pPr>
        <w:pStyle w:val="5"/>
        <w:numPr>
          <w:ilvl w:val="0"/>
          <w:numId w:val="35"/>
        </w:numPr>
        <w:bidi w:val="0"/>
        <w:rPr>
          <w:rFonts w:hint="eastAsia"/>
          <w:lang w:val="en-US" w:eastAsia="zh-CN"/>
        </w:rPr>
      </w:pPr>
      <w:bookmarkStart w:id="174" w:name="_Toc2202"/>
      <w:r>
        <w:rPr>
          <w:rFonts w:hint="eastAsia"/>
          <w:lang w:val="en-US" w:eastAsia="zh-CN"/>
        </w:rPr>
        <w:t>多渠道筹措资金</w:t>
      </w:r>
      <w:bookmarkEnd w:id="174"/>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lang w:val="en-US" w:eastAsia="zh-CN"/>
        </w:rPr>
      </w:pPr>
      <w:r>
        <w:rPr>
          <w:rFonts w:hint="eastAsia"/>
          <w:lang w:val="en-US" w:eastAsia="zh-CN"/>
        </w:rPr>
        <w:t>积极争取中央财政林业和草原生态保护恢复资金支持，用于天然林管护、修复工程、能力建设等方面。落实统一天然林管护与国家级公益林补偿政策，将天然林及国家公益林全部纳入管护补偿范围，确保管护人员工资待遇和管护经费及时足额拨付。鼓励公民、法人和其他组织通过捐赠、资助、认养、志愿服务等方式参与天然林保护公益事业。探索政府和社会资本合作（特许经营）、生态补偿、碳汇交易等市场化机制，拓宽资金来源渠道，实现生态产品价值变现。</w:t>
      </w:r>
    </w:p>
    <w:p>
      <w:pPr>
        <w:pStyle w:val="5"/>
        <w:numPr>
          <w:ilvl w:val="0"/>
          <w:numId w:val="2"/>
        </w:numPr>
        <w:bidi w:val="0"/>
        <w:rPr>
          <w:rFonts w:hint="eastAsia"/>
          <w:lang w:val="en-US" w:eastAsia="zh-CN"/>
        </w:rPr>
      </w:pPr>
      <w:bookmarkStart w:id="175" w:name="_Toc10750"/>
      <w:r>
        <w:rPr>
          <w:rFonts w:hint="eastAsia"/>
          <w:lang w:val="en-US" w:eastAsia="zh-CN"/>
        </w:rPr>
        <w:t>规范资金使用管理</w:t>
      </w:r>
      <w:bookmarkEnd w:id="175"/>
    </w:p>
    <w:p>
      <w:pPr>
        <w:pStyle w:val="6"/>
        <w:keepNext w:val="0"/>
        <w:keepLines w:val="0"/>
        <w:pageBreakBefore w:val="0"/>
        <w:widowControl w:val="0"/>
        <w:kinsoku w:val="0"/>
        <w:wordWrap/>
        <w:overflowPunct/>
        <w:topLinePunct w:val="0"/>
        <w:autoSpaceDE/>
        <w:autoSpaceDN/>
        <w:bidi w:val="0"/>
        <w:adjustRightInd w:val="0"/>
        <w:snapToGrid w:val="0"/>
        <w:textAlignment w:val="baseline"/>
        <w:rPr>
          <w:rFonts w:hint="eastAsia"/>
          <w:lang w:val="en-US" w:eastAsia="zh-CN"/>
        </w:rPr>
      </w:pPr>
      <w:r>
        <w:rPr>
          <w:rFonts w:hint="eastAsia"/>
          <w:lang w:val="en-US" w:eastAsia="zh-CN"/>
        </w:rPr>
        <w:t>严格按照《新疆维吾尔自治区林业改革发展资金管理实施细则》《新疆维吾尔自治区林业草原生态保护恢复资金管理实施办法》等要求，加强项目和资金管理，确保项目合理入库、资金使用安全规范。建立项目实施单位自查、主管部门检查、财政审计监督的多层次监管体系，对违规使用资金的行为严肃查处。</w:t>
      </w:r>
    </w:p>
    <w:p>
      <w:pPr>
        <w:pStyle w:val="5"/>
        <w:numPr>
          <w:ilvl w:val="0"/>
          <w:numId w:val="2"/>
        </w:numPr>
        <w:bidi w:val="0"/>
        <w:rPr>
          <w:rFonts w:hint="eastAsia"/>
          <w:lang w:val="en-US" w:eastAsia="zh-CN"/>
        </w:rPr>
      </w:pPr>
      <w:bookmarkStart w:id="176" w:name="_Toc10056"/>
      <w:r>
        <w:rPr>
          <w:rFonts w:hint="eastAsia"/>
          <w:lang w:val="en-US" w:eastAsia="zh-CN"/>
        </w:rPr>
        <w:t>强化绩效管理</w:t>
      </w:r>
      <w:bookmarkEnd w:id="176"/>
    </w:p>
    <w:p>
      <w:pPr>
        <w:pStyle w:val="6"/>
        <w:bidi w:val="0"/>
        <w:rPr>
          <w:rFonts w:hint="eastAsia"/>
          <w:lang w:val="en-US" w:eastAsia="zh-CN"/>
        </w:rPr>
      </w:pPr>
      <w:r>
        <w:rPr>
          <w:rFonts w:hint="eastAsia"/>
          <w:lang w:val="en-US" w:eastAsia="zh-CN"/>
        </w:rPr>
        <w:t>将绩效管理融入工程建设全过程。建立以生态效益为核心的绩效管理体系，设定天然林面积保有量、森林蓄积增长量、生物多样性保护成效、资金使用效率等可量化考核指标。定期开展绩效评价，采取自评与外部评价相结合的方式，全面评估天然林保护修复工作成效。将绩效评价结果作为资金分配、项目安排的重要依据。对绩效评价结果优秀的项目和单位，优先安排后续项目和资金；对绩效评价结果较差的，责令限期整改，整改不到位的，相应核减或暂停安排资金。相关市场化机制的具体实施方案在出台前应依法单独开展公平竞争审查；涉及特许经营或政府采购的，依法通过公开竞争方式选择经营者，不得指定特定主体。</w:t>
      </w:r>
    </w:p>
    <w:p>
      <w:pPr>
        <w:pStyle w:val="4"/>
        <w:numPr>
          <w:ilvl w:val="0"/>
          <w:numId w:val="15"/>
        </w:numPr>
        <w:bidi w:val="0"/>
        <w:ind w:left="840" w:leftChars="0" w:firstLineChars="0"/>
        <w:rPr>
          <w:rFonts w:hint="eastAsia"/>
          <w:lang w:val="en-US" w:eastAsia="zh-CN"/>
        </w:rPr>
      </w:pPr>
      <w:bookmarkStart w:id="177" w:name="_Toc30070"/>
      <w:bookmarkStart w:id="178" w:name="_Toc4555"/>
      <w:bookmarkStart w:id="179" w:name="_Toc8013"/>
      <w:r>
        <w:rPr>
          <w:rFonts w:hint="eastAsia"/>
          <w:lang w:val="en-US" w:eastAsia="zh-CN"/>
        </w:rPr>
        <w:t>健全制度体系</w:t>
      </w:r>
      <w:bookmarkEnd w:id="177"/>
      <w:bookmarkEnd w:id="178"/>
      <w:bookmarkEnd w:id="179"/>
    </w:p>
    <w:p>
      <w:pPr>
        <w:pStyle w:val="5"/>
        <w:numPr>
          <w:ilvl w:val="0"/>
          <w:numId w:val="36"/>
        </w:numPr>
        <w:bidi w:val="0"/>
        <w:rPr>
          <w:rFonts w:hint="eastAsia"/>
          <w:lang w:val="en-US" w:eastAsia="zh-CN"/>
        </w:rPr>
      </w:pPr>
      <w:r>
        <w:rPr>
          <w:rFonts w:hint="eastAsia"/>
          <w:lang w:val="en-US" w:eastAsia="zh-CN"/>
        </w:rPr>
        <w:t>完善保护修复制度</w:t>
      </w:r>
    </w:p>
    <w:p>
      <w:pPr>
        <w:pStyle w:val="6"/>
        <w:bidi w:val="0"/>
        <w:rPr>
          <w:rFonts w:hint="eastAsia"/>
          <w:lang w:val="en-US" w:eastAsia="zh-CN"/>
        </w:rPr>
      </w:pPr>
      <w:r>
        <w:rPr>
          <w:rFonts w:hint="eastAsia"/>
          <w:lang w:val="en-US" w:eastAsia="zh-CN"/>
        </w:rPr>
        <w:t>完善伊吾县天然林管护制度，明确管护责任、管护范围、管护措施、管护标准等。建立管护人员巡护制度，要求管护人员定期开展巡护，及时发现和制止破坏天然林资源的违法行为。建立管护信息报告制度，管护人员发现天然林资源遭受破坏、病虫害发生、森林火灾等情况，及时向管护单位和伊吾县林草部门报告。</w:t>
      </w:r>
    </w:p>
    <w:p>
      <w:pPr>
        <w:pStyle w:val="5"/>
        <w:numPr>
          <w:ilvl w:val="0"/>
          <w:numId w:val="2"/>
        </w:numPr>
        <w:bidi w:val="0"/>
        <w:rPr>
          <w:rFonts w:hint="eastAsia"/>
          <w:lang w:val="en-US" w:eastAsia="zh-CN"/>
        </w:rPr>
      </w:pPr>
      <w:r>
        <w:rPr>
          <w:rFonts w:hint="eastAsia"/>
          <w:lang w:val="en-US" w:eastAsia="zh-CN"/>
        </w:rPr>
        <w:t>落实目标责任制度</w:t>
      </w:r>
    </w:p>
    <w:p>
      <w:pPr>
        <w:pStyle w:val="7"/>
        <w:keepNext w:val="0"/>
        <w:keepLines w:val="0"/>
        <w:pageBreakBefore w:val="0"/>
        <w:widowControl w:val="0"/>
        <w:kinsoku w:val="0"/>
        <w:wordWrap/>
        <w:overflowPunct/>
        <w:topLinePunct w:val="0"/>
        <w:autoSpaceDE w:val="0"/>
        <w:autoSpaceDN w:val="0"/>
        <w:bidi w:val="0"/>
        <w:adjustRightInd w:val="0"/>
        <w:snapToGrid w:val="0"/>
        <w:spacing w:before="0"/>
        <w:textAlignment w:val="baseline"/>
        <w:rPr>
          <w:rFonts w:hint="eastAsia"/>
          <w:lang w:val="en-US" w:eastAsia="zh-CN"/>
        </w:rPr>
      </w:pPr>
      <w:r>
        <w:rPr>
          <w:rFonts w:hint="eastAsia"/>
          <w:lang w:val="en-US" w:eastAsia="zh-CN"/>
        </w:rPr>
        <w:t>明确伊吾县人民政府，伊吾县林业草原主管部门及管护单位权责。县人民政府承担天然林保护修复主体责任，负责制定本行政区域天然林保护修复实施方案，组织实施各项保护修复措施。伊吾县林业草原主管部门负责组织实施、技术指导、监督检查等工作，制定年度工作计划，组织开展管护巡查、修复工程、监测评估等。管护单位负责具体管护工作，落实管护责任，配备管护人员，开展日常巡护，及时制止破坏天然林资源的违法行为。</w:t>
      </w:r>
    </w:p>
    <w:p>
      <w:pPr>
        <w:pStyle w:val="5"/>
        <w:numPr>
          <w:ilvl w:val="0"/>
          <w:numId w:val="2"/>
        </w:numPr>
        <w:bidi w:val="0"/>
        <w:rPr>
          <w:rFonts w:hint="eastAsia"/>
          <w:lang w:val="en-US" w:eastAsia="zh-CN"/>
        </w:rPr>
      </w:pPr>
      <w:r>
        <w:rPr>
          <w:rFonts w:hint="eastAsia"/>
          <w:lang w:val="en-US" w:eastAsia="zh-CN"/>
        </w:rPr>
        <w:t>完善用途管控制度</w:t>
      </w:r>
    </w:p>
    <w:p>
      <w:pPr>
        <w:pStyle w:val="7"/>
        <w:keepNext w:val="0"/>
        <w:keepLines w:val="0"/>
        <w:pageBreakBefore w:val="0"/>
        <w:widowControl w:val="0"/>
        <w:kinsoku w:val="0"/>
        <w:wordWrap/>
        <w:overflowPunct/>
        <w:topLinePunct w:val="0"/>
        <w:autoSpaceDE/>
        <w:autoSpaceDN/>
        <w:bidi w:val="0"/>
        <w:adjustRightInd w:val="0"/>
        <w:snapToGrid w:val="0"/>
        <w:spacing w:before="0"/>
        <w:textAlignment w:val="baseline"/>
        <w:rPr>
          <w:rFonts w:hint="eastAsia"/>
          <w:lang w:val="en-US" w:eastAsia="zh-CN"/>
        </w:rPr>
      </w:pPr>
      <w:r>
        <w:rPr>
          <w:rFonts w:hint="eastAsia"/>
          <w:lang w:val="en-US" w:eastAsia="zh-CN"/>
        </w:rPr>
        <w:t>严格保护天然林资源，强化林地用途管制。建设项目应不占或少占天然林地，确需使用林地的，依法依规办理审核审批，落实“占一补一、占优补优”要求，保障天然林地总量稳定。加强天然林周边基础设施和配套建设项目选址论证与审批协同，严格落实国土空间用途管制、生态保护红线管控和使用林地审核审批要求，强化事中事后监管，严禁未批先占、少批多占。建立修复全流程管理制度，规范天然林修复措施的立项、设计、审批、施工、验收、管护等各环节管理。制定天然林修复技术标准和操作规程。依托国家林草资源智慧管理平台，实现天然林资源数据年度更新、动态监测、信息共享。</w:t>
      </w:r>
    </w:p>
    <w:p>
      <w:pPr>
        <w:pStyle w:val="4"/>
        <w:numPr>
          <w:ilvl w:val="0"/>
          <w:numId w:val="15"/>
        </w:numPr>
        <w:bidi w:val="0"/>
        <w:ind w:left="840" w:leftChars="0" w:firstLineChars="0"/>
        <w:rPr>
          <w:rFonts w:hint="eastAsia"/>
          <w:lang w:val="en-US" w:eastAsia="zh-CN"/>
        </w:rPr>
      </w:pPr>
      <w:bookmarkStart w:id="180" w:name="_Toc31884"/>
      <w:bookmarkStart w:id="181" w:name="_Toc23332"/>
      <w:bookmarkStart w:id="182" w:name="_Toc5109"/>
      <w:r>
        <w:rPr>
          <w:rFonts w:hint="eastAsia"/>
          <w:lang w:val="en-US" w:eastAsia="zh-CN"/>
        </w:rPr>
        <w:t>加大科技支撑</w:t>
      </w:r>
      <w:bookmarkEnd w:id="180"/>
      <w:bookmarkEnd w:id="181"/>
      <w:bookmarkEnd w:id="182"/>
    </w:p>
    <w:p>
      <w:pPr>
        <w:pStyle w:val="5"/>
        <w:numPr>
          <w:ilvl w:val="0"/>
          <w:numId w:val="37"/>
        </w:numPr>
        <w:bidi w:val="0"/>
        <w:rPr>
          <w:rFonts w:hint="eastAsia"/>
          <w:lang w:val="en-US" w:eastAsia="zh-CN"/>
        </w:rPr>
      </w:pPr>
      <w:r>
        <w:rPr>
          <w:rFonts w:hint="eastAsia"/>
          <w:lang w:val="en-US" w:eastAsia="zh-CN"/>
        </w:rPr>
        <w:t>构建智能监测体系</w:t>
      </w:r>
    </w:p>
    <w:p>
      <w:pPr>
        <w:pStyle w:val="6"/>
        <w:bidi w:val="0"/>
        <w:rPr>
          <w:rFonts w:hint="eastAsia"/>
          <w:lang w:val="en-US" w:eastAsia="zh-CN"/>
        </w:rPr>
      </w:pPr>
      <w:r>
        <w:rPr>
          <w:rFonts w:hint="eastAsia"/>
          <w:lang w:val="en-US" w:eastAsia="zh-CN"/>
        </w:rPr>
        <w:t>综合运用无人机、卫星遥感、高空云台等技术，开展天然林监测和重点火险区火灾视频监测，形成卫星遥感、瞭望塔、视频监控和地面巡护有机结合的立体监测网络。在喀尔里克山北坡山地森林带、淖毛湖荒漠胡杨林区域等重点区域建设高空云台监控系统，实现24小时实时监控。配备无人机巡护系统，定期开展航空巡护。探索红外相机等技术应用，提升生物多样性、林木生长状态等监测精准度。建立天然林资源动态监测平台，整合多源数据，实现天然林资源变化实时监测、预警预报、决策支持等功能。</w:t>
      </w:r>
    </w:p>
    <w:p>
      <w:pPr>
        <w:pStyle w:val="5"/>
        <w:numPr>
          <w:ilvl w:val="0"/>
          <w:numId w:val="37"/>
        </w:numPr>
        <w:bidi w:val="0"/>
        <w:rPr>
          <w:rFonts w:hint="eastAsia"/>
          <w:lang w:val="en-US" w:eastAsia="zh-CN"/>
        </w:rPr>
      </w:pPr>
      <w:r>
        <w:rPr>
          <w:rFonts w:hint="eastAsia"/>
          <w:lang w:val="en-US" w:eastAsia="zh-CN"/>
        </w:rPr>
        <w:t>开展天然林保护修复实施效果监测评估</w:t>
      </w:r>
    </w:p>
    <w:p>
      <w:pPr>
        <w:pStyle w:val="6"/>
        <w:bidi w:val="0"/>
        <w:rPr>
          <w:rFonts w:hint="eastAsia"/>
          <w:lang w:val="en-US" w:eastAsia="zh-CN"/>
        </w:rPr>
      </w:pPr>
      <w:r>
        <w:rPr>
          <w:rFonts w:hint="eastAsia"/>
          <w:lang w:val="en-US" w:eastAsia="zh-CN"/>
        </w:rPr>
        <w:t>依据《天然林保护修复生态效益评估指南》（GB/T 44590—2024）、《森林生态系统服务功能评估规范》（GB/T 38582—2020）和《荒漠生态系统服务评估规范》（LY/T 2006—2012），建立覆盖规划全周期的天然林保护修复实施效果监测评估制度，衔接《全国天然林保护修复中长期规划（2021—2035年）》有关监督评价和生态效益评估要求。围绕天然林面积稳定、退化天然林修复、生态功能提升三大核心目标，以天然林面积保有量、管护任务完成率、有害生物成灾率、森林蓄积净增量以及水源涵养、防风固沙功能变化等作为重点监测评估方向；针对伊吾县河谷盆地保护修复小区重点增设淖毛湖胡杨林地下水位变化、胡杨林枯立木比例、胡杨幼树更新密度等指标；相关指标和评估方法在年度实施方案及专项监测技术方案中进一步细化。综合采用地面样地调查、卫星遥感和无人机航拍等手段，以2024年林草湿荒普查成果为基础，动态掌握东天山山地针叶林、淖毛湖盆地荒漠胡杨梭梭林及三塘湖盆地诺敏戈壁荒漠灌木林的资源和生态功能变化情况。建立年度监测报告、五年中期评估和规划期末终期评估制度，监测评估结果按规定报送哈密市林草主管部门并依法向社会公开，作为规划调整、任务安排和绩效考核的重要依据。</w:t>
      </w:r>
    </w:p>
    <w:p>
      <w:pPr>
        <w:pStyle w:val="5"/>
        <w:numPr>
          <w:ilvl w:val="0"/>
          <w:numId w:val="2"/>
        </w:numPr>
        <w:bidi w:val="0"/>
        <w:rPr>
          <w:rFonts w:hint="eastAsia"/>
          <w:lang w:val="en-US" w:eastAsia="zh-CN"/>
        </w:rPr>
      </w:pPr>
      <w:r>
        <w:rPr>
          <w:rFonts w:hint="eastAsia"/>
          <w:lang w:val="en-US" w:eastAsia="zh-CN"/>
        </w:rPr>
        <w:t>加快科技成果转化</w:t>
      </w:r>
    </w:p>
    <w:p>
      <w:pPr>
        <w:pStyle w:val="6"/>
        <w:bidi w:val="0"/>
        <w:rPr>
          <w:rFonts w:hint="eastAsia"/>
          <w:lang w:val="en-US" w:eastAsia="zh-CN"/>
        </w:rPr>
      </w:pPr>
      <w:r>
        <w:rPr>
          <w:rFonts w:hint="eastAsia"/>
          <w:lang w:val="en-US" w:eastAsia="zh-CN"/>
        </w:rPr>
        <w:t>加快天然林保护修复科技成果转化和推广应用，定期组织管护人员、技术人员参加业务培训，提高业务素质和履职能力。每年至少组织开展2次管护人员专题培训，培训内容包括天然林保护修复政策法规、管护技术规范、森林防火技能、病虫害识别防治、应急处置能力、现代信息技术应用等，提升管护人员专业水平。通过技术培训、现场观摩、技术咨询等方式，将先进适用技术推广应用到天然林保护修复实践中。邀请高等院校、科研院所专家到伊吾县开展现场技术指导，对天然林保护修复工作中遇到的技术难题进行现场解答和指导。组织管护人员和技术人员到自治区内外天然林保护修复工作先进地区学习交流，学习借鉴先进经验和做法，提升天然林保护修复工作水平。</w:t>
      </w:r>
    </w:p>
    <w:p>
      <w:pPr>
        <w:pStyle w:val="4"/>
        <w:numPr>
          <w:ilvl w:val="0"/>
          <w:numId w:val="15"/>
        </w:numPr>
        <w:bidi w:val="0"/>
        <w:ind w:left="840" w:leftChars="0" w:firstLineChars="0"/>
        <w:rPr>
          <w:rFonts w:hint="eastAsia"/>
          <w:lang w:val="en-US" w:eastAsia="zh-CN"/>
        </w:rPr>
      </w:pPr>
      <w:bookmarkStart w:id="183" w:name="_Toc17548"/>
      <w:bookmarkStart w:id="184" w:name="_Toc20343"/>
      <w:bookmarkStart w:id="185" w:name="_Toc19333"/>
      <w:r>
        <w:rPr>
          <w:rFonts w:hint="eastAsia"/>
          <w:lang w:val="en-US" w:eastAsia="zh-CN"/>
        </w:rPr>
        <w:t>优化项目管理</w:t>
      </w:r>
      <w:bookmarkEnd w:id="183"/>
      <w:bookmarkEnd w:id="184"/>
      <w:bookmarkEnd w:id="185"/>
    </w:p>
    <w:p>
      <w:pPr>
        <w:pStyle w:val="5"/>
        <w:numPr>
          <w:ilvl w:val="0"/>
          <w:numId w:val="38"/>
        </w:numPr>
        <w:bidi w:val="0"/>
        <w:rPr>
          <w:rFonts w:hint="eastAsia"/>
          <w:lang w:val="en-US" w:eastAsia="zh-CN"/>
        </w:rPr>
      </w:pPr>
      <w:r>
        <w:rPr>
          <w:rFonts w:hint="eastAsia"/>
          <w:lang w:val="en-US" w:eastAsia="zh-CN"/>
        </w:rPr>
        <w:t>严格项目入库管理</w:t>
      </w:r>
    </w:p>
    <w:p>
      <w:pPr>
        <w:pStyle w:val="6"/>
        <w:bidi w:val="0"/>
        <w:rPr>
          <w:rFonts w:hint="eastAsia"/>
          <w:lang w:val="en-US" w:eastAsia="zh-CN"/>
        </w:rPr>
      </w:pPr>
      <w:r>
        <w:rPr>
          <w:rFonts w:hint="eastAsia"/>
          <w:lang w:val="en-US" w:eastAsia="zh-CN"/>
        </w:rPr>
        <w:t>按照国家及自治区项目储备入库要求，建立伊吾县天然林保护修复项目储备库，对拟实施的天然林保护修复项目进行全面梳理，按照轻重缓急进行排序。优先支持科技含量高、示范性强、生态效益显著且符合区域修复重点的项目。</w:t>
      </w:r>
    </w:p>
    <w:p>
      <w:pPr>
        <w:pStyle w:val="5"/>
        <w:numPr>
          <w:ilvl w:val="0"/>
          <w:numId w:val="2"/>
        </w:numPr>
        <w:bidi w:val="0"/>
        <w:rPr>
          <w:rFonts w:hint="eastAsia"/>
          <w:lang w:val="en-US" w:eastAsia="zh-CN"/>
        </w:rPr>
      </w:pPr>
      <w:r>
        <w:rPr>
          <w:rFonts w:hint="eastAsia"/>
          <w:lang w:val="en-US" w:eastAsia="zh-CN"/>
        </w:rPr>
        <w:t>强化项目过程管理</w:t>
      </w:r>
    </w:p>
    <w:p>
      <w:pPr>
        <w:pStyle w:val="6"/>
        <w:bidi w:val="0"/>
        <w:rPr>
          <w:rFonts w:hint="eastAsia"/>
          <w:lang w:val="en-US" w:eastAsia="zh-CN"/>
        </w:rPr>
      </w:pPr>
      <w:r>
        <w:rPr>
          <w:rFonts w:hint="eastAsia"/>
          <w:lang w:val="en-US" w:eastAsia="zh-CN"/>
        </w:rPr>
        <w:t>所有修复项目实施后采取落地上图，依托中央林草资金项目管理平台，将项目空间位置、范围、内容等信息标注在地图上。建立项目台账，详细记录项目基本信息、实施进度、资金使用、存在问题等内容，实行动态管理。</w:t>
      </w:r>
    </w:p>
    <w:p>
      <w:pPr>
        <w:pStyle w:val="6"/>
        <w:bidi w:val="0"/>
        <w:rPr>
          <w:rFonts w:hint="eastAsia"/>
          <w:lang w:val="en-US" w:eastAsia="zh-CN"/>
        </w:rPr>
      </w:pPr>
      <w:r>
        <w:rPr>
          <w:rFonts w:hint="eastAsia"/>
          <w:lang w:val="en-US" w:eastAsia="zh-CN"/>
        </w:rPr>
        <w:t>建立项目巡查制度，定期开展实地检查，及时发现和解决问题。严格执行项目变更程序，未经批准不得擅自变更。加强项目档案管理，及时收集整理项目相关资料，为项目验收和后评价提供依据。</w:t>
      </w:r>
    </w:p>
    <w:p>
      <w:pPr>
        <w:pStyle w:val="5"/>
        <w:numPr>
          <w:ilvl w:val="0"/>
          <w:numId w:val="2"/>
        </w:numPr>
        <w:bidi w:val="0"/>
        <w:rPr>
          <w:rFonts w:hint="eastAsia"/>
          <w:lang w:val="en-US" w:eastAsia="zh-CN"/>
        </w:rPr>
      </w:pPr>
      <w:r>
        <w:rPr>
          <w:rFonts w:hint="eastAsia"/>
          <w:lang w:val="en-US" w:eastAsia="zh-CN"/>
        </w:rPr>
        <w:t>健全绩效评估机制</w:t>
      </w:r>
    </w:p>
    <w:p>
      <w:pPr>
        <w:pStyle w:val="6"/>
        <w:bidi w:val="0"/>
        <w:rPr>
          <w:rFonts w:hint="eastAsia"/>
        </w:rPr>
      </w:pPr>
      <w:r>
        <w:rPr>
          <w:rFonts w:hint="eastAsia"/>
          <w:lang w:val="en-US" w:eastAsia="zh-CN"/>
        </w:rPr>
        <w:t>设定可量化、可考核的目标指标，包括造林成活率、保存率、森林覆盖率、森林蓄积增长量等。定期开展实地检查与进度评估，确保任务按质按量完成。项目完成后及时组织验收，验收内容包括工作量完成情况、工程质量、资金使用情况、档案资料等。对验收不合格的项目，责令限期整改，整改仍不合格的，不予拨付剩余资金，并追究相关责任。</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8F0D6B1-CD0E-438E-B196-BD9E82DB0D03}"/>
  </w:font>
  <w:font w:name="黑体">
    <w:panose1 w:val="02010609060101010101"/>
    <w:charset w:val="86"/>
    <w:family w:val="auto"/>
    <w:pitch w:val="default"/>
    <w:sig w:usb0="800002BF" w:usb1="38CF7CFA" w:usb2="00000016" w:usb3="00000000" w:csb0="00040001" w:csb1="00000000"/>
    <w:embedRegular r:id="rId2" w:fontKey="{6E8A8DB3-9D67-4E5E-ADE6-D23B03EA3A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CB6B4381-B247-45DD-97F9-1413CC2D4BC1}"/>
  </w:font>
  <w:font w:name="方正小标宋简体">
    <w:panose1 w:val="02000000000000000000"/>
    <w:charset w:val="86"/>
    <w:family w:val="script"/>
    <w:pitch w:val="default"/>
    <w:sig w:usb0="A00002BF" w:usb1="184F6CFA" w:usb2="00000012" w:usb3="00000000" w:csb0="00040001" w:csb1="00000000"/>
    <w:embedRegular r:id="rId4" w:fontKey="{B2B79422-E6D8-4CAD-802C-232EA0A6F561}"/>
  </w:font>
  <w:font w:name="方正仿宋_GB2312">
    <w:panose1 w:val="02000000000000000000"/>
    <w:charset w:val="86"/>
    <w:family w:val="auto"/>
    <w:pitch w:val="default"/>
    <w:sig w:usb0="A00002BF" w:usb1="184F6CFA" w:usb2="00000012" w:usb3="00000000" w:csb0="00040001" w:csb1="00000000"/>
    <w:embedRegular r:id="rId5" w:fontKey="{CD5A668F-ACB6-4615-9AD1-9F2D31E7C2B9}"/>
  </w:font>
  <w:font w:name="华文楷体">
    <w:panose1 w:val="02010600040101010101"/>
    <w:charset w:val="86"/>
    <w:family w:val="auto"/>
    <w:pitch w:val="default"/>
    <w:sig w:usb0="A00002BF" w:usb1="78CF7CFB" w:usb2="00000016" w:usb3="00000000" w:csb0="6006009F" w:csb1="DFD70000"/>
    <w:embedRegular r:id="rId6" w:fontKey="{0613FCCA-9B5E-4D71-AE79-9F4B361B13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9"/>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D98474"/>
    <w:multiLevelType w:val="singleLevel"/>
    <w:tmpl w:val="F1D98474"/>
    <w:lvl w:ilvl="0" w:tentative="0">
      <w:start w:val="1"/>
      <w:numFmt w:val="chineseCounting"/>
      <w:pStyle w:val="5"/>
      <w:lvlText w:val="(%1)"/>
      <w:lvlJc w:val="left"/>
      <w:pPr>
        <w:tabs>
          <w:tab w:val="left" w:pos="312"/>
        </w:tabs>
      </w:pPr>
      <w:rPr>
        <w:rFonts w:hint="eastAsia"/>
      </w:rPr>
    </w:lvl>
  </w:abstractNum>
  <w:abstractNum w:abstractNumId="1">
    <w:nsid w:val="FB830A3C"/>
    <w:multiLevelType w:val="singleLevel"/>
    <w:tmpl w:val="FB830A3C"/>
    <w:lvl w:ilvl="0" w:tentative="0">
      <w:start w:val="2"/>
      <w:numFmt w:val="chineseCounting"/>
      <w:suff w:val="space"/>
      <w:lvlText w:val="第%1节"/>
      <w:lvlJc w:val="left"/>
      <w:rPr>
        <w:rFonts w:hint="eastAsia"/>
      </w:rPr>
    </w:lvl>
  </w:abstractNum>
  <w:abstractNum w:abstractNumId="2">
    <w:nsid w:val="0BE7DB74"/>
    <w:multiLevelType w:val="singleLevel"/>
    <w:tmpl w:val="0BE7DB74"/>
    <w:lvl w:ilvl="0" w:tentative="0">
      <w:start w:val="1"/>
      <w:numFmt w:val="chineseCounting"/>
      <w:pStyle w:val="4"/>
      <w:suff w:val="nothing"/>
      <w:lvlText w:val="%1、"/>
      <w:lvlJc w:val="left"/>
      <w:pPr>
        <w:ind w:left="250"/>
      </w:pPr>
      <w:rPr>
        <w:rFonts w:hint="eastAsia"/>
      </w:rPr>
    </w:lvl>
  </w:abstractNum>
  <w:abstractNum w:abstractNumId="3">
    <w:nsid w:val="10486090"/>
    <w:multiLevelType w:val="singleLevel"/>
    <w:tmpl w:val="10486090"/>
    <w:lvl w:ilvl="0" w:tentative="0">
      <w:start w:val="1"/>
      <w:numFmt w:val="chineseCounting"/>
      <w:suff w:val="space"/>
      <w:lvlText w:val="第%1节"/>
      <w:lvlJc w:val="left"/>
      <w:rPr>
        <w:rFonts w:hint="eastAsia"/>
      </w:rPr>
    </w:lvl>
  </w:abstractNum>
  <w:abstractNum w:abstractNumId="4">
    <w:nsid w:val="163FF647"/>
    <w:multiLevelType w:val="singleLevel"/>
    <w:tmpl w:val="163FF647"/>
    <w:lvl w:ilvl="0" w:tentative="0">
      <w:start w:val="1"/>
      <w:numFmt w:val="chineseCounting"/>
      <w:suff w:val="space"/>
      <w:lvlText w:val="第%1节"/>
      <w:lvlJc w:val="left"/>
      <w:rPr>
        <w:rFonts w:hint="eastAsia"/>
      </w:rPr>
    </w:lvl>
  </w:abstractNum>
  <w:num w:numId="1">
    <w:abstractNumId w:val="2"/>
  </w:num>
  <w:num w:numId="2">
    <w:abstractNumId w:val="0"/>
  </w:num>
  <w:num w:numId="3">
    <w:abstractNumId w:val="1"/>
  </w:num>
  <w:num w:numId="4">
    <w:abstractNumId w:val="2"/>
    <w:lvlOverride w:ilvl="0">
      <w:startOverride w:val="1"/>
    </w:lvlOverride>
  </w:num>
  <w:num w:numId="5">
    <w:abstractNumId w:val="2"/>
    <w:lvlOverride w:ilvl="0">
      <w:startOverride w:val="1"/>
    </w:lvlOverride>
  </w:num>
  <w:num w:numId="6">
    <w:abstractNumId w:val="0"/>
    <w:lvlOverride w:ilvl="0">
      <w:startOverride w:val="1"/>
    </w:lvlOverride>
  </w:num>
  <w:num w:numId="7">
    <w:abstractNumId w:val="2"/>
    <w:lvlOverride w:ilvl="0">
      <w:startOverride w:val="1"/>
    </w:lvlOverride>
  </w:num>
  <w:num w:numId="8">
    <w:abstractNumId w:val="0"/>
    <w:lvlOverride w:ilvl="0">
      <w:startOverride w:val="1"/>
    </w:lvlOverride>
  </w:num>
  <w:num w:numId="9">
    <w:abstractNumId w:val="0"/>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2"/>
    <w:lvlOverride w:ilvl="0">
      <w:startOverride w:val="1"/>
    </w:lvlOverride>
  </w:num>
  <w:num w:numId="16">
    <w:abstractNumId w:val="0"/>
    <w:lvlOverride w:ilvl="0">
      <w:startOverride w:val="1"/>
    </w:lvlOverride>
  </w:num>
  <w:num w:numId="17">
    <w:abstractNumId w:val="2"/>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3"/>
  </w:num>
  <w:num w:numId="24">
    <w:abstractNumId w:val="2"/>
    <w:lvlOverride w:ilvl="0">
      <w:startOverride w:val="1"/>
    </w:lvlOverride>
  </w:num>
  <w:num w:numId="25">
    <w:abstractNumId w:val="0"/>
    <w:lvlOverride w:ilvl="0">
      <w:startOverride w:val="1"/>
    </w:lvlOverride>
  </w:num>
  <w:num w:numId="26">
    <w:abstractNumId w:val="0"/>
    <w:lvlOverride w:ilvl="0">
      <w:startOverride w:val="1"/>
    </w:lvlOverride>
  </w:num>
  <w:num w:numId="27">
    <w:abstractNumId w:val="0"/>
    <w:lvlOverride w:ilvl="0">
      <w:startOverride w:val="1"/>
    </w:lvlOverride>
  </w:num>
  <w:num w:numId="28">
    <w:abstractNumId w:val="4"/>
  </w:num>
  <w:num w:numId="29">
    <w:abstractNumId w:val="2"/>
    <w:lvlOverride w:ilvl="0">
      <w:startOverride w:val="1"/>
    </w:lvlOverride>
  </w:num>
  <w:num w:numId="30">
    <w:abstractNumId w:val="2"/>
    <w:lvlOverride w:ilvl="0">
      <w:startOverride w:val="1"/>
    </w:lvlOverride>
  </w:num>
  <w:num w:numId="31">
    <w:abstractNumId w:val="2"/>
    <w:lvlOverride w:ilvl="0">
      <w:startOverride w:val="1"/>
    </w:lvlOverride>
  </w:num>
  <w:num w:numId="32">
    <w:abstractNumId w:val="2"/>
    <w:lvlOverride w:ilvl="0">
      <w:startOverride w:val="1"/>
    </w:lvlOverride>
  </w:num>
  <w:num w:numId="33">
    <w:abstractNumId w:val="2"/>
    <w:lvlOverride w:ilvl="0">
      <w:startOverride w:val="1"/>
    </w:lvlOverride>
  </w:num>
  <w:num w:numId="34">
    <w:abstractNumId w:val="0"/>
    <w:lvlOverride w:ilvl="0">
      <w:startOverride w:val="1"/>
    </w:lvlOverride>
  </w:num>
  <w:num w:numId="35">
    <w:abstractNumId w:val="0"/>
    <w:lvlOverride w:ilvl="0">
      <w:startOverride w:val="1"/>
    </w:lvlOverride>
  </w:num>
  <w:num w:numId="36">
    <w:abstractNumId w:val="0"/>
    <w:lvlOverride w:ilvl="0">
      <w:startOverride w:val="1"/>
    </w:lvlOverride>
  </w:num>
  <w:num w:numId="37">
    <w:abstractNumId w:val="0"/>
    <w:lvlOverride w:ilvl="0">
      <w:startOverride w:val="1"/>
    </w:lvlOverride>
  </w:num>
  <w:num w:numId="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336550"/>
    <w:rsid w:val="009C3F5D"/>
    <w:rsid w:val="01356652"/>
    <w:rsid w:val="02254895"/>
    <w:rsid w:val="03256E50"/>
    <w:rsid w:val="03451AAA"/>
    <w:rsid w:val="036C5C5A"/>
    <w:rsid w:val="046A343D"/>
    <w:rsid w:val="04876D62"/>
    <w:rsid w:val="04FA0CF8"/>
    <w:rsid w:val="062A142B"/>
    <w:rsid w:val="06336550"/>
    <w:rsid w:val="06451874"/>
    <w:rsid w:val="072145DC"/>
    <w:rsid w:val="083E11BD"/>
    <w:rsid w:val="08A2174C"/>
    <w:rsid w:val="098E62EA"/>
    <w:rsid w:val="0ABD5F3C"/>
    <w:rsid w:val="0C4E5BBE"/>
    <w:rsid w:val="0C4F583E"/>
    <w:rsid w:val="0CDE2289"/>
    <w:rsid w:val="0CE552B5"/>
    <w:rsid w:val="0DDE3227"/>
    <w:rsid w:val="0E364A2E"/>
    <w:rsid w:val="0E43752E"/>
    <w:rsid w:val="0E4B1F3E"/>
    <w:rsid w:val="0E5B0ACE"/>
    <w:rsid w:val="0EA878D1"/>
    <w:rsid w:val="0EB6385C"/>
    <w:rsid w:val="0EB83A78"/>
    <w:rsid w:val="0ECD7647"/>
    <w:rsid w:val="0F2033CB"/>
    <w:rsid w:val="10983170"/>
    <w:rsid w:val="10A06571"/>
    <w:rsid w:val="10E24DDC"/>
    <w:rsid w:val="1102722C"/>
    <w:rsid w:val="11091D5E"/>
    <w:rsid w:val="123E24E6"/>
    <w:rsid w:val="13F13588"/>
    <w:rsid w:val="146124BC"/>
    <w:rsid w:val="17546308"/>
    <w:rsid w:val="18365A0D"/>
    <w:rsid w:val="18D255A1"/>
    <w:rsid w:val="192006A8"/>
    <w:rsid w:val="193464F6"/>
    <w:rsid w:val="1A266185"/>
    <w:rsid w:val="1A58610F"/>
    <w:rsid w:val="1AE52971"/>
    <w:rsid w:val="1B1B60B6"/>
    <w:rsid w:val="1B4F12C0"/>
    <w:rsid w:val="1BC872C4"/>
    <w:rsid w:val="1BEF3D4A"/>
    <w:rsid w:val="1C6C7852"/>
    <w:rsid w:val="1C844F99"/>
    <w:rsid w:val="1CC7132A"/>
    <w:rsid w:val="1D796AC8"/>
    <w:rsid w:val="1DF83E91"/>
    <w:rsid w:val="1E0A4D56"/>
    <w:rsid w:val="1E7A630E"/>
    <w:rsid w:val="1EF434A9"/>
    <w:rsid w:val="1F710E25"/>
    <w:rsid w:val="20D12777"/>
    <w:rsid w:val="219F2875"/>
    <w:rsid w:val="21A94F93"/>
    <w:rsid w:val="21E375A4"/>
    <w:rsid w:val="223E208E"/>
    <w:rsid w:val="23BB5AA3"/>
    <w:rsid w:val="23BF0FAD"/>
    <w:rsid w:val="251B6E5A"/>
    <w:rsid w:val="25D41A92"/>
    <w:rsid w:val="25E233B1"/>
    <w:rsid w:val="26995AE5"/>
    <w:rsid w:val="26FC7E22"/>
    <w:rsid w:val="27261232"/>
    <w:rsid w:val="27A02EA3"/>
    <w:rsid w:val="27A504B9"/>
    <w:rsid w:val="28CA467C"/>
    <w:rsid w:val="2985174A"/>
    <w:rsid w:val="2A3034C7"/>
    <w:rsid w:val="2A636B36"/>
    <w:rsid w:val="2AA502E9"/>
    <w:rsid w:val="2AF8623C"/>
    <w:rsid w:val="2C124AC7"/>
    <w:rsid w:val="2C650063"/>
    <w:rsid w:val="2C6F45B6"/>
    <w:rsid w:val="2CA36890"/>
    <w:rsid w:val="2D1759B5"/>
    <w:rsid w:val="2D453BC9"/>
    <w:rsid w:val="2D67693D"/>
    <w:rsid w:val="2DD41AF8"/>
    <w:rsid w:val="2DD45CBB"/>
    <w:rsid w:val="2E3C24D3"/>
    <w:rsid w:val="2E50117F"/>
    <w:rsid w:val="2E9B5BAC"/>
    <w:rsid w:val="2EA06C3D"/>
    <w:rsid w:val="2EDA313F"/>
    <w:rsid w:val="2F39628F"/>
    <w:rsid w:val="2F6D6117"/>
    <w:rsid w:val="30590093"/>
    <w:rsid w:val="30B67293"/>
    <w:rsid w:val="315305D7"/>
    <w:rsid w:val="31762116"/>
    <w:rsid w:val="32A0644D"/>
    <w:rsid w:val="331212B7"/>
    <w:rsid w:val="33D34361"/>
    <w:rsid w:val="33F86541"/>
    <w:rsid w:val="34346E4D"/>
    <w:rsid w:val="34A6584C"/>
    <w:rsid w:val="34F10EAE"/>
    <w:rsid w:val="35470868"/>
    <w:rsid w:val="356E2E8D"/>
    <w:rsid w:val="35EC732A"/>
    <w:rsid w:val="361A4504"/>
    <w:rsid w:val="37113475"/>
    <w:rsid w:val="37403D5B"/>
    <w:rsid w:val="37483620"/>
    <w:rsid w:val="38600814"/>
    <w:rsid w:val="386341A5"/>
    <w:rsid w:val="387A5C9A"/>
    <w:rsid w:val="38997BC6"/>
    <w:rsid w:val="39113C01"/>
    <w:rsid w:val="392E6561"/>
    <w:rsid w:val="395064D7"/>
    <w:rsid w:val="3B3B6D13"/>
    <w:rsid w:val="3C3025F0"/>
    <w:rsid w:val="3DD0408A"/>
    <w:rsid w:val="3F443DBE"/>
    <w:rsid w:val="40654B74"/>
    <w:rsid w:val="40B52A37"/>
    <w:rsid w:val="414E1930"/>
    <w:rsid w:val="41731BE9"/>
    <w:rsid w:val="41CC1075"/>
    <w:rsid w:val="41FB544E"/>
    <w:rsid w:val="42276B1A"/>
    <w:rsid w:val="428837FE"/>
    <w:rsid w:val="4381111A"/>
    <w:rsid w:val="44C9546A"/>
    <w:rsid w:val="45C67B21"/>
    <w:rsid w:val="46E40852"/>
    <w:rsid w:val="472A5ECE"/>
    <w:rsid w:val="48BA26F4"/>
    <w:rsid w:val="49D74C97"/>
    <w:rsid w:val="49EA5378"/>
    <w:rsid w:val="49EC22F3"/>
    <w:rsid w:val="4AC666BA"/>
    <w:rsid w:val="4B0941EA"/>
    <w:rsid w:val="4B132484"/>
    <w:rsid w:val="4B9664CC"/>
    <w:rsid w:val="4BDF12E5"/>
    <w:rsid w:val="4DA370C6"/>
    <w:rsid w:val="4DA4699A"/>
    <w:rsid w:val="4F244E2E"/>
    <w:rsid w:val="4FBB033A"/>
    <w:rsid w:val="517E7507"/>
    <w:rsid w:val="52F42171"/>
    <w:rsid w:val="53416A23"/>
    <w:rsid w:val="5422686A"/>
    <w:rsid w:val="54542574"/>
    <w:rsid w:val="54757078"/>
    <w:rsid w:val="55155C9B"/>
    <w:rsid w:val="553C395C"/>
    <w:rsid w:val="554D44B1"/>
    <w:rsid w:val="560C4938"/>
    <w:rsid w:val="561B54ED"/>
    <w:rsid w:val="56A95ABB"/>
    <w:rsid w:val="57302664"/>
    <w:rsid w:val="575E6EED"/>
    <w:rsid w:val="58065672"/>
    <w:rsid w:val="580A5195"/>
    <w:rsid w:val="58191849"/>
    <w:rsid w:val="58510816"/>
    <w:rsid w:val="58C425E6"/>
    <w:rsid w:val="58E14F7F"/>
    <w:rsid w:val="5A4460CB"/>
    <w:rsid w:val="5A7A3543"/>
    <w:rsid w:val="5A820063"/>
    <w:rsid w:val="5AAB1367"/>
    <w:rsid w:val="5AAE2C06"/>
    <w:rsid w:val="5B9B0DCB"/>
    <w:rsid w:val="5BD4669C"/>
    <w:rsid w:val="5C3F18E4"/>
    <w:rsid w:val="5C4557EC"/>
    <w:rsid w:val="5CD850E1"/>
    <w:rsid w:val="5D335644"/>
    <w:rsid w:val="5D584546"/>
    <w:rsid w:val="5DF90D19"/>
    <w:rsid w:val="5E055233"/>
    <w:rsid w:val="5E2C1C74"/>
    <w:rsid w:val="5EF534F9"/>
    <w:rsid w:val="5F0F62CC"/>
    <w:rsid w:val="5FDA6EA5"/>
    <w:rsid w:val="60EB5DD7"/>
    <w:rsid w:val="61260123"/>
    <w:rsid w:val="61AE5D0D"/>
    <w:rsid w:val="61AF3E33"/>
    <w:rsid w:val="61ED2443"/>
    <w:rsid w:val="62956A6D"/>
    <w:rsid w:val="62C534E6"/>
    <w:rsid w:val="63F20007"/>
    <w:rsid w:val="64A1395C"/>
    <w:rsid w:val="671464E6"/>
    <w:rsid w:val="685F7C35"/>
    <w:rsid w:val="686F7E78"/>
    <w:rsid w:val="68AC418B"/>
    <w:rsid w:val="68D67EF7"/>
    <w:rsid w:val="691B3B5C"/>
    <w:rsid w:val="69256A93"/>
    <w:rsid w:val="69EB7DC0"/>
    <w:rsid w:val="69FD48BA"/>
    <w:rsid w:val="6AC55556"/>
    <w:rsid w:val="6B1749FA"/>
    <w:rsid w:val="6B735ED1"/>
    <w:rsid w:val="6BAD2A66"/>
    <w:rsid w:val="6C2D5D63"/>
    <w:rsid w:val="6C5E0930"/>
    <w:rsid w:val="6C6475C8"/>
    <w:rsid w:val="6CBC11B2"/>
    <w:rsid w:val="6CD75FEC"/>
    <w:rsid w:val="6CF4154E"/>
    <w:rsid w:val="6D4F07D4"/>
    <w:rsid w:val="6D5C6401"/>
    <w:rsid w:val="6EF03395"/>
    <w:rsid w:val="704C2FF7"/>
    <w:rsid w:val="70BE4AB5"/>
    <w:rsid w:val="71121CE9"/>
    <w:rsid w:val="71FB5066"/>
    <w:rsid w:val="728A39C8"/>
    <w:rsid w:val="737C5B3F"/>
    <w:rsid w:val="73A103C3"/>
    <w:rsid w:val="74C11350"/>
    <w:rsid w:val="74C94487"/>
    <w:rsid w:val="757641EC"/>
    <w:rsid w:val="758D7B90"/>
    <w:rsid w:val="75B5389C"/>
    <w:rsid w:val="75C007F1"/>
    <w:rsid w:val="770B16B4"/>
    <w:rsid w:val="777A2D6B"/>
    <w:rsid w:val="77B37656"/>
    <w:rsid w:val="78A7540C"/>
    <w:rsid w:val="79B479A1"/>
    <w:rsid w:val="7B3F192C"/>
    <w:rsid w:val="7B8450CA"/>
    <w:rsid w:val="7CB04CE6"/>
    <w:rsid w:val="7D2E49E7"/>
    <w:rsid w:val="7DAF266D"/>
    <w:rsid w:val="7E387FAE"/>
    <w:rsid w:val="7F22703C"/>
    <w:rsid w:val="7F343772"/>
    <w:rsid w:val="7F3F40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120" w:line="222" w:lineRule="auto"/>
      <w:ind w:left="2725"/>
      <w:outlineLvl w:val="0"/>
    </w:pPr>
    <w:rPr>
      <w:rFonts w:ascii="黑体" w:hAnsi="黑体" w:eastAsia="黑体" w:cs="黑体"/>
      <w:b/>
      <w:bCs/>
      <w:spacing w:val="-8"/>
      <w:sz w:val="37"/>
      <w:szCs w:val="37"/>
    </w:rPr>
  </w:style>
  <w:style w:type="paragraph" w:styleId="3">
    <w:name w:val="heading 2"/>
    <w:basedOn w:val="1"/>
    <w:next w:val="1"/>
    <w:unhideWhenUsed/>
    <w:qFormat/>
    <w:uiPriority w:val="0"/>
    <w:pPr>
      <w:spacing w:before="278" w:line="226" w:lineRule="auto"/>
      <w:ind w:left="51"/>
      <w:jc w:val="center"/>
      <w:outlineLvl w:val="1"/>
    </w:pPr>
    <w:rPr>
      <w:rFonts w:ascii="黑体" w:hAnsi="黑体" w:eastAsia="黑体" w:cs="黑体"/>
      <w:b/>
      <w:bCs/>
      <w:spacing w:val="-3"/>
      <w:sz w:val="28"/>
      <w:szCs w:val="28"/>
      <w:lang w:eastAsia="zh-CN"/>
    </w:rPr>
  </w:style>
  <w:style w:type="paragraph" w:styleId="4">
    <w:name w:val="heading 3"/>
    <w:basedOn w:val="1"/>
    <w:next w:val="1"/>
    <w:unhideWhenUsed/>
    <w:qFormat/>
    <w:uiPriority w:val="0"/>
    <w:pPr>
      <w:numPr>
        <w:ilvl w:val="0"/>
        <w:numId w:val="1"/>
      </w:numPr>
      <w:spacing w:before="91" w:line="224" w:lineRule="auto"/>
      <w:ind w:left="590"/>
      <w:outlineLvl w:val="2"/>
    </w:pPr>
    <w:rPr>
      <w:rFonts w:ascii="黑体" w:hAnsi="黑体" w:eastAsia="黑体" w:cs="黑体"/>
      <w:b/>
      <w:bCs/>
      <w:spacing w:val="-5"/>
      <w:sz w:val="28"/>
      <w:szCs w:val="28"/>
      <w:lang w:eastAsia="zh-CN"/>
    </w:rPr>
  </w:style>
  <w:style w:type="paragraph" w:styleId="5">
    <w:name w:val="heading 4"/>
    <w:basedOn w:val="6"/>
    <w:next w:val="1"/>
    <w:unhideWhenUsed/>
    <w:qFormat/>
    <w:uiPriority w:val="0"/>
    <w:pPr>
      <w:widowControl w:val="0"/>
      <w:numPr>
        <w:ilvl w:val="0"/>
        <w:numId w:val="2"/>
      </w:numPr>
      <w:spacing w:before="50" w:beforeLines="50"/>
      <w:ind w:firstLine="562"/>
      <w:outlineLvl w:val="3"/>
    </w:pPr>
    <w:rPr>
      <w:rFonts w:ascii="黑体" w:hAnsi="黑体" w:eastAsia="黑体" w:cs="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w:basedOn w:val="7"/>
    <w:link w:val="19"/>
    <w:qFormat/>
    <w:uiPriority w:val="0"/>
    <w:pPr>
      <w:spacing w:before="0"/>
    </w:pPr>
  </w:style>
  <w:style w:type="paragraph" w:customStyle="1" w:styleId="7">
    <w:name w:val="样式1"/>
    <w:basedOn w:val="1"/>
    <w:link w:val="18"/>
    <w:qFormat/>
    <w:uiPriority w:val="0"/>
    <w:pPr>
      <w:autoSpaceDE/>
      <w:autoSpaceDN/>
      <w:spacing w:before="221" w:line="360" w:lineRule="auto"/>
      <w:ind w:firstLine="480" w:firstLineChars="200"/>
      <w:jc w:val="both"/>
    </w:pPr>
    <w:rPr>
      <w:rFonts w:ascii="仿宋" w:hAnsi="仿宋" w:eastAsia="仿宋" w:cs="仿宋"/>
      <w:snapToGrid/>
      <w:color w:val="auto"/>
      <w:kern w:val="2"/>
      <w:sz w:val="27"/>
      <w:szCs w:val="27"/>
      <w:lang w:eastAsia="zh-CN"/>
    </w:r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Title"/>
    <w:basedOn w:val="1"/>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11"/>
    <w:basedOn w:val="16"/>
    <w:qFormat/>
    <w:uiPriority w:val="0"/>
    <w:rPr>
      <w:rFonts w:hint="eastAsia" w:ascii="宋体" w:hAnsi="宋体" w:eastAsia="宋体" w:cs="宋体"/>
      <w:b/>
      <w:bCs/>
      <w:color w:val="000000"/>
      <w:sz w:val="18"/>
      <w:szCs w:val="18"/>
      <w:u w:val="none"/>
    </w:rPr>
  </w:style>
  <w:style w:type="character" w:customStyle="1" w:styleId="18">
    <w:name w:val="样式1 Char"/>
    <w:link w:val="7"/>
    <w:qFormat/>
    <w:uiPriority w:val="0"/>
    <w:rPr>
      <w:rFonts w:ascii="仿宋" w:hAnsi="仿宋" w:eastAsia="仿宋" w:cs="仿宋"/>
      <w:snapToGrid/>
      <w:color w:val="auto"/>
      <w:kern w:val="2"/>
      <w:sz w:val="27"/>
      <w:szCs w:val="27"/>
      <w:lang w:eastAsia="zh-CN"/>
    </w:rPr>
  </w:style>
  <w:style w:type="character" w:customStyle="1" w:styleId="19">
    <w:name w:val="正文文本 Char"/>
    <w:link w:val="6"/>
    <w:qFormat/>
    <w:uiPriority w:val="0"/>
  </w:style>
  <w:style w:type="paragraph" w:customStyle="1" w:styleId="20">
    <w:name w:val="Table Text"/>
    <w:basedOn w:val="1"/>
    <w:semiHidden/>
    <w:qFormat/>
    <w:uiPriority w:val="0"/>
    <w:rPr>
      <w:rFonts w:ascii="宋体" w:hAnsi="宋体" w:eastAsia="宋体" w:cs="宋体"/>
      <w:sz w:val="28"/>
      <w:szCs w:val="28"/>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 w:type="character" w:customStyle="1" w:styleId="22">
    <w:name w:val="font71"/>
    <w:basedOn w:val="16"/>
    <w:qFormat/>
    <w:uiPriority w:val="0"/>
    <w:rPr>
      <w:rFonts w:hint="eastAsia" w:ascii="仿宋" w:hAnsi="仿宋" w:eastAsia="仿宋" w:cs="仿宋"/>
      <w:color w:val="000000"/>
      <w:sz w:val="20"/>
      <w:szCs w:val="20"/>
      <w:u w:val="none"/>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 w:type="paragraph" w:customStyle="1" w:styleId="25">
    <w:name w:val="WPSOffice手动目录 3"/>
    <w:qFormat/>
    <w:uiPriority w:val="0"/>
    <w:pPr>
      <w:ind w:leftChars="400"/>
    </w:pPr>
    <w:rPr>
      <w:rFonts w:ascii="Times New Roman" w:hAnsi="Times New Roman" w:eastAsia="宋体" w:cs="Times New Roman"/>
      <w:sz w:val="20"/>
      <w:szCs w:val="20"/>
    </w:rPr>
  </w:style>
  <w:style w:type="character" w:customStyle="1" w:styleId="26">
    <w:name w:val="font21"/>
    <w:basedOn w:val="16"/>
    <w:qFormat/>
    <w:uiPriority w:val="0"/>
    <w:rPr>
      <w:rFonts w:hint="eastAsia"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903</Words>
  <Characters>1006</Characters>
  <Lines>0</Lines>
  <Paragraphs>0</Paragraphs>
  <TotalTime>2</TotalTime>
  <ScaleCrop>false</ScaleCrop>
  <LinksUpToDate>false</LinksUpToDate>
  <CharactersWithSpaces>1171</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2025-11-24T02:13:00Z</dcterms:created>
  <dc:creator>Administrator</dc:creator>
  <cp:lastModifiedBy>Administrator</cp:lastModifiedBy>
  <dcterms:modified xsi:type="dcterms:W3CDTF">2026-11-06T04:00:17Z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53CC2BA7913540E9B78241650674DED7</vt:lpwstr>
  </property>
</Properties>
</file>