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spacing w:line="840" w:lineRule="exact"/>
        <w:jc w:val="center"/>
        <w:textAlignment w:val="auto"/>
        <w:rPr>
          <w:rFonts w:hint="eastAsia" w:ascii="方正小标宋简体" w:hAnsi="方正小标宋简体" w:eastAsia="方正小标宋简体" w:cs="方正小标宋简体"/>
          <w:b w:val="0"/>
          <w:bCs w:val="0"/>
          <w:color w:val="auto"/>
          <w:sz w:val="44"/>
          <w:szCs w:val="44"/>
        </w:rPr>
      </w:pPr>
      <w:bookmarkStart w:id="0" w:name="_GoBack"/>
      <w:bookmarkEnd w:id="0"/>
      <w:r>
        <w:rPr>
          <w:rFonts w:hint="eastAsia" w:ascii="方正小标宋简体" w:hAnsi="方正小标宋简体" w:eastAsia="方正小标宋简体" w:cs="方正小标宋简体"/>
          <w:b w:val="0"/>
          <w:bCs w:val="0"/>
          <w:color w:val="auto"/>
          <w:sz w:val="44"/>
          <w:szCs w:val="44"/>
          <w:lang w:eastAsia="zh-CN"/>
        </w:rPr>
        <w:t>伊吾县</w:t>
      </w:r>
      <w:r>
        <w:rPr>
          <w:rFonts w:hint="eastAsia" w:ascii="方正小标宋简体" w:hAnsi="方正小标宋简体" w:eastAsia="方正小标宋简体" w:cs="方正小标宋简体"/>
          <w:b w:val="0"/>
          <w:bCs w:val="0"/>
          <w:color w:val="auto"/>
          <w:sz w:val="44"/>
          <w:szCs w:val="44"/>
        </w:rPr>
        <w:t>烟草制品零售点合理布局规划</w:t>
      </w:r>
    </w:p>
    <w:p>
      <w:pPr>
        <w:keepNext w:val="0"/>
        <w:keepLines w:val="0"/>
        <w:pageBreakBefore w:val="0"/>
        <w:widowControl w:val="0"/>
        <w:kinsoku/>
        <w:wordWrap/>
        <w:overflowPunct/>
        <w:topLinePunct w:val="0"/>
        <w:autoSpaceDE/>
        <w:autoSpaceDN/>
        <w:bidi w:val="0"/>
        <w:adjustRightInd w:val="0"/>
        <w:snapToGrid/>
        <w:spacing w:line="84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eastAsia="zh-CN"/>
        </w:rPr>
        <w:t>（</w:t>
      </w:r>
      <w:r>
        <w:rPr>
          <w:rFonts w:hint="eastAsia" w:ascii="方正小标宋简体" w:hAnsi="方正小标宋简体" w:eastAsia="方正小标宋简体" w:cs="方正小标宋简体"/>
          <w:b w:val="0"/>
          <w:bCs w:val="0"/>
          <w:color w:val="auto"/>
          <w:sz w:val="44"/>
          <w:szCs w:val="44"/>
          <w:lang w:val="en-US" w:eastAsia="zh-CN"/>
        </w:rPr>
        <w:t>2026年--2031年</w:t>
      </w:r>
      <w:r>
        <w:rPr>
          <w:rFonts w:hint="eastAsia" w:ascii="方正小标宋简体" w:hAnsi="方正小标宋简体" w:eastAsia="方正小标宋简体" w:cs="方正小标宋简体"/>
          <w:b w:val="0"/>
          <w:bCs w:val="0"/>
          <w:color w:val="auto"/>
          <w:sz w:val="44"/>
          <w:szCs w:val="44"/>
          <w:lang w:eastAsia="zh-CN"/>
        </w:rPr>
        <w:t>）</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jc w:val="left"/>
        <w:textAlignment w:val="auto"/>
        <w:rPr>
          <w:rFonts w:hint="eastAsia" w:ascii="黑体" w:hAnsi="宋体" w:eastAsia="黑体" w:cs="黑体"/>
          <w:color w:val="000000"/>
          <w:kern w:val="0"/>
          <w:sz w:val="31"/>
          <w:szCs w:val="31"/>
          <w:lang w:val="en-US" w:eastAsia="zh-CN" w:bidi="ar"/>
        </w:rPr>
      </w:pP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jc w:val="center"/>
        <w:textAlignment w:val="auto"/>
        <w:rPr>
          <w:rFonts w:hint="eastAsia" w:ascii="黑体" w:hAnsi="宋体" w:eastAsia="黑体" w:cs="黑体"/>
          <w:color w:val="000000"/>
          <w:kern w:val="0"/>
          <w:sz w:val="32"/>
          <w:szCs w:val="32"/>
          <w:lang w:val="en-US" w:eastAsia="zh-CN" w:bidi="ar"/>
        </w:rPr>
      </w:pPr>
      <w:r>
        <w:rPr>
          <w:rFonts w:hint="eastAsia" w:ascii="黑体" w:hAnsi="宋体" w:eastAsia="黑体" w:cs="黑体"/>
          <w:color w:val="000000"/>
          <w:kern w:val="0"/>
          <w:sz w:val="32"/>
          <w:szCs w:val="32"/>
          <w:lang w:val="en-US" w:eastAsia="zh-CN" w:bidi="ar"/>
        </w:rPr>
        <w:t xml:space="preserve">第一章 </w:t>
      </w:r>
      <w:r>
        <w:rPr>
          <w:rFonts w:hint="default" w:ascii="黑体" w:hAnsi="宋体" w:eastAsia="黑体" w:cs="黑体"/>
          <w:color w:val="000000"/>
          <w:kern w:val="0"/>
          <w:sz w:val="32"/>
          <w:szCs w:val="32"/>
          <w:lang w:val="en-US" w:eastAsia="zh-CN" w:bidi="ar"/>
        </w:rPr>
        <w:t>总则</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ascii="仿宋_GB2312" w:eastAsia="仿宋_GB2312"/>
          <w:b w:val="0"/>
          <w:bCs w:val="0"/>
          <w:color w:val="auto"/>
          <w:sz w:val="32"/>
          <w:szCs w:val="32"/>
        </w:rPr>
      </w:pPr>
      <w:r>
        <w:rPr>
          <w:rFonts w:hint="eastAsia" w:ascii="黑体" w:hAnsi="黑体" w:eastAsia="黑体" w:cs="黑体"/>
          <w:b w:val="0"/>
          <w:bCs w:val="0"/>
          <w:color w:val="auto"/>
          <w:sz w:val="32"/>
          <w:szCs w:val="32"/>
        </w:rPr>
        <w:t xml:space="preserve">第一条 </w:t>
      </w:r>
      <w:r>
        <w:rPr>
          <w:rFonts w:hint="eastAsia" w:ascii="仿宋_GB2312" w:hAnsi="宋体" w:eastAsia="仿宋_GB2312" w:cs="Arial"/>
          <w:b w:val="0"/>
          <w:bCs w:val="0"/>
          <w:color w:val="auto"/>
          <w:sz w:val="32"/>
          <w:szCs w:val="32"/>
          <w:lang w:eastAsia="zh-CN"/>
        </w:rPr>
        <w:t>为加强烟草专卖零售许可证管理，规范烟草制品零售市场经营秩序，切实维护国家、消费者、未成年人合法权益，根据《中华人民共和国行政许可法》《中华人民共和国未成年人保护法》《中华人民共和国烟草专卖法》《中华人民共和国烟草专卖法实施条例》《烟草专卖许可证管理办法》</w:t>
      </w:r>
      <w:r>
        <w:rPr>
          <w:rFonts w:hint="eastAsia" w:ascii="仿宋_GB2312" w:eastAsia="仿宋_GB2312"/>
          <w:b w:val="0"/>
          <w:bCs w:val="0"/>
          <w:color w:val="auto"/>
          <w:sz w:val="32"/>
          <w:szCs w:val="32"/>
        </w:rPr>
        <w:t>(工业和信息化部令第37号）</w:t>
      </w:r>
      <w:r>
        <w:rPr>
          <w:rFonts w:hint="eastAsia" w:ascii="仿宋_GB2312" w:hAnsi="宋体" w:eastAsia="仿宋_GB2312" w:cs="Arial"/>
          <w:b w:val="0"/>
          <w:bCs w:val="0"/>
          <w:color w:val="auto"/>
          <w:sz w:val="32"/>
          <w:szCs w:val="32"/>
          <w:lang w:eastAsia="zh-CN"/>
        </w:rPr>
        <w:t>等法律法规规章的规定，结合本行政区</w:t>
      </w:r>
      <w:r>
        <w:rPr>
          <w:rFonts w:hint="eastAsia" w:ascii="仿宋_GB2312" w:hAnsi="宋体" w:cs="Arial"/>
          <w:b w:val="0"/>
          <w:bCs w:val="0"/>
          <w:color w:val="auto"/>
          <w:sz w:val="32"/>
          <w:szCs w:val="32"/>
          <w:lang w:eastAsia="zh-CN"/>
        </w:rPr>
        <w:t>域</w:t>
      </w:r>
      <w:r>
        <w:rPr>
          <w:rFonts w:hint="eastAsia" w:ascii="仿宋_GB2312" w:hAnsi="宋体" w:eastAsia="仿宋_GB2312" w:cs="Arial"/>
          <w:b w:val="0"/>
          <w:bCs w:val="0"/>
          <w:color w:val="auto"/>
          <w:sz w:val="32"/>
          <w:szCs w:val="32"/>
          <w:lang w:eastAsia="zh-CN"/>
        </w:rPr>
        <w:t>实际，制定本规划。</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ascii="仿宋_GB2312" w:eastAsia="仿宋_GB2312"/>
          <w:b w:val="0"/>
          <w:bCs w:val="0"/>
          <w:color w:val="auto"/>
          <w:sz w:val="32"/>
          <w:szCs w:val="32"/>
        </w:rPr>
      </w:pPr>
      <w:r>
        <w:rPr>
          <w:rFonts w:hint="eastAsia" w:ascii="黑体" w:hAnsi="黑体" w:eastAsia="黑体" w:cs="黑体"/>
          <w:b w:val="0"/>
          <w:bCs w:val="0"/>
          <w:color w:val="auto"/>
          <w:sz w:val="32"/>
          <w:szCs w:val="32"/>
        </w:rPr>
        <w:t xml:space="preserve">第二条 </w:t>
      </w:r>
      <w:r>
        <w:rPr>
          <w:rFonts w:hint="eastAsia" w:ascii="仿宋_GB2312" w:hAnsi="宋体" w:eastAsia="仿宋_GB2312" w:cs="Arial"/>
          <w:b w:val="0"/>
          <w:bCs w:val="0"/>
          <w:color w:val="auto"/>
          <w:sz w:val="32"/>
          <w:szCs w:val="32"/>
        </w:rPr>
        <w:t>本规</w:t>
      </w:r>
      <w:r>
        <w:rPr>
          <w:rFonts w:hint="eastAsia" w:ascii="仿宋_GB2312" w:hAnsi="宋体" w:eastAsia="仿宋_GB2312" w:cs="Arial"/>
          <w:b w:val="0"/>
          <w:bCs w:val="0"/>
          <w:color w:val="auto"/>
          <w:sz w:val="32"/>
          <w:szCs w:val="32"/>
          <w:lang w:eastAsia="zh-CN"/>
        </w:rPr>
        <w:t>划</w:t>
      </w:r>
      <w:r>
        <w:rPr>
          <w:rFonts w:hint="eastAsia" w:ascii="仿宋_GB2312" w:hAnsi="宋体" w:eastAsia="仿宋_GB2312" w:cs="Arial"/>
          <w:b w:val="0"/>
          <w:bCs w:val="0"/>
          <w:color w:val="auto"/>
          <w:sz w:val="32"/>
          <w:szCs w:val="32"/>
        </w:rPr>
        <w:t>适用于</w:t>
      </w:r>
      <w:r>
        <w:rPr>
          <w:rFonts w:hint="eastAsia" w:ascii="仿宋_GB2312" w:hAnsi="宋体" w:eastAsia="仿宋_GB2312" w:cs="Arial"/>
          <w:b w:val="0"/>
          <w:bCs w:val="0"/>
          <w:color w:val="auto"/>
          <w:sz w:val="32"/>
          <w:szCs w:val="32"/>
          <w:lang w:eastAsia="zh-CN"/>
        </w:rPr>
        <w:t>伊吾县</w:t>
      </w:r>
      <w:r>
        <w:rPr>
          <w:rFonts w:hint="eastAsia" w:ascii="仿宋_GB2312" w:hAnsi="宋体" w:eastAsia="仿宋_GB2312" w:cs="Arial"/>
          <w:b w:val="0"/>
          <w:bCs w:val="0"/>
          <w:color w:val="auto"/>
          <w:sz w:val="32"/>
          <w:szCs w:val="32"/>
        </w:rPr>
        <w:t>范围内，许可申请范围为</w:t>
      </w:r>
      <w:r>
        <w:rPr>
          <w:rFonts w:hint="eastAsia" w:ascii="仿宋_GB2312" w:hAnsi="宋体" w:eastAsia="仿宋_GB2312" w:cs="Arial"/>
          <w:b w:val="0"/>
          <w:bCs w:val="0"/>
          <w:color w:val="auto"/>
          <w:sz w:val="32"/>
          <w:szCs w:val="32"/>
          <w:lang w:eastAsia="zh-CN"/>
        </w:rPr>
        <w:t>“</w:t>
      </w:r>
      <w:r>
        <w:rPr>
          <w:rFonts w:hint="eastAsia" w:ascii="仿宋_GB2312" w:hAnsi="宋体" w:eastAsia="仿宋_GB2312" w:cs="Arial"/>
          <w:b w:val="0"/>
          <w:bCs w:val="0"/>
          <w:color w:val="auto"/>
          <w:sz w:val="32"/>
          <w:szCs w:val="32"/>
        </w:rPr>
        <w:t>卷烟本店零售、雪茄烟本店零售</w:t>
      </w:r>
      <w:r>
        <w:rPr>
          <w:rFonts w:hint="eastAsia" w:ascii="仿宋_GB2312" w:hAnsi="宋体" w:eastAsia="仿宋_GB2312" w:cs="Arial"/>
          <w:b w:val="0"/>
          <w:bCs w:val="0"/>
          <w:color w:val="auto"/>
          <w:sz w:val="32"/>
          <w:szCs w:val="32"/>
          <w:lang w:eastAsia="zh-CN"/>
        </w:rPr>
        <w:t>”</w:t>
      </w:r>
      <w:r>
        <w:rPr>
          <w:rFonts w:hint="eastAsia" w:ascii="仿宋_GB2312" w:hAnsi="宋体" w:eastAsia="仿宋_GB2312" w:cs="Arial"/>
          <w:b w:val="0"/>
          <w:bCs w:val="0"/>
          <w:color w:val="auto"/>
          <w:sz w:val="32"/>
          <w:szCs w:val="32"/>
        </w:rPr>
        <w:t>的普通烟草制品零售点设置和管理。仅申请</w:t>
      </w:r>
      <w:r>
        <w:rPr>
          <w:rFonts w:hint="eastAsia" w:ascii="仿宋_GB2312" w:hAnsi="宋体" w:eastAsia="仿宋_GB2312" w:cs="Arial"/>
          <w:b w:val="0"/>
          <w:bCs w:val="0"/>
          <w:color w:val="auto"/>
          <w:sz w:val="32"/>
          <w:szCs w:val="32"/>
          <w:lang w:eastAsia="zh-CN"/>
        </w:rPr>
        <w:t>“</w:t>
      </w:r>
      <w:r>
        <w:rPr>
          <w:rFonts w:hint="eastAsia" w:ascii="仿宋_GB2312" w:hAnsi="宋体" w:eastAsia="仿宋_GB2312" w:cs="Arial"/>
          <w:b w:val="0"/>
          <w:bCs w:val="0"/>
          <w:color w:val="auto"/>
          <w:sz w:val="32"/>
          <w:szCs w:val="32"/>
        </w:rPr>
        <w:t>雪茄烟本店零售</w:t>
      </w:r>
      <w:r>
        <w:rPr>
          <w:rFonts w:hint="eastAsia" w:ascii="仿宋_GB2312" w:hAnsi="宋体" w:eastAsia="仿宋_GB2312" w:cs="Arial"/>
          <w:b w:val="0"/>
          <w:bCs w:val="0"/>
          <w:color w:val="auto"/>
          <w:sz w:val="32"/>
          <w:szCs w:val="32"/>
          <w:lang w:eastAsia="zh-CN"/>
        </w:rPr>
        <w:t>”</w:t>
      </w:r>
      <w:r>
        <w:rPr>
          <w:rFonts w:hint="eastAsia" w:ascii="仿宋_GB2312" w:hAnsi="宋体" w:eastAsia="仿宋_GB2312" w:cs="Arial"/>
          <w:b w:val="0"/>
          <w:bCs w:val="0"/>
          <w:color w:val="auto"/>
          <w:sz w:val="32"/>
          <w:szCs w:val="32"/>
        </w:rPr>
        <w:t>的零售点，按照</w:t>
      </w:r>
      <w:r>
        <w:rPr>
          <w:rFonts w:hint="eastAsia" w:ascii="仿宋_GB2312" w:hAnsi="宋体" w:eastAsia="仿宋_GB2312" w:cs="Arial"/>
          <w:b w:val="0"/>
          <w:bCs w:val="0"/>
          <w:color w:val="auto"/>
          <w:sz w:val="32"/>
          <w:szCs w:val="32"/>
          <w:lang w:eastAsia="zh-CN"/>
        </w:rPr>
        <w:t>本规划中</w:t>
      </w:r>
      <w:r>
        <w:rPr>
          <w:rFonts w:hint="eastAsia" w:ascii="仿宋_GB2312" w:hAnsi="宋体" w:eastAsia="仿宋_GB2312" w:cs="Arial"/>
          <w:b w:val="0"/>
          <w:bCs w:val="0"/>
          <w:color w:val="auto"/>
          <w:sz w:val="32"/>
          <w:szCs w:val="32"/>
          <w:lang w:val="en-US" w:eastAsia="zh-CN"/>
        </w:rPr>
        <w:t>雪茄烟零售点布局</w:t>
      </w:r>
      <w:r>
        <w:rPr>
          <w:rFonts w:hint="eastAsia" w:ascii="仿宋_GB2312" w:hAnsi="宋体" w:eastAsia="仿宋_GB2312" w:cs="Arial"/>
          <w:b w:val="0"/>
          <w:bCs w:val="0"/>
          <w:color w:val="auto"/>
          <w:sz w:val="32"/>
          <w:szCs w:val="32"/>
        </w:rPr>
        <w:t>相关规定执行。</w:t>
      </w:r>
      <w:r>
        <w:rPr>
          <w:rFonts w:hint="eastAsia" w:ascii="仿宋_GB2312" w:hAnsi="宋体" w:eastAsia="仿宋_GB2312" w:cs="Arial"/>
          <w:b w:val="0"/>
          <w:bCs w:val="0"/>
          <w:color w:val="auto"/>
          <w:sz w:val="32"/>
          <w:szCs w:val="32"/>
          <w:lang w:eastAsia="zh-CN"/>
        </w:rPr>
        <w:t>电子烟零售点布局管理按照《新疆维吾尔自治区电子烟零售点布局规划》执行。</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hAnsi="宋体" w:eastAsia="仿宋_GB2312" w:cs="Arial"/>
          <w:b w:val="0"/>
          <w:bCs w:val="0"/>
          <w:color w:val="auto"/>
          <w:sz w:val="32"/>
          <w:szCs w:val="32"/>
        </w:rPr>
      </w:pPr>
      <w:r>
        <w:rPr>
          <w:rFonts w:hint="eastAsia" w:ascii="黑体" w:hAnsi="黑体" w:eastAsia="黑体" w:cs="黑体"/>
          <w:b w:val="0"/>
          <w:bCs w:val="0"/>
          <w:color w:val="auto"/>
          <w:sz w:val="32"/>
          <w:szCs w:val="32"/>
        </w:rPr>
        <w:t xml:space="preserve">第三条 </w:t>
      </w:r>
      <w:r>
        <w:rPr>
          <w:rFonts w:hint="eastAsia" w:ascii="仿宋_GB2312" w:eastAsia="仿宋_GB2312"/>
          <w:b w:val="0"/>
          <w:bCs w:val="0"/>
          <w:color w:val="auto"/>
          <w:sz w:val="32"/>
          <w:szCs w:val="32"/>
        </w:rPr>
        <w:t>烟草制品零售点（以下简称零售点）</w:t>
      </w:r>
      <w:r>
        <w:rPr>
          <w:rFonts w:hint="eastAsia" w:ascii="仿宋_GB2312" w:hAnsi="宋体" w:eastAsia="仿宋_GB2312" w:cs="Arial"/>
          <w:b w:val="0"/>
          <w:bCs w:val="0"/>
          <w:color w:val="auto"/>
          <w:sz w:val="32"/>
          <w:szCs w:val="32"/>
        </w:rPr>
        <w:t>是指依法取得烟草专卖零售许可证从事烟草制品零售业务的公民、法人及其他组织开展烟草制品零售业务的固定经营场所。</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第四条 </w:t>
      </w:r>
      <w:r>
        <w:rPr>
          <w:rFonts w:hint="eastAsia" w:ascii="仿宋_GB2312" w:eastAsia="仿宋_GB2312"/>
          <w:b w:val="0"/>
          <w:bCs w:val="0"/>
          <w:color w:val="auto"/>
          <w:sz w:val="32"/>
          <w:szCs w:val="32"/>
          <w:lang w:val="en-US" w:eastAsia="zh-CN"/>
        </w:rPr>
        <w:t>零售点合理布局遵循依法行政、科学规划、服务社会、均衡发展、尊重历史、方便消费的原则。将伊吾县行政区域划分为社区市场单元、行政（自然）村（连队）市场单元、特殊区域市场单元。根据辖区社会经济发展变化，定期评估，实行动态管理。</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lang w:val="en-US" w:eastAsia="zh-CN"/>
        </w:rPr>
        <w:t xml:space="preserve">第五条 </w:t>
      </w:r>
      <w:r>
        <w:rPr>
          <w:rFonts w:hint="eastAsia" w:ascii="仿宋_GB2312" w:eastAsia="仿宋_GB2312"/>
          <w:b w:val="0"/>
          <w:bCs w:val="0"/>
          <w:color w:val="auto"/>
          <w:sz w:val="32"/>
          <w:szCs w:val="32"/>
          <w:lang w:val="en-US" w:eastAsia="zh-CN"/>
        </w:rPr>
        <w:t>烟草专卖行政主管部门可结合实际，综合考虑辖区内人口、卷烟销量和盈利水平以及社会经济、持证户数量、烟草市场需求等与烟草制品零售相关的因素，科学测算零售点的合理容量，作为辖区零售点设置容量上限，原则上每半年对单元格内零售点合理容量上限进行测算调整，</w:t>
      </w:r>
      <w:r>
        <w:rPr>
          <w:rFonts w:hint="eastAsia" w:ascii="仿宋_GB2312" w:hAnsi="仿宋_GB2312" w:eastAsia="仿宋_GB2312" w:cs="仿宋_GB2312"/>
          <w:color w:val="auto"/>
          <w:sz w:val="32"/>
          <w:szCs w:val="32"/>
        </w:rPr>
        <w:t>并通过办证窗口或新烟政务通</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途径向社会公示。</w:t>
      </w:r>
    </w:p>
    <w:p>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第六条 </w:t>
      </w:r>
      <w:r>
        <w:rPr>
          <w:rFonts w:hint="eastAsia" w:ascii="仿宋_GB2312" w:hAnsi="仿宋_GB2312" w:eastAsia="仿宋_GB2312" w:cs="仿宋_GB2312"/>
          <w:color w:val="auto"/>
          <w:sz w:val="32"/>
          <w:szCs w:val="32"/>
          <w:highlight w:val="none"/>
          <w:lang w:val="en-US" w:eastAsia="zh-CN"/>
        </w:rPr>
        <w:t>结</w:t>
      </w:r>
      <w:r>
        <w:rPr>
          <w:rFonts w:hint="eastAsia" w:ascii="仿宋_GB2312" w:eastAsia="仿宋_GB2312"/>
          <w:b w:val="0"/>
          <w:bCs w:val="0"/>
          <w:color w:val="auto"/>
          <w:sz w:val="32"/>
          <w:szCs w:val="32"/>
          <w:lang w:val="en-US" w:eastAsia="zh-CN"/>
        </w:rPr>
        <w:t>合人口分布密度、市场供需状况、消费便利需求等要求，根据不同市场单元实际情况，实施分区分类管控。建立“饱和区、稳定区、发展区”三位一体的分区分类管控体系，实施精准管理。</w:t>
      </w:r>
    </w:p>
    <w:p>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（一）饱和区。零售点数量超过合理容量的市场单元，按照“只退不增”的原则优化零售点布局（放宽情形除外）。</w:t>
      </w:r>
    </w:p>
    <w:p>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（二）稳定区。零售点数量达到合理容量的市场单元，根据“退一进一”的原则设置零售点。</w:t>
      </w:r>
    </w:p>
    <w:p>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（三）发展区。零售点数量未达到合理容量的市场单元，根据“自然增长”的原则设置零售点。</w:t>
      </w:r>
    </w:p>
    <w:p>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市场单元内零售点数量达到容量上限的，实行轮候管理，轮候管理按照《</w:t>
      </w:r>
      <w:r>
        <w:rPr>
          <w:rFonts w:hint="eastAsia" w:ascii="仿宋_GB2312" w:hAnsi="仿宋_GB2312" w:eastAsia="仿宋_GB2312" w:cs="仿宋_GB2312"/>
          <w:b w:val="0"/>
          <w:bCs w:val="0"/>
          <w:color w:val="auto"/>
          <w:sz w:val="32"/>
          <w:szCs w:val="32"/>
          <w:lang w:val="en-US" w:eastAsia="zh-CN"/>
        </w:rPr>
        <w:t>哈密市烟草专卖局烟草专卖零售许可证轮候管理办法</w:t>
      </w:r>
      <w:r>
        <w:rPr>
          <w:rFonts w:hint="eastAsia" w:ascii="仿宋_GB2312" w:eastAsia="仿宋_GB2312"/>
          <w:b w:val="0"/>
          <w:bCs w:val="0"/>
          <w:color w:val="auto"/>
          <w:sz w:val="32"/>
          <w:szCs w:val="32"/>
          <w:lang w:val="en-US" w:eastAsia="zh-CN"/>
        </w:rPr>
        <w:t>》执行。</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黑体" w:hAnsi="宋体" w:eastAsia="黑体" w:cs="黑体"/>
          <w:color w:val="auto"/>
          <w:kern w:val="0"/>
          <w:sz w:val="32"/>
          <w:szCs w:val="32"/>
          <w:lang w:val="en-US" w:eastAsia="zh-CN" w:bidi="ar"/>
        </w:rPr>
      </w:pPr>
      <w:r>
        <w:rPr>
          <w:rFonts w:hint="eastAsia" w:ascii="黑体" w:hAnsi="宋体" w:eastAsia="黑体" w:cs="黑体"/>
          <w:color w:val="auto"/>
          <w:kern w:val="0"/>
          <w:sz w:val="32"/>
          <w:szCs w:val="32"/>
          <w:lang w:val="en-US" w:eastAsia="zh-CN" w:bidi="ar"/>
        </w:rPr>
        <w:t xml:space="preserve">第二章 </w:t>
      </w:r>
      <w:r>
        <w:rPr>
          <w:rFonts w:hint="default" w:ascii="黑体" w:hAnsi="宋体" w:eastAsia="黑体" w:cs="黑体"/>
          <w:color w:val="auto"/>
          <w:kern w:val="0"/>
          <w:sz w:val="32"/>
          <w:szCs w:val="32"/>
          <w:lang w:val="en-US" w:eastAsia="zh-CN" w:bidi="ar"/>
        </w:rPr>
        <w:t>布局标准</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lang w:val="en-US" w:eastAsia="zh-CN"/>
        </w:rPr>
        <w:t xml:space="preserve">第七条 </w:t>
      </w:r>
      <w:r>
        <w:rPr>
          <w:rFonts w:hint="eastAsia" w:ascii="仿宋_GB2312" w:hAnsi="仿宋_GB2312" w:eastAsia="仿宋_GB2312" w:cs="仿宋_GB2312"/>
          <w:color w:val="auto"/>
          <w:sz w:val="32"/>
          <w:szCs w:val="32"/>
        </w:rPr>
        <w:t>社区市场单元采取</w:t>
      </w:r>
      <w:r>
        <w:rPr>
          <w:rFonts w:hint="eastAsia" w:ascii="仿宋_GB2312" w:hAnsi="仿宋_GB2312" w:eastAsia="仿宋_GB2312" w:cs="仿宋_GB2312"/>
          <w:b w:val="0"/>
          <w:bCs w:val="0"/>
          <w:color w:val="auto"/>
          <w:sz w:val="32"/>
          <w:szCs w:val="32"/>
        </w:rPr>
        <w:t>“容量+间距+限制性条款”</w:t>
      </w:r>
      <w:r>
        <w:rPr>
          <w:rFonts w:hint="eastAsia" w:ascii="仿宋_GB2312" w:hAnsi="仿宋_GB2312" w:eastAsia="仿宋_GB2312" w:cs="仿宋_GB2312"/>
          <w:color w:val="auto"/>
          <w:sz w:val="32"/>
          <w:szCs w:val="32"/>
        </w:rPr>
        <w:t>管理模式。</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（一）社区市场单元容量</w:t>
      </w:r>
      <w:r>
        <w:rPr>
          <w:rFonts w:hint="eastAsia" w:ascii="仿宋_GB2312" w:hAnsi="仿宋_GB2312" w:eastAsia="仿宋_GB2312" w:cs="仿宋_GB2312"/>
          <w:color w:val="auto"/>
          <w:sz w:val="32"/>
          <w:szCs w:val="32"/>
          <w:lang w:eastAsia="zh-CN"/>
        </w:rPr>
        <w:t>上限</w:t>
      </w:r>
      <w:r>
        <w:rPr>
          <w:rFonts w:hint="eastAsia" w:ascii="仿宋_GB2312" w:hAnsi="仿宋_GB2312" w:eastAsia="仿宋_GB2312" w:cs="仿宋_GB2312"/>
          <w:color w:val="auto"/>
          <w:sz w:val="32"/>
          <w:szCs w:val="32"/>
        </w:rPr>
        <w:t>可通过新烟政务通等媒介进行查询</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（二）间距设置标准：零售点间距不小于</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米</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highlight w:val="yellow"/>
          <w:lang w:val="en-US"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w:t>
      </w:r>
      <w:r>
        <w:rPr>
          <w:rFonts w:hint="eastAsia" w:ascii="仿宋_GB2312" w:eastAsia="仿宋_GB2312"/>
          <w:b w:val="0"/>
          <w:bCs w:val="0"/>
          <w:color w:val="auto"/>
          <w:sz w:val="32"/>
          <w:szCs w:val="32"/>
          <w:lang w:val="en-US" w:eastAsia="zh-CN"/>
        </w:rPr>
        <w:t>新建的住宅区、商业街区，自正式交付使用之日起</w:t>
      </w:r>
      <w:r>
        <w:rPr>
          <w:rFonts w:hint="default" w:ascii="仿宋_GB2312" w:eastAsia="仿宋_GB2312"/>
          <w:b w:val="0"/>
          <w:bCs w:val="0"/>
          <w:color w:val="auto"/>
          <w:sz w:val="32"/>
          <w:szCs w:val="32"/>
          <w:lang w:val="en-US" w:eastAsia="zh-CN"/>
        </w:rPr>
        <w:t>6</w:t>
      </w:r>
      <w:r>
        <w:rPr>
          <w:rFonts w:hint="eastAsia" w:ascii="仿宋_GB2312" w:eastAsia="仿宋_GB2312"/>
          <w:b w:val="0"/>
          <w:bCs w:val="0"/>
          <w:color w:val="auto"/>
          <w:sz w:val="32"/>
          <w:szCs w:val="32"/>
          <w:lang w:val="en-US" w:eastAsia="zh-CN"/>
        </w:rPr>
        <w:t>个月内，不受本社区市场单元零售点容量限制，按照下列规定设置：</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1.新建住宅小区，以住宅户数核定零售点数量：住宅户数不足100户的，可设置1个零售点；户数每增加200户增设1个零售点，单个小区最多设置5个零售点，且零售点间距不小于50米；</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2.新建商业街区，零售点间距不小于50米。</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lang w:val="en-US" w:eastAsia="zh-CN"/>
        </w:rPr>
        <w:t xml:space="preserve">第八条 </w:t>
      </w:r>
      <w:r>
        <w:rPr>
          <w:rFonts w:hint="eastAsia" w:ascii="仿宋_GB2312" w:hAnsi="仿宋_GB2312" w:eastAsia="仿宋_GB2312" w:cs="仿宋_GB2312"/>
          <w:color w:val="auto"/>
          <w:sz w:val="32"/>
          <w:szCs w:val="32"/>
        </w:rPr>
        <w:t>行政（自然）村</w:t>
      </w:r>
      <w:r>
        <w:rPr>
          <w:rFonts w:hint="eastAsia" w:ascii="仿宋_GB2312" w:hAnsi="仿宋_GB2312" w:eastAsia="仿宋_GB2312" w:cs="仿宋_GB2312"/>
          <w:color w:val="auto"/>
          <w:sz w:val="32"/>
          <w:szCs w:val="32"/>
          <w:lang w:eastAsia="zh-CN"/>
        </w:rPr>
        <w:t>（连队）</w:t>
      </w:r>
      <w:r>
        <w:rPr>
          <w:rFonts w:hint="eastAsia" w:ascii="仿宋_GB2312" w:hAnsi="仿宋_GB2312" w:eastAsia="仿宋_GB2312" w:cs="仿宋_GB2312"/>
          <w:color w:val="auto"/>
          <w:sz w:val="32"/>
          <w:szCs w:val="32"/>
        </w:rPr>
        <w:t>市场单元采取“容量+间距+限制性条款”管理模式。</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行政（自然）村</w:t>
      </w:r>
      <w:r>
        <w:rPr>
          <w:rFonts w:hint="eastAsia" w:ascii="仿宋_GB2312" w:hAnsi="仿宋_GB2312" w:eastAsia="仿宋_GB2312" w:cs="仿宋_GB2312"/>
          <w:color w:val="auto"/>
          <w:sz w:val="32"/>
          <w:szCs w:val="32"/>
          <w:lang w:eastAsia="zh-CN"/>
        </w:rPr>
        <w:t>（连队）</w:t>
      </w:r>
      <w:r>
        <w:rPr>
          <w:rFonts w:hint="eastAsia" w:ascii="仿宋_GB2312" w:hAnsi="仿宋_GB2312" w:eastAsia="仿宋_GB2312" w:cs="仿宋_GB2312"/>
          <w:color w:val="auto"/>
          <w:sz w:val="32"/>
          <w:szCs w:val="32"/>
        </w:rPr>
        <w:t>市场单元容量</w:t>
      </w:r>
      <w:r>
        <w:rPr>
          <w:rFonts w:hint="eastAsia" w:ascii="仿宋_GB2312" w:hAnsi="仿宋_GB2312" w:eastAsia="仿宋_GB2312" w:cs="仿宋_GB2312"/>
          <w:color w:val="auto"/>
          <w:sz w:val="32"/>
          <w:szCs w:val="32"/>
          <w:lang w:eastAsia="zh-CN"/>
        </w:rPr>
        <w:t>上限</w:t>
      </w:r>
      <w:r>
        <w:rPr>
          <w:rFonts w:hint="eastAsia" w:ascii="仿宋_GB2312" w:hAnsi="仿宋_GB2312" w:eastAsia="仿宋_GB2312" w:cs="仿宋_GB2312"/>
          <w:color w:val="auto"/>
          <w:sz w:val="32"/>
          <w:szCs w:val="32"/>
        </w:rPr>
        <w:t>可通过新烟政务通等媒介进行查询</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二）按照</w:t>
      </w:r>
      <w:r>
        <w:rPr>
          <w:rFonts w:hint="eastAsia" w:ascii="仿宋_GB2312" w:hAnsi="仿宋_GB2312" w:eastAsia="仿宋_GB2312" w:cs="仿宋_GB2312"/>
          <w:color w:val="auto"/>
          <w:sz w:val="32"/>
          <w:szCs w:val="32"/>
        </w:rPr>
        <w:t>100人以下的设置1个零售点，每递增</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00人</w:t>
      </w:r>
      <w:r>
        <w:rPr>
          <w:rFonts w:hint="eastAsia" w:ascii="仿宋_GB2312" w:hAnsi="仿宋_GB2312" w:eastAsia="仿宋_GB2312" w:cs="仿宋_GB2312"/>
          <w:color w:val="auto"/>
          <w:sz w:val="32"/>
          <w:szCs w:val="32"/>
          <w:lang w:eastAsia="zh-CN"/>
        </w:rPr>
        <w:t>可</w:t>
      </w:r>
      <w:r>
        <w:rPr>
          <w:rFonts w:hint="eastAsia" w:ascii="仿宋_GB2312" w:hAnsi="仿宋_GB2312" w:eastAsia="仿宋_GB2312" w:cs="仿宋_GB2312"/>
          <w:color w:val="auto"/>
          <w:sz w:val="32"/>
          <w:szCs w:val="32"/>
        </w:rPr>
        <w:t>增设1个零售点，</w:t>
      </w:r>
      <w:r>
        <w:rPr>
          <w:rFonts w:hint="eastAsia" w:ascii="仿宋_GB2312" w:eastAsia="仿宋_GB2312"/>
          <w:b w:val="0"/>
          <w:bCs w:val="0"/>
          <w:color w:val="auto"/>
          <w:sz w:val="32"/>
          <w:szCs w:val="32"/>
          <w:lang w:val="en-US" w:eastAsia="zh-CN"/>
        </w:rPr>
        <w:t>且</w:t>
      </w:r>
      <w:r>
        <w:rPr>
          <w:rFonts w:hint="eastAsia" w:ascii="仿宋_GB2312" w:hAnsi="仿宋_GB2312" w:eastAsia="仿宋_GB2312" w:cs="仿宋_GB2312"/>
          <w:color w:val="auto"/>
          <w:sz w:val="32"/>
          <w:szCs w:val="32"/>
        </w:rPr>
        <w:t>零售点间距不小于50米</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sz w:val="32"/>
          <w:szCs w:val="32"/>
          <w:lang w:val="en-US" w:eastAsia="zh-CN"/>
        </w:rPr>
        <w:t xml:space="preserve">第九条 </w:t>
      </w:r>
      <w:r>
        <w:rPr>
          <w:rFonts w:hint="eastAsia" w:ascii="仿宋_GB2312" w:hAnsi="仿宋_GB2312" w:eastAsia="仿宋_GB2312" w:cs="仿宋_GB2312"/>
          <w:color w:val="auto"/>
          <w:sz w:val="32"/>
          <w:szCs w:val="32"/>
          <w:highlight w:val="none"/>
        </w:rPr>
        <w:t>特殊区域市场单元</w:t>
      </w:r>
      <w:r>
        <w:rPr>
          <w:rFonts w:hint="eastAsia" w:ascii="仿宋_GB2312" w:hAnsi="仿宋_GB2312" w:eastAsia="仿宋_GB2312" w:cs="仿宋_GB2312"/>
          <w:color w:val="auto"/>
          <w:sz w:val="32"/>
          <w:szCs w:val="32"/>
        </w:rPr>
        <w:t>采取“</w:t>
      </w:r>
      <w:r>
        <w:rPr>
          <w:rFonts w:hint="eastAsia" w:ascii="仿宋_GB2312" w:hAnsi="仿宋_GB2312" w:eastAsia="仿宋_GB2312" w:cs="仿宋_GB2312"/>
          <w:sz w:val="32"/>
          <w:szCs w:val="32"/>
        </w:rPr>
        <w:t>户数/人数/</w:t>
      </w:r>
      <w:r>
        <w:rPr>
          <w:rFonts w:hint="eastAsia" w:ascii="仿宋_GB2312" w:hAnsi="仿宋_GB2312" w:eastAsia="仿宋_GB2312" w:cs="仿宋_GB2312"/>
          <w:sz w:val="32"/>
          <w:szCs w:val="32"/>
          <w:lang w:eastAsia="zh-CN"/>
        </w:rPr>
        <w:t>商铺</w:t>
      </w:r>
      <w:r>
        <w:rPr>
          <w:rFonts w:hint="eastAsia" w:ascii="仿宋_GB2312" w:hAnsi="仿宋_GB2312" w:eastAsia="仿宋_GB2312" w:cs="仿宋_GB2312"/>
          <w:sz w:val="32"/>
          <w:szCs w:val="32"/>
        </w:rPr>
        <w:t>数+</w:t>
      </w:r>
      <w:r>
        <w:rPr>
          <w:rFonts w:hint="eastAsia" w:ascii="仿宋_GB2312" w:hAnsi="仿宋_GB2312" w:eastAsia="仿宋_GB2312" w:cs="仿宋_GB2312"/>
          <w:sz w:val="32"/>
          <w:szCs w:val="32"/>
          <w:lang w:eastAsia="zh-CN"/>
        </w:rPr>
        <w:t>距离</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数量上限</w:t>
      </w:r>
      <w:r>
        <w:rPr>
          <w:rFonts w:hint="eastAsia" w:ascii="仿宋_GB2312" w:hAnsi="仿宋_GB2312" w:eastAsia="仿宋_GB2312" w:cs="仿宋_GB2312"/>
          <w:color w:val="auto"/>
          <w:sz w:val="32"/>
          <w:szCs w:val="32"/>
        </w:rPr>
        <w:t>”管理模式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特殊区域市场单元</w:t>
      </w:r>
      <w:r>
        <w:rPr>
          <w:rFonts w:hint="eastAsia" w:ascii="仿宋_GB2312" w:hAnsi="仿宋_GB2312" w:eastAsia="仿宋_GB2312" w:cs="仿宋_GB2312"/>
          <w:color w:val="auto"/>
          <w:sz w:val="32"/>
          <w:szCs w:val="32"/>
          <w:lang w:eastAsia="zh-CN"/>
        </w:rPr>
        <w:t>内的零售点不占所在社区市场单元的容量。</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（一）特殊区域市场单元容量</w:t>
      </w:r>
      <w:r>
        <w:rPr>
          <w:rFonts w:hint="eastAsia" w:ascii="仿宋_GB2312" w:hAnsi="仿宋_GB2312" w:eastAsia="仿宋_GB2312" w:cs="仿宋_GB2312"/>
          <w:color w:val="auto"/>
          <w:sz w:val="32"/>
          <w:szCs w:val="32"/>
          <w:lang w:eastAsia="zh-CN"/>
        </w:rPr>
        <w:t>上限</w:t>
      </w:r>
      <w:r>
        <w:rPr>
          <w:rFonts w:hint="eastAsia" w:ascii="仿宋_GB2312" w:hAnsi="仿宋_GB2312" w:eastAsia="仿宋_GB2312" w:cs="仿宋_GB2312"/>
          <w:color w:val="auto"/>
          <w:sz w:val="32"/>
          <w:szCs w:val="32"/>
        </w:rPr>
        <w:t>可通过新烟政务通等媒介进行查询</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楷体" w:hAnsi="楷体" w:eastAsia="仿宋_GB2312" w:cs="楷体"/>
          <w:b w:val="0"/>
          <w:bCs w:val="0"/>
          <w:color w:val="auto"/>
          <w:sz w:val="32"/>
          <w:szCs w:val="32"/>
          <w:highlight w:val="none"/>
          <w:lang w:val="en-US" w:eastAsia="zh-CN"/>
        </w:rPr>
      </w:pPr>
      <w:r>
        <w:rPr>
          <w:rFonts w:hint="eastAsia" w:ascii="仿宋_GB2312" w:hAnsi="仿宋_GB2312" w:eastAsia="仿宋_GB2312" w:cs="仿宋_GB2312"/>
          <w:color w:val="auto"/>
          <w:sz w:val="32"/>
          <w:szCs w:val="32"/>
        </w:rPr>
        <w:t>（二）特殊区域市场单元</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rPr>
        <w:t>矿区</w:t>
      </w:r>
      <w:r>
        <w:rPr>
          <w:rFonts w:hint="eastAsia" w:ascii="仿宋_GB2312" w:eastAsia="仿宋_GB2312"/>
          <w:b w:val="0"/>
          <w:bCs w:val="0"/>
          <w:color w:val="auto"/>
          <w:sz w:val="32"/>
          <w:szCs w:val="32"/>
          <w:lang w:eastAsia="zh-CN"/>
        </w:rPr>
        <w:t>（工矿企业职工生活区）</w:t>
      </w:r>
      <w:r>
        <w:rPr>
          <w:rFonts w:hint="eastAsia" w:ascii="仿宋_GB2312" w:eastAsia="仿宋_GB2312"/>
          <w:b w:val="0"/>
          <w:bCs w:val="0"/>
          <w:color w:val="auto"/>
          <w:sz w:val="32"/>
          <w:szCs w:val="32"/>
        </w:rPr>
        <w:t>。</w:t>
      </w: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rPr>
        <w:t>00人以下的设置1个零售点</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每</w:t>
      </w:r>
      <w:r>
        <w:rPr>
          <w:rFonts w:hint="eastAsia" w:ascii="仿宋_GB2312" w:eastAsia="仿宋_GB2312"/>
          <w:b w:val="0"/>
          <w:bCs w:val="0"/>
          <w:color w:val="auto"/>
          <w:sz w:val="32"/>
          <w:szCs w:val="32"/>
          <w:lang w:eastAsia="zh-CN"/>
        </w:rPr>
        <w:t>递</w:t>
      </w:r>
      <w:r>
        <w:rPr>
          <w:rFonts w:hint="eastAsia" w:ascii="仿宋_GB2312" w:eastAsia="仿宋_GB2312"/>
          <w:b w:val="0"/>
          <w:bCs w:val="0"/>
          <w:color w:val="auto"/>
          <w:sz w:val="32"/>
          <w:szCs w:val="32"/>
        </w:rPr>
        <w:t>增</w:t>
      </w: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rPr>
        <w:t>00人</w:t>
      </w:r>
      <w:r>
        <w:rPr>
          <w:rFonts w:hint="eastAsia" w:ascii="仿宋_GB2312" w:eastAsia="仿宋_GB2312"/>
          <w:b w:val="0"/>
          <w:bCs w:val="0"/>
          <w:color w:val="auto"/>
          <w:sz w:val="32"/>
          <w:szCs w:val="32"/>
          <w:lang w:eastAsia="zh-CN"/>
        </w:rPr>
        <w:t>可</w:t>
      </w:r>
      <w:r>
        <w:rPr>
          <w:rFonts w:hint="eastAsia" w:ascii="仿宋_GB2312" w:eastAsia="仿宋_GB2312"/>
          <w:b w:val="0"/>
          <w:bCs w:val="0"/>
          <w:color w:val="auto"/>
          <w:sz w:val="32"/>
          <w:szCs w:val="32"/>
        </w:rPr>
        <w:t>增设1个零售点，最多设置5个零售</w:t>
      </w:r>
      <w:r>
        <w:rPr>
          <w:rFonts w:hint="eastAsia" w:ascii="仿宋_GB2312" w:eastAsia="仿宋_GB2312"/>
          <w:b w:val="0"/>
          <w:bCs w:val="0"/>
          <w:color w:val="auto"/>
          <w:sz w:val="32"/>
          <w:szCs w:val="32"/>
          <w:lang w:val="en-US" w:eastAsia="zh-CN"/>
        </w:rPr>
        <w:t>点，零售点间距不小于50米。</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2.工业园区。</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（1）工业园区单个工厂内。2</w:t>
      </w:r>
      <w:r>
        <w:rPr>
          <w:rFonts w:hint="eastAsia" w:ascii="仿宋_GB2312" w:eastAsia="仿宋_GB2312"/>
          <w:b w:val="0"/>
          <w:bCs w:val="0"/>
          <w:color w:val="auto"/>
          <w:sz w:val="32"/>
          <w:szCs w:val="32"/>
          <w:highlight w:val="none"/>
        </w:rPr>
        <w:t>00人以下的设置1个零售点</w:t>
      </w:r>
      <w:r>
        <w:rPr>
          <w:rFonts w:hint="eastAsia" w:ascii="仿宋_GB2312" w:eastAsia="仿宋_GB2312"/>
          <w:b w:val="0"/>
          <w:bCs w:val="0"/>
          <w:color w:val="auto"/>
          <w:sz w:val="32"/>
          <w:szCs w:val="32"/>
          <w:highlight w:val="none"/>
          <w:lang w:val="en-US" w:eastAsia="zh-CN"/>
        </w:rPr>
        <w:t>，</w:t>
      </w:r>
      <w:r>
        <w:rPr>
          <w:rFonts w:hint="eastAsia" w:ascii="仿宋_GB2312" w:eastAsia="仿宋_GB2312"/>
          <w:b w:val="0"/>
          <w:bCs w:val="0"/>
          <w:color w:val="auto"/>
          <w:sz w:val="32"/>
          <w:szCs w:val="32"/>
          <w:highlight w:val="none"/>
        </w:rPr>
        <w:t>每</w:t>
      </w:r>
      <w:r>
        <w:rPr>
          <w:rFonts w:hint="eastAsia" w:ascii="仿宋_GB2312" w:eastAsia="仿宋_GB2312"/>
          <w:b w:val="0"/>
          <w:bCs w:val="0"/>
          <w:color w:val="auto"/>
          <w:sz w:val="32"/>
          <w:szCs w:val="32"/>
          <w:highlight w:val="none"/>
          <w:lang w:eastAsia="zh-CN"/>
        </w:rPr>
        <w:t>递</w:t>
      </w:r>
      <w:r>
        <w:rPr>
          <w:rFonts w:hint="eastAsia" w:ascii="仿宋_GB2312" w:eastAsia="仿宋_GB2312"/>
          <w:b w:val="0"/>
          <w:bCs w:val="0"/>
          <w:color w:val="auto"/>
          <w:sz w:val="32"/>
          <w:szCs w:val="32"/>
          <w:highlight w:val="none"/>
        </w:rPr>
        <w:t>增</w:t>
      </w:r>
      <w:r>
        <w:rPr>
          <w:rFonts w:hint="eastAsia" w:ascii="仿宋_GB2312" w:eastAsia="仿宋_GB2312"/>
          <w:b w:val="0"/>
          <w:bCs w:val="0"/>
          <w:color w:val="auto"/>
          <w:sz w:val="32"/>
          <w:szCs w:val="32"/>
          <w:highlight w:val="none"/>
          <w:lang w:val="en-US" w:eastAsia="zh-CN"/>
        </w:rPr>
        <w:t>2</w:t>
      </w:r>
      <w:r>
        <w:rPr>
          <w:rFonts w:hint="eastAsia" w:ascii="仿宋_GB2312" w:eastAsia="仿宋_GB2312"/>
          <w:b w:val="0"/>
          <w:bCs w:val="0"/>
          <w:color w:val="auto"/>
          <w:sz w:val="32"/>
          <w:szCs w:val="32"/>
          <w:highlight w:val="none"/>
        </w:rPr>
        <w:t>00人</w:t>
      </w:r>
      <w:r>
        <w:rPr>
          <w:rFonts w:hint="eastAsia" w:ascii="仿宋_GB2312" w:eastAsia="仿宋_GB2312"/>
          <w:b w:val="0"/>
          <w:bCs w:val="0"/>
          <w:color w:val="auto"/>
          <w:sz w:val="32"/>
          <w:szCs w:val="32"/>
          <w:highlight w:val="none"/>
          <w:lang w:eastAsia="zh-CN"/>
        </w:rPr>
        <w:t>可</w:t>
      </w:r>
      <w:r>
        <w:rPr>
          <w:rFonts w:hint="eastAsia" w:ascii="仿宋_GB2312" w:eastAsia="仿宋_GB2312"/>
          <w:b w:val="0"/>
          <w:bCs w:val="0"/>
          <w:color w:val="auto"/>
          <w:sz w:val="32"/>
          <w:szCs w:val="32"/>
          <w:highlight w:val="none"/>
        </w:rPr>
        <w:t>增设1个零售点，最多设置5个零售点</w:t>
      </w:r>
      <w:r>
        <w:rPr>
          <w:rFonts w:hint="eastAsia" w:ascii="仿宋_GB2312" w:eastAsia="仿宋_GB2312"/>
          <w:b w:val="0"/>
          <w:bCs w:val="0"/>
          <w:color w:val="auto"/>
          <w:sz w:val="32"/>
          <w:szCs w:val="32"/>
          <w:highlight w:val="none"/>
          <w:lang w:val="en-US" w:eastAsia="zh-CN"/>
        </w:rPr>
        <w:t>，零售点间距不小于50米</w:t>
      </w:r>
      <w:r>
        <w:rPr>
          <w:rFonts w:hint="eastAsia" w:ascii="仿宋_GB2312" w:eastAsia="仿宋_GB2312"/>
          <w:b w:val="0"/>
          <w:bCs w:val="0"/>
          <w:color w:val="auto"/>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highlight w:val="none"/>
          <w:lang w:val="en-US" w:eastAsia="zh-CN"/>
        </w:rPr>
      </w:pPr>
      <w:r>
        <w:rPr>
          <w:rFonts w:hint="eastAsia" w:ascii="仿宋_GB2312" w:eastAsia="仿宋_GB2312"/>
          <w:b w:val="0"/>
          <w:bCs w:val="0"/>
          <w:color w:val="auto"/>
          <w:sz w:val="32"/>
          <w:szCs w:val="32"/>
          <w:highlight w:val="none"/>
          <w:lang w:val="en-US" w:eastAsia="zh-CN"/>
        </w:rPr>
        <w:t>（2）除工业园区单个工厂，工业园社区独立的商业区域，按照工业园社区总人数设置，500人以下的设置1个零售点，每递增1000人可增设1个零售点，最多设置25个零售点，零售点间距不小于50米。</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color w:val="auto"/>
          <w:sz w:val="32"/>
          <w:szCs w:val="32"/>
          <w:lang w:eastAsia="zh-CN"/>
        </w:rPr>
      </w:pPr>
      <w:r>
        <w:rPr>
          <w:rFonts w:hint="eastAsia" w:ascii="仿宋_GB2312" w:eastAsia="仿宋_GB2312"/>
          <w:b w:val="0"/>
          <w:bCs w:val="0"/>
          <w:color w:val="auto"/>
          <w:sz w:val="32"/>
          <w:szCs w:val="32"/>
          <w:lang w:val="en-US" w:eastAsia="zh-CN"/>
        </w:rPr>
        <w:t>3.</w:t>
      </w:r>
      <w:r>
        <w:rPr>
          <w:rFonts w:hint="eastAsia" w:ascii="仿宋_GB2312" w:eastAsia="仿宋_GB2312"/>
          <w:b w:val="0"/>
          <w:bCs w:val="0"/>
          <w:color w:val="auto"/>
          <w:sz w:val="32"/>
          <w:szCs w:val="32"/>
        </w:rPr>
        <w:t>集贸区（市场、物流园）。</w:t>
      </w:r>
      <w:r>
        <w:rPr>
          <w:rFonts w:hint="eastAsia" w:ascii="仿宋_GB2312" w:eastAsia="仿宋_GB2312"/>
          <w:color w:val="auto"/>
          <w:sz w:val="32"/>
          <w:szCs w:val="32"/>
        </w:rPr>
        <w:t>固定商铺数</w:t>
      </w:r>
      <w:r>
        <w:rPr>
          <w:rFonts w:hint="eastAsia" w:ascii="仿宋_GB2312" w:eastAsia="仿宋_GB2312"/>
          <w:color w:val="auto"/>
          <w:sz w:val="32"/>
          <w:szCs w:val="32"/>
          <w:lang w:eastAsia="zh-CN"/>
        </w:rPr>
        <w:t>量</w:t>
      </w:r>
      <w:r>
        <w:rPr>
          <w:rFonts w:hint="eastAsia" w:ascii="仿宋_GB2312" w:eastAsia="仿宋_GB2312"/>
          <w:color w:val="auto"/>
          <w:sz w:val="32"/>
          <w:szCs w:val="32"/>
        </w:rPr>
        <w:t>不满</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0户的设置1个零售点，每递增</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0户增设1个零售点，最多设置8个零售点</w:t>
      </w:r>
      <w:r>
        <w:rPr>
          <w:rFonts w:hint="eastAsia" w:ascii="仿宋_GB2312" w:eastAsia="仿宋_GB2312"/>
          <w:color w:val="auto"/>
          <w:sz w:val="32"/>
          <w:szCs w:val="32"/>
          <w:lang w:eastAsia="zh-CN"/>
        </w:rPr>
        <w:t>，</w:t>
      </w:r>
      <w:r>
        <w:rPr>
          <w:rFonts w:hint="eastAsia" w:ascii="仿宋_GB2312" w:eastAsia="仿宋_GB2312"/>
          <w:color w:val="auto"/>
          <w:sz w:val="32"/>
          <w:szCs w:val="32"/>
        </w:rPr>
        <w:t>零售点间距不小于</w:t>
      </w:r>
      <w:r>
        <w:rPr>
          <w:rFonts w:hint="eastAsia" w:ascii="仿宋_GB2312" w:eastAsia="仿宋_GB2312"/>
          <w:color w:val="auto"/>
          <w:sz w:val="32"/>
          <w:szCs w:val="32"/>
          <w:lang w:val="en-US" w:eastAsia="zh-CN"/>
        </w:rPr>
        <w:t>50</w:t>
      </w:r>
      <w:r>
        <w:rPr>
          <w:rFonts w:hint="eastAsia" w:ascii="仿宋_GB2312" w:eastAsia="仿宋_GB2312"/>
          <w:color w:val="auto"/>
          <w:sz w:val="32"/>
          <w:szCs w:val="32"/>
        </w:rPr>
        <w:t>米</w:t>
      </w:r>
      <w:r>
        <w:rPr>
          <w:rFonts w:hint="eastAsia" w:ascii="仿宋_GB2312" w:eastAsia="仿宋_GB2312"/>
          <w:color w:val="auto"/>
          <w:sz w:val="32"/>
          <w:szCs w:val="32"/>
          <w:lang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val="en-US" w:eastAsia="zh-CN"/>
        </w:rPr>
        <w:t>4.</w:t>
      </w:r>
      <w:r>
        <w:rPr>
          <w:rFonts w:hint="eastAsia" w:ascii="仿宋_GB2312" w:eastAsia="仿宋_GB2312"/>
          <w:b w:val="0"/>
          <w:bCs w:val="0"/>
          <w:color w:val="auto"/>
          <w:sz w:val="32"/>
          <w:szCs w:val="32"/>
        </w:rPr>
        <w:t>交通客运区。机场候机厅、汽车站</w:t>
      </w:r>
      <w:r>
        <w:rPr>
          <w:rFonts w:hint="eastAsia" w:ascii="仿宋_GB2312" w:eastAsia="仿宋_GB2312"/>
          <w:b w:val="0"/>
          <w:bCs w:val="0"/>
          <w:color w:val="auto"/>
          <w:sz w:val="32"/>
          <w:szCs w:val="32"/>
          <w:lang w:eastAsia="zh-CN"/>
        </w:rPr>
        <w:t>候车厅、</w:t>
      </w:r>
      <w:r>
        <w:rPr>
          <w:rFonts w:hint="eastAsia" w:ascii="仿宋_GB2312" w:eastAsia="仿宋_GB2312"/>
          <w:b w:val="0"/>
          <w:bCs w:val="0"/>
          <w:color w:val="auto"/>
          <w:sz w:val="32"/>
          <w:szCs w:val="32"/>
        </w:rPr>
        <w:t>火车站候车厅，</w:t>
      </w:r>
      <w:r>
        <w:rPr>
          <w:rFonts w:hint="eastAsia" w:ascii="仿宋_GB2312" w:eastAsia="仿宋_GB2312"/>
          <w:b w:val="0"/>
          <w:bCs w:val="0"/>
          <w:color w:val="auto"/>
          <w:sz w:val="32"/>
          <w:szCs w:val="32"/>
          <w:lang w:eastAsia="zh-CN"/>
        </w:rPr>
        <w:t>可</w:t>
      </w:r>
      <w:r>
        <w:rPr>
          <w:rFonts w:hint="eastAsia" w:ascii="仿宋_GB2312" w:eastAsia="仿宋_GB2312"/>
          <w:b w:val="0"/>
          <w:bCs w:val="0"/>
          <w:color w:val="auto"/>
          <w:sz w:val="32"/>
          <w:szCs w:val="32"/>
        </w:rPr>
        <w:t>设置</w:t>
      </w: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rPr>
        <w:t>个零售点</w:t>
      </w:r>
      <w:r>
        <w:rPr>
          <w:rFonts w:hint="eastAsia" w:ascii="仿宋_GB2312" w:eastAsia="仿宋_GB2312"/>
          <w:b w:val="0"/>
          <w:bCs w:val="0"/>
          <w:color w:val="auto"/>
          <w:sz w:val="32"/>
          <w:szCs w:val="32"/>
          <w:lang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5.</w:t>
      </w:r>
      <w:r>
        <w:rPr>
          <w:rFonts w:hint="eastAsia" w:ascii="仿宋_GB2312" w:eastAsia="仿宋_GB2312"/>
          <w:b w:val="0"/>
          <w:bCs w:val="0"/>
          <w:color w:val="auto"/>
          <w:sz w:val="32"/>
          <w:szCs w:val="32"/>
        </w:rPr>
        <w:t>国道、省道</w:t>
      </w:r>
      <w:r>
        <w:rPr>
          <w:rFonts w:hint="eastAsia" w:ascii="仿宋_GB2312" w:eastAsia="仿宋_GB2312"/>
          <w:b w:val="0"/>
          <w:bCs w:val="0"/>
          <w:color w:val="auto"/>
          <w:sz w:val="32"/>
          <w:szCs w:val="32"/>
          <w:lang w:eastAsia="zh-CN"/>
        </w:rPr>
        <w:t>、县道</w:t>
      </w:r>
      <w:r>
        <w:rPr>
          <w:rFonts w:hint="eastAsia" w:ascii="仿宋_GB2312" w:eastAsia="仿宋_GB2312"/>
          <w:b w:val="0"/>
          <w:bCs w:val="0"/>
          <w:color w:val="auto"/>
          <w:sz w:val="32"/>
          <w:szCs w:val="32"/>
          <w:lang w:val="en-US" w:eastAsia="zh-CN"/>
        </w:rPr>
        <w:t>沿线且不属于社区、行政（自然）村聚居区路段的单侧公路服务区、商业区域，不受所属市场单元容量限制</w:t>
      </w:r>
      <w:r>
        <w:rPr>
          <w:rFonts w:hint="eastAsia" w:ascii="仿宋_GB2312" w:eastAsia="仿宋_GB2312"/>
          <w:b w:val="0"/>
          <w:bCs w:val="0"/>
          <w:color w:val="auto"/>
          <w:sz w:val="32"/>
          <w:szCs w:val="32"/>
        </w:rPr>
        <w:t>最多</w:t>
      </w:r>
      <w:r>
        <w:rPr>
          <w:rFonts w:hint="eastAsia" w:ascii="仿宋_GB2312" w:eastAsia="仿宋_GB2312"/>
          <w:b w:val="0"/>
          <w:bCs w:val="0"/>
          <w:color w:val="auto"/>
          <w:sz w:val="32"/>
          <w:szCs w:val="32"/>
          <w:lang w:val="en-US" w:eastAsia="zh-CN"/>
        </w:rPr>
        <w:t>设置2个零售点，零售点</w:t>
      </w:r>
      <w:r>
        <w:rPr>
          <w:rFonts w:hint="eastAsia" w:ascii="仿宋_GB2312" w:eastAsia="仿宋_GB2312"/>
          <w:b w:val="0"/>
          <w:bCs w:val="0"/>
          <w:color w:val="auto"/>
          <w:sz w:val="32"/>
          <w:szCs w:val="32"/>
        </w:rPr>
        <w:t>间距不小</w:t>
      </w:r>
      <w:r>
        <w:rPr>
          <w:rFonts w:hint="eastAsia" w:ascii="仿宋_GB2312" w:hAnsi="仿宋_GB2312" w:eastAsia="仿宋_GB2312" w:cs="仿宋_GB2312"/>
          <w:color w:val="auto"/>
          <w:sz w:val="32"/>
          <w:szCs w:val="32"/>
        </w:rPr>
        <w:t>于</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米</w:t>
      </w:r>
      <w:r>
        <w:rPr>
          <w:rFonts w:hint="eastAsia" w:ascii="仿宋_GB2312" w:eastAsia="仿宋_GB2312"/>
          <w:b w:val="0"/>
          <w:bCs w:val="0"/>
          <w:color w:val="auto"/>
          <w:sz w:val="32"/>
          <w:szCs w:val="32"/>
          <w:lang w:val="en-US"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6.旅游景点游客服务区提供问询、餐饮、日杂商品售卖等服务的场所内设置1个零售点。</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highlight w:val="red"/>
          <w:lang w:val="en-US" w:eastAsia="zh-CN"/>
        </w:rPr>
      </w:pPr>
      <w:r>
        <w:rPr>
          <w:rFonts w:hint="eastAsia" w:ascii="仿宋_GB2312" w:eastAsia="仿宋_GB2312"/>
          <w:b w:val="0"/>
          <w:bCs w:val="0"/>
          <w:color w:val="auto"/>
          <w:sz w:val="32"/>
          <w:szCs w:val="32"/>
          <w:lang w:val="en-US" w:eastAsia="zh-CN"/>
        </w:rPr>
        <w:t>7.以餐饮、休闲、购物、娱乐等为一体商业楼宇内的公共楼层已形成实际商品展卖的场所，可设置1个零售点。</w:t>
      </w:r>
      <w:r>
        <w:rPr>
          <w:rFonts w:hint="eastAsia" w:ascii="仿宋_GB2312" w:eastAsia="仿宋_GB2312"/>
          <w:b w:val="0"/>
          <w:bCs w:val="0"/>
          <w:color w:val="auto"/>
          <w:sz w:val="32"/>
          <w:szCs w:val="32"/>
          <w:highlight w:val="none"/>
          <w:lang w:val="en-US" w:eastAsia="zh-CN"/>
        </w:rPr>
        <w:t>商业楼宇一层设有独立进出口的商铺，按照社区市场单元标准设置，且与商用楼宇内零售点互不参照</w:t>
      </w:r>
      <w:r>
        <w:rPr>
          <w:rFonts w:hint="eastAsia" w:ascii="仿宋_GB2312" w:hAnsi="仿宋_GB2312" w:eastAsia="仿宋_GB2312" w:cs="仿宋_GB2312"/>
          <w:b w:val="0"/>
          <w:bCs w:val="0"/>
          <w:color w:val="auto"/>
          <w:sz w:val="32"/>
          <w:szCs w:val="32"/>
          <w:highlight w:val="none"/>
        </w:rPr>
        <w:t>间距</w:t>
      </w:r>
      <w:r>
        <w:rPr>
          <w:rFonts w:hint="eastAsia" w:ascii="仿宋_GB2312" w:eastAsia="仿宋_GB2312"/>
          <w:b w:val="0"/>
          <w:bCs w:val="0"/>
          <w:color w:val="auto"/>
          <w:sz w:val="32"/>
          <w:szCs w:val="32"/>
          <w:highlight w:val="none"/>
          <w:lang w:val="en-US"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宋体" w:eastAsia="仿宋_GB2312"/>
          <w:color w:val="auto"/>
          <w:sz w:val="32"/>
          <w:szCs w:val="32"/>
          <w:lang w:eastAsia="zh-CN"/>
        </w:rPr>
      </w:pPr>
      <w:r>
        <w:rPr>
          <w:rFonts w:hint="eastAsia" w:ascii="仿宋_GB2312" w:eastAsia="仿宋_GB2312"/>
          <w:b w:val="0"/>
          <w:bCs w:val="0"/>
          <w:color w:val="auto"/>
          <w:sz w:val="32"/>
          <w:szCs w:val="32"/>
          <w:lang w:val="en-US" w:eastAsia="zh-CN"/>
        </w:rPr>
        <w:t>8.</w:t>
      </w:r>
      <w:r>
        <w:rPr>
          <w:rFonts w:hint="eastAsia" w:ascii="仿宋_GB2312" w:eastAsia="仿宋_GB2312"/>
          <w:b w:val="0"/>
          <w:bCs w:val="0"/>
          <w:color w:val="auto"/>
          <w:sz w:val="32"/>
          <w:szCs w:val="32"/>
          <w:lang w:eastAsia="zh-CN"/>
        </w:rPr>
        <w:t>实际经营面积达到</w:t>
      </w:r>
      <w:r>
        <w:rPr>
          <w:rFonts w:hint="eastAsia" w:ascii="仿宋_GB2312" w:eastAsia="仿宋_GB2312"/>
          <w:b w:val="0"/>
          <w:bCs w:val="0"/>
          <w:color w:val="auto"/>
          <w:sz w:val="32"/>
          <w:szCs w:val="32"/>
          <w:lang w:val="en-US" w:eastAsia="zh-CN"/>
        </w:rPr>
        <w:t>800</w:t>
      </w:r>
      <w:r>
        <w:rPr>
          <w:rFonts w:hint="eastAsia" w:ascii="仿宋_GB2312" w:eastAsia="仿宋_GB2312"/>
          <w:b w:val="0"/>
          <w:bCs w:val="0"/>
          <w:color w:val="auto"/>
          <w:sz w:val="32"/>
          <w:szCs w:val="32"/>
          <w:lang w:eastAsia="zh-CN"/>
        </w:rPr>
        <w:t>平方米及以上的超市、</w:t>
      </w: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lang w:eastAsia="zh-CN"/>
        </w:rPr>
        <w:t>000平方米及以上的商场，可设置</w:t>
      </w:r>
      <w:r>
        <w:rPr>
          <w:rFonts w:hint="eastAsia" w:ascii="仿宋_GB2312" w:eastAsia="仿宋_GB2312"/>
          <w:b w:val="0"/>
          <w:bCs w:val="0"/>
          <w:color w:val="auto"/>
          <w:sz w:val="32"/>
          <w:szCs w:val="32"/>
          <w:lang w:val="en-US" w:eastAsia="zh-CN"/>
        </w:rPr>
        <w:t>1个零售点，且不作为周边新设零售点的间距测算参照</w:t>
      </w:r>
      <w:r>
        <w:rPr>
          <w:rFonts w:hint="eastAsia" w:ascii="仿宋_GB2312" w:eastAsia="仿宋_GB2312"/>
          <w:b w:val="0"/>
          <w:bCs w:val="0"/>
          <w:color w:val="auto"/>
          <w:sz w:val="32"/>
          <w:szCs w:val="32"/>
          <w:lang w:eastAsia="zh-CN"/>
        </w:rPr>
        <w:t>。在商业楼宇内的，按商业楼宇</w:t>
      </w:r>
      <w:r>
        <w:rPr>
          <w:rFonts w:hint="eastAsia" w:ascii="仿宋_GB2312" w:eastAsia="仿宋_GB2312"/>
          <w:color w:val="auto"/>
          <w:sz w:val="32"/>
          <w:szCs w:val="32"/>
          <w:lang w:eastAsia="zh-CN"/>
        </w:rPr>
        <w:t>要求</w:t>
      </w:r>
      <w:r>
        <w:rPr>
          <w:rFonts w:hint="eastAsia" w:ascii="仿宋_GB2312" w:hAnsi="宋体" w:eastAsia="仿宋_GB2312"/>
          <w:color w:val="auto"/>
          <w:sz w:val="32"/>
          <w:szCs w:val="32"/>
        </w:rPr>
        <w:t>设置</w:t>
      </w:r>
      <w:r>
        <w:rPr>
          <w:rFonts w:hint="eastAsia" w:ascii="仿宋_GB2312" w:hAnsi="宋体" w:eastAsia="仿宋_GB2312"/>
          <w:color w:val="auto"/>
          <w:sz w:val="32"/>
          <w:szCs w:val="32"/>
          <w:lang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9.部队营区、监狱监区等封闭特殊管理场所，确有对内经营需求的，设置1个零售点。</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p>
    <w:p>
      <w:pPr>
        <w:keepNext w:val="0"/>
        <w:keepLines w:val="0"/>
        <w:pageBreakBefore w:val="0"/>
        <w:kinsoku/>
        <w:wordWrap/>
        <w:overflowPunct/>
        <w:topLinePunct w:val="0"/>
        <w:autoSpaceDE/>
        <w:autoSpaceDN/>
        <w:bidi w:val="0"/>
        <w:adjustRightInd w:val="0"/>
        <w:snapToGrid/>
        <w:spacing w:line="560" w:lineRule="exact"/>
        <w:jc w:val="center"/>
        <w:textAlignment w:val="auto"/>
        <w:rPr>
          <w:rFonts w:hint="eastAsia" w:ascii="黑体" w:hAnsi="宋体" w:eastAsia="黑体" w:cs="黑体"/>
          <w:color w:val="auto"/>
          <w:kern w:val="0"/>
          <w:sz w:val="32"/>
          <w:szCs w:val="32"/>
          <w:lang w:val="en-US" w:eastAsia="zh-CN" w:bidi="ar"/>
        </w:rPr>
      </w:pPr>
      <w:r>
        <w:rPr>
          <w:rFonts w:hint="eastAsia" w:ascii="黑体" w:hAnsi="宋体" w:eastAsia="黑体" w:cs="黑体"/>
          <w:color w:val="auto"/>
          <w:kern w:val="0"/>
          <w:sz w:val="32"/>
          <w:szCs w:val="32"/>
          <w:lang w:val="en-US" w:eastAsia="zh-CN" w:bidi="ar"/>
        </w:rPr>
        <w:t xml:space="preserve">第三章 </w:t>
      </w:r>
      <w:r>
        <w:rPr>
          <w:rFonts w:hint="default" w:ascii="黑体" w:hAnsi="宋体" w:eastAsia="黑体" w:cs="黑体"/>
          <w:color w:val="auto"/>
          <w:kern w:val="0"/>
          <w:sz w:val="32"/>
          <w:szCs w:val="32"/>
          <w:lang w:val="en-US" w:eastAsia="zh-CN" w:bidi="ar"/>
        </w:rPr>
        <w:t>限制性条款</w:t>
      </w:r>
    </w:p>
    <w:p>
      <w:pPr>
        <w:keepNext w:val="0"/>
        <w:keepLines w:val="0"/>
        <w:pageBreakBefore w:val="0"/>
        <w:widowControl/>
        <w:kinsoku/>
        <w:wordWrap/>
        <w:overflowPunct/>
        <w:topLinePunct w:val="0"/>
        <w:autoSpaceDE/>
        <w:autoSpaceDN/>
        <w:bidi w:val="0"/>
        <w:adjustRightInd w:val="0"/>
        <w:snapToGrid/>
        <w:spacing w:line="560" w:lineRule="exact"/>
        <w:ind w:firstLine="604" w:firstLineChars="200"/>
        <w:jc w:val="left"/>
        <w:textAlignment w:val="auto"/>
        <w:rPr>
          <w:rFonts w:hint="eastAsia" w:ascii="仿宋_GB2312" w:eastAsia="仿宋_GB2312"/>
          <w:b w:val="0"/>
          <w:bCs w:val="0"/>
          <w:color w:val="auto"/>
          <w:sz w:val="32"/>
          <w:szCs w:val="32"/>
        </w:rPr>
      </w:pPr>
      <w:r>
        <w:rPr>
          <w:rFonts w:hint="eastAsia" w:ascii="黑体" w:hAnsi="黑体" w:eastAsia="黑体" w:cs="黑体"/>
          <w:b w:val="0"/>
          <w:bCs w:val="0"/>
          <w:color w:val="auto"/>
          <w:kern w:val="0"/>
          <w:sz w:val="31"/>
          <w:szCs w:val="31"/>
          <w:lang w:val="en-US" w:eastAsia="zh-CN" w:bidi="ar"/>
        </w:rPr>
        <w:t>第十条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b w:val="0"/>
          <w:bCs w:val="0"/>
          <w:color w:val="auto"/>
          <w:sz w:val="32"/>
          <w:szCs w:val="32"/>
        </w:rPr>
        <w:t>有下列情形之一的，不予设置零售点：</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（一）申请主体资格</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rPr>
        <w:t>申请人为未成年人、无民事行为能力人及限制民事行为能力人；</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ascii="仿宋_GB2312" w:hAnsi="仿宋_GB2312" w:eastAsia="仿宋_GB2312" w:cs="仿宋_GB2312"/>
          <w:b w:val="0"/>
          <w:bCs w:val="0"/>
          <w:color w:val="auto"/>
          <w:kern w:val="0"/>
          <w:sz w:val="32"/>
          <w:szCs w:val="32"/>
        </w:rPr>
      </w:pP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rPr>
        <w:t>取消从事烟草专卖业务资格不满三年的；</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ascii="仿宋_GB2312" w:eastAsia="仿宋_GB2312"/>
          <w:b w:val="0"/>
          <w:bCs w:val="0"/>
          <w:color w:val="auto"/>
          <w:sz w:val="32"/>
          <w:szCs w:val="32"/>
        </w:rPr>
      </w:pPr>
      <w:r>
        <w:rPr>
          <w:rFonts w:hint="eastAsia" w:ascii="仿宋_GB2312" w:eastAsia="仿宋_GB2312"/>
          <w:b w:val="0"/>
          <w:bCs w:val="0"/>
          <w:color w:val="auto"/>
          <w:sz w:val="32"/>
          <w:szCs w:val="32"/>
          <w:lang w:val="en-US" w:eastAsia="zh-CN"/>
        </w:rPr>
        <w:t>3.</w:t>
      </w:r>
      <w:r>
        <w:rPr>
          <w:rFonts w:hint="eastAsia" w:ascii="仿宋_GB2312" w:eastAsia="仿宋_GB2312"/>
          <w:b w:val="0"/>
          <w:bCs w:val="0"/>
          <w:color w:val="auto"/>
          <w:sz w:val="32"/>
          <w:szCs w:val="32"/>
        </w:rPr>
        <w:t>因申请人隐瞒有关情况或者提供虚假材料，烟草专卖行政主管部门作出不予受理或者不予发证决定后，申请人一年内再次提出申请的；</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ascii="仿宋_GB2312" w:eastAsia="仿宋_GB2312"/>
          <w:b w:val="0"/>
          <w:bCs w:val="0"/>
          <w:color w:val="auto"/>
          <w:sz w:val="32"/>
          <w:szCs w:val="32"/>
        </w:rPr>
      </w:pPr>
      <w:r>
        <w:rPr>
          <w:rFonts w:hint="eastAsia" w:ascii="仿宋_GB2312" w:eastAsia="仿宋_GB2312"/>
          <w:b w:val="0"/>
          <w:bCs w:val="0"/>
          <w:color w:val="auto"/>
          <w:sz w:val="32"/>
          <w:szCs w:val="32"/>
          <w:lang w:val="en-US" w:eastAsia="zh-CN"/>
        </w:rPr>
        <w:t>4.</w:t>
      </w:r>
      <w:r>
        <w:rPr>
          <w:rFonts w:hint="eastAsia" w:ascii="仿宋_GB2312" w:eastAsia="仿宋_GB2312"/>
          <w:b w:val="0"/>
          <w:bCs w:val="0"/>
          <w:color w:val="auto"/>
          <w:sz w:val="32"/>
          <w:szCs w:val="32"/>
        </w:rPr>
        <w:t>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ascii="仿宋_GB2312" w:eastAsia="仿宋_GB2312"/>
          <w:b w:val="0"/>
          <w:bCs w:val="0"/>
          <w:color w:val="auto"/>
          <w:sz w:val="32"/>
          <w:szCs w:val="32"/>
        </w:rPr>
      </w:pPr>
      <w:r>
        <w:rPr>
          <w:rFonts w:hint="eastAsia" w:ascii="仿宋_GB2312" w:eastAsia="仿宋_GB2312"/>
          <w:b w:val="0"/>
          <w:bCs w:val="0"/>
          <w:color w:val="auto"/>
          <w:sz w:val="32"/>
          <w:szCs w:val="32"/>
          <w:lang w:val="en-US" w:eastAsia="zh-CN"/>
        </w:rPr>
        <w:t>5.</w:t>
      </w:r>
      <w:r>
        <w:rPr>
          <w:rFonts w:hint="eastAsia" w:ascii="仿宋_GB2312" w:eastAsia="仿宋_GB2312"/>
          <w:b w:val="0"/>
          <w:bCs w:val="0"/>
          <w:color w:val="auto"/>
          <w:sz w:val="32"/>
          <w:szCs w:val="32"/>
        </w:rPr>
        <w:t>未领取烟草专卖零售许可证经营烟草专卖品业务，并且一年内被执法机关处罚两次以上，在三年内申请领取烟草专卖零售许可证的；</w:t>
      </w:r>
    </w:p>
    <w:p>
      <w:pPr>
        <w:keepNext w:val="0"/>
        <w:keepLines w:val="0"/>
        <w:pageBreakBefore w:val="0"/>
        <w:widowControl w:val="0"/>
        <w:kinsoku/>
        <w:wordWrap/>
        <w:overflowPunct/>
        <w:topLinePunct w:val="0"/>
        <w:autoSpaceDE/>
        <w:autoSpaceDN/>
        <w:bidi w:val="0"/>
        <w:adjustRightInd w:val="0"/>
        <w:snapToGrid/>
        <w:spacing w:line="560" w:lineRule="exact"/>
        <w:ind w:firstLine="624" w:firstLineChars="200"/>
        <w:jc w:val="left"/>
        <w:textAlignment w:val="auto"/>
        <w:rPr>
          <w:rFonts w:ascii="仿宋_GB2312" w:hAnsi="仿宋_GB2312" w:eastAsia="仿宋_GB2312" w:cs="仿宋_GB2312"/>
          <w:b w:val="0"/>
          <w:bCs w:val="0"/>
          <w:color w:val="auto"/>
          <w:kern w:val="0"/>
          <w:sz w:val="32"/>
          <w:szCs w:val="32"/>
        </w:rPr>
      </w:pPr>
      <w:r>
        <w:rPr>
          <w:rFonts w:hint="eastAsia" w:ascii="仿宋_GB2312" w:eastAsia="仿宋_GB2312"/>
          <w:b w:val="0"/>
          <w:bCs w:val="0"/>
          <w:color w:val="auto"/>
          <w:sz w:val="32"/>
          <w:szCs w:val="32"/>
          <w:lang w:val="en-US" w:eastAsia="zh-CN"/>
        </w:rPr>
        <w:t>6.</w:t>
      </w:r>
      <w:r>
        <w:rPr>
          <w:rFonts w:hint="eastAsia" w:ascii="仿宋_GB2312" w:hAnsi="仿宋_GB2312" w:eastAsia="仿宋_GB2312" w:cs="仿宋_GB2312"/>
          <w:b w:val="0"/>
          <w:bCs w:val="0"/>
          <w:color w:val="auto"/>
          <w:kern w:val="0"/>
          <w:sz w:val="32"/>
          <w:szCs w:val="32"/>
        </w:rPr>
        <w:t>未领取烟草专卖零售许可证经营烟草专卖品业务被追究刑事责任，在三年内申请领取烟草专卖零售许可证的；</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b w:val="0"/>
          <w:bCs w:val="0"/>
          <w:color w:val="auto"/>
          <w:kern w:val="0"/>
          <w:sz w:val="32"/>
          <w:szCs w:val="32"/>
        </w:rPr>
      </w:pPr>
      <w:r>
        <w:rPr>
          <w:rFonts w:hint="eastAsia" w:ascii="仿宋_GB2312" w:eastAsia="仿宋_GB2312"/>
          <w:b w:val="0"/>
          <w:bCs w:val="0"/>
          <w:color w:val="auto"/>
          <w:sz w:val="32"/>
          <w:szCs w:val="32"/>
          <w:lang w:val="en-US" w:eastAsia="zh-CN"/>
        </w:rPr>
        <w:t>7.</w:t>
      </w:r>
      <w:r>
        <w:rPr>
          <w:rFonts w:hint="eastAsia" w:ascii="仿宋_GB2312" w:hAnsi="仿宋_GB2312" w:eastAsia="仿宋_GB2312" w:cs="仿宋_GB2312"/>
          <w:b w:val="0"/>
          <w:color w:val="auto"/>
          <w:sz w:val="32"/>
          <w:highlight w:val="none"/>
          <w:lang w:val="en-US" w:eastAsia="zh-CN"/>
        </w:rPr>
        <w:t>外商投资的商业企业或者个体工商户，又或以特许、吸纳加盟店等其他外商再投资形式变相经营的，但国家烟草专卖行政主管部门明文规定的例外情形除外</w:t>
      </w:r>
      <w:r>
        <w:rPr>
          <w:rFonts w:hint="eastAsia" w:ascii="仿宋_GB2312" w:hAnsi="仿宋_GB2312" w:eastAsia="仿宋_GB2312" w:cs="仿宋_GB2312"/>
          <w:b w:val="0"/>
          <w:bCs w:val="0"/>
          <w:color w:val="auto"/>
          <w:kern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lang w:val="en-US" w:eastAsia="zh-CN"/>
        </w:rPr>
        <w:t>8.</w:t>
      </w:r>
      <w:r>
        <w:rPr>
          <w:rFonts w:hint="eastAsia" w:ascii="仿宋_GB2312" w:hAnsi="仿宋_GB2312" w:eastAsia="仿宋_GB2312" w:cs="仿宋_GB2312"/>
          <w:b w:val="0"/>
          <w:color w:val="auto"/>
          <w:sz w:val="32"/>
          <w:highlight w:val="none"/>
          <w:lang w:val="en-US" w:eastAsia="zh-CN"/>
        </w:rPr>
        <w:t>未持有合法有效的营业执照。</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（二）经营场所</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val="en-US" w:eastAsia="zh-CN"/>
        </w:rPr>
        <w:t>1.</w:t>
      </w:r>
      <w:r>
        <w:rPr>
          <w:rFonts w:hint="eastAsia" w:ascii="仿宋_GB2312" w:eastAsia="仿宋_GB2312"/>
          <w:b w:val="0"/>
          <w:bCs w:val="0"/>
          <w:color w:val="auto"/>
          <w:sz w:val="32"/>
          <w:szCs w:val="32"/>
        </w:rPr>
        <w:t>经营场所基于安全因素不适宜经营卷烟</w:t>
      </w:r>
      <w:r>
        <w:rPr>
          <w:rFonts w:hint="eastAsia" w:ascii="仿宋_GB2312" w:eastAsia="仿宋_GB2312"/>
          <w:b w:val="0"/>
          <w:bCs w:val="0"/>
          <w:color w:val="auto"/>
          <w:sz w:val="32"/>
          <w:szCs w:val="32"/>
          <w:lang w:eastAsia="zh-CN"/>
        </w:rPr>
        <w:t>的，包括但不限于生产、经营、储存有毒有害、易燃易爆、放射性、易挥发及具有刺激性气味等物品，容易造成烟草制品污染的油漆化工、农药化肥、烟花爆竹、机油制品等的场所（符合法定条件，具备安全保障措施的加油站、加气站便利店除外）；</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default"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2.</w:t>
      </w:r>
      <w:r>
        <w:rPr>
          <w:rFonts w:hint="eastAsia" w:ascii="仿宋_GB2312" w:eastAsia="仿宋_GB2312"/>
          <w:b w:val="0"/>
          <w:bCs w:val="0"/>
          <w:color w:val="auto"/>
          <w:sz w:val="32"/>
          <w:szCs w:val="32"/>
          <w:lang w:eastAsia="zh-CN"/>
        </w:rPr>
        <w:t>无固定经营场所的，包括流动摊点(车、棚、</w:t>
      </w:r>
      <w:r>
        <w:rPr>
          <w:rFonts w:hint="eastAsia" w:ascii="仿宋_GB2312" w:eastAsia="仿宋_GB2312"/>
          <w:b w:val="0"/>
          <w:bCs w:val="0"/>
          <w:color w:val="auto"/>
          <w:sz w:val="32"/>
          <w:szCs w:val="32"/>
          <w:lang w:val="en-US" w:eastAsia="zh-CN"/>
        </w:rPr>
        <w:t>柜</w:t>
      </w:r>
      <w:r>
        <w:rPr>
          <w:rFonts w:hint="eastAsia" w:ascii="仿宋_GB2312" w:eastAsia="仿宋_GB2312"/>
          <w:b w:val="0"/>
          <w:bCs w:val="0"/>
          <w:color w:val="auto"/>
          <w:sz w:val="32"/>
          <w:szCs w:val="32"/>
          <w:lang w:eastAsia="zh-CN"/>
        </w:rPr>
        <w:t>)、简易工棚、</w:t>
      </w:r>
      <w:r>
        <w:rPr>
          <w:rFonts w:hint="eastAsia" w:ascii="仿宋_GB2312" w:eastAsia="仿宋_GB2312"/>
          <w:b w:val="0"/>
          <w:bCs w:val="0"/>
          <w:color w:val="auto"/>
          <w:sz w:val="32"/>
          <w:szCs w:val="32"/>
          <w:lang w:val="en-US" w:eastAsia="zh-CN"/>
        </w:rPr>
        <w:t>集装箱屋、危房、尚未竣工或未交付使用的场所、</w:t>
      </w:r>
      <w:r>
        <w:rPr>
          <w:rFonts w:hint="eastAsia" w:ascii="仿宋_GB2312" w:eastAsia="仿宋_GB2312"/>
          <w:b w:val="0"/>
          <w:bCs w:val="0"/>
          <w:color w:val="auto"/>
          <w:sz w:val="32"/>
          <w:szCs w:val="32"/>
          <w:lang w:eastAsia="zh-CN"/>
        </w:rPr>
        <w:t>违法建筑、临时建筑（含施工工地搭建板房）；以及居民楼公用巷道、楼梯间等占用公共消防通道、公共区域对外开展经营的场所；</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val="en-US" w:eastAsia="zh-CN"/>
        </w:rPr>
        <w:t>3.</w:t>
      </w:r>
      <w:r>
        <w:rPr>
          <w:rFonts w:hint="eastAsia" w:ascii="仿宋_GB2312" w:eastAsia="仿宋_GB2312"/>
          <w:b w:val="0"/>
          <w:bCs w:val="0"/>
          <w:color w:val="auto"/>
          <w:sz w:val="32"/>
          <w:szCs w:val="32"/>
          <w:lang w:eastAsia="zh-CN"/>
        </w:rPr>
        <w:t>与住所不相独立的经营场所。</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（三）经营模式</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lang w:val="en-US" w:eastAsia="zh-CN"/>
        </w:rPr>
        <w:t>1.</w:t>
      </w:r>
      <w:r>
        <w:rPr>
          <w:rFonts w:hint="eastAsia" w:ascii="仿宋_GB2312" w:hAnsi="仿宋_GB2312" w:eastAsia="仿宋_GB2312" w:cs="仿宋_GB2312"/>
          <w:b w:val="0"/>
          <w:bCs w:val="0"/>
          <w:color w:val="auto"/>
          <w:kern w:val="0"/>
          <w:sz w:val="32"/>
          <w:szCs w:val="32"/>
        </w:rPr>
        <w:t>利用自动售货机或其他自动售货形式，销售或者变相销售烟草制品的</w:t>
      </w:r>
      <w:r>
        <w:rPr>
          <w:rFonts w:hint="eastAsia" w:ascii="仿宋_GB2312" w:hAnsi="仿宋_GB2312" w:eastAsia="仿宋_GB2312" w:cs="仿宋_GB2312"/>
          <w:b w:val="0"/>
          <w:bCs w:val="0"/>
          <w:color w:val="auto"/>
          <w:kern w:val="0"/>
          <w:sz w:val="32"/>
          <w:szCs w:val="32"/>
          <w:lang w:eastAsia="zh-CN"/>
        </w:rPr>
        <w:t>（含无人现场值守的自助商店）</w:t>
      </w:r>
      <w:r>
        <w:rPr>
          <w:rFonts w:hint="eastAsia" w:ascii="仿宋_GB2312" w:hAnsi="仿宋_GB2312" w:eastAsia="仿宋_GB2312" w:cs="仿宋_GB2312"/>
          <w:b w:val="0"/>
          <w:bCs w:val="0"/>
          <w:color w:val="auto"/>
          <w:kern w:val="0"/>
          <w:sz w:val="32"/>
          <w:szCs w:val="32"/>
        </w:rPr>
        <w:t>；</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kern w:val="0"/>
          <w:sz w:val="32"/>
          <w:szCs w:val="32"/>
        </w:rPr>
      </w:pPr>
      <w:r>
        <w:rPr>
          <w:rFonts w:hint="eastAsia" w:ascii="仿宋_GB2312" w:hAnsi="仿宋_GB2312" w:eastAsia="仿宋_GB2312" w:cs="仿宋_GB2312"/>
          <w:b w:val="0"/>
          <w:bCs w:val="0"/>
          <w:color w:val="auto"/>
          <w:kern w:val="0"/>
          <w:sz w:val="32"/>
          <w:szCs w:val="32"/>
          <w:lang w:val="en-US" w:eastAsia="zh-CN"/>
        </w:rPr>
        <w:t>2.</w:t>
      </w:r>
      <w:r>
        <w:rPr>
          <w:rFonts w:hint="eastAsia" w:ascii="仿宋_GB2312" w:hAnsi="仿宋_GB2312" w:eastAsia="仿宋_GB2312" w:cs="仿宋_GB2312"/>
          <w:b w:val="0"/>
          <w:bCs w:val="0"/>
          <w:color w:val="auto"/>
          <w:kern w:val="0"/>
          <w:sz w:val="32"/>
          <w:szCs w:val="32"/>
        </w:rPr>
        <w:t>利用信息网络渠道</w:t>
      </w:r>
      <w:r>
        <w:rPr>
          <w:rFonts w:hint="eastAsia" w:ascii="仿宋_GB2312" w:hAnsi="仿宋_GB2312" w:eastAsia="仿宋_GB2312" w:cs="仿宋_GB2312"/>
          <w:b w:val="0"/>
          <w:bCs w:val="0"/>
          <w:color w:val="auto"/>
          <w:kern w:val="0"/>
          <w:sz w:val="32"/>
          <w:szCs w:val="32"/>
          <w:lang w:eastAsia="zh-CN"/>
        </w:rPr>
        <w:t>销售</w:t>
      </w:r>
      <w:r>
        <w:rPr>
          <w:rFonts w:hint="eastAsia" w:ascii="仿宋_GB2312" w:hAnsi="仿宋_GB2312" w:eastAsia="仿宋_GB2312" w:cs="仿宋_GB2312"/>
          <w:b w:val="0"/>
          <w:bCs w:val="0"/>
          <w:color w:val="auto"/>
          <w:kern w:val="0"/>
          <w:sz w:val="32"/>
          <w:szCs w:val="32"/>
        </w:rPr>
        <w:t>烟草制品的；</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val="en-US" w:eastAsia="zh-CN"/>
        </w:rPr>
        <w:t>3.</w:t>
      </w:r>
      <w:r>
        <w:rPr>
          <w:rFonts w:hint="eastAsia" w:ascii="仿宋_GB2312" w:eastAsia="仿宋_GB2312"/>
          <w:b w:val="0"/>
          <w:bCs w:val="0"/>
          <w:color w:val="auto"/>
          <w:sz w:val="32"/>
          <w:szCs w:val="32"/>
          <w:lang w:eastAsia="zh-CN"/>
        </w:rPr>
        <w:t>主营涉未成年人产品和服务的区域及容易诱导未成年人关注、购买、吸食卷烟的经营场所。</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（四）特殊区域</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ascii="仿宋_GB2312" w:hAnsi="仿宋_GB2312" w:eastAsia="仿宋_GB2312" w:cs="仿宋_GB2312"/>
          <w:b w:val="0"/>
          <w:bCs w:val="0"/>
          <w:color w:val="auto"/>
          <w:kern w:val="0"/>
          <w:sz w:val="32"/>
          <w:szCs w:val="32"/>
        </w:rPr>
      </w:pPr>
      <w:r>
        <w:rPr>
          <w:rFonts w:hint="eastAsia" w:ascii="仿宋_GB2312" w:eastAsia="仿宋_GB2312"/>
          <w:b w:val="0"/>
          <w:bCs w:val="0"/>
          <w:color w:val="auto"/>
          <w:sz w:val="32"/>
          <w:szCs w:val="32"/>
          <w:lang w:val="en-US" w:eastAsia="zh-CN"/>
        </w:rPr>
        <w:t>1.</w:t>
      </w:r>
      <w:r>
        <w:rPr>
          <w:rFonts w:hint="eastAsia" w:ascii="仿宋_GB2312" w:hAnsi="仿宋_GB2312" w:eastAsia="仿宋_GB2312" w:cs="仿宋_GB2312"/>
          <w:b w:val="0"/>
          <w:bCs w:val="0"/>
          <w:color w:val="auto"/>
          <w:kern w:val="0"/>
          <w:sz w:val="32"/>
          <w:szCs w:val="32"/>
        </w:rPr>
        <w:t>中小学校、幼儿园内及</w:t>
      </w:r>
      <w:r>
        <w:rPr>
          <w:rFonts w:hint="eastAsia" w:ascii="仿宋_GB2312" w:hAnsi="仿宋_GB2312" w:eastAsia="仿宋_GB2312" w:cs="仿宋_GB2312"/>
          <w:b w:val="0"/>
          <w:bCs w:val="0"/>
          <w:color w:val="auto"/>
          <w:kern w:val="0"/>
          <w:sz w:val="32"/>
          <w:szCs w:val="32"/>
          <w:lang w:eastAsia="zh-CN"/>
        </w:rPr>
        <w:t>出入口</w:t>
      </w:r>
      <w:r>
        <w:rPr>
          <w:rFonts w:hint="eastAsia" w:ascii="仿宋_GB2312" w:hAnsi="仿宋_GB2312" w:eastAsia="仿宋_GB2312" w:cs="仿宋_GB2312"/>
          <w:b w:val="0"/>
          <w:bCs w:val="0"/>
          <w:color w:val="auto"/>
          <w:kern w:val="0"/>
          <w:sz w:val="32"/>
          <w:szCs w:val="32"/>
        </w:rPr>
        <w:t>100米范围内的；</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b w:val="0"/>
          <w:bCs w:val="0"/>
          <w:color w:val="auto"/>
          <w:kern w:val="0"/>
          <w:sz w:val="32"/>
          <w:szCs w:val="32"/>
          <w:highlight w:val="none"/>
          <w:lang w:val="en-US" w:eastAsia="zh-CN"/>
        </w:rPr>
        <w:t>2.</w:t>
      </w:r>
      <w:r>
        <w:rPr>
          <w:rFonts w:hint="eastAsia" w:ascii="仿宋_GB2312" w:hAnsi="仿宋_GB2312" w:eastAsia="仿宋_GB2312" w:cs="仿宋_GB2312"/>
          <w:color w:val="auto"/>
          <w:sz w:val="32"/>
          <w:szCs w:val="32"/>
          <w:highlight w:val="none"/>
        </w:rPr>
        <w:t>经营场所位于医疗机构内的</w:t>
      </w:r>
      <w:r>
        <w:rPr>
          <w:rFonts w:hint="eastAsia" w:ascii="仿宋_GB2312" w:hAnsi="仿宋_GB2312" w:eastAsia="仿宋_GB2312" w:cs="仿宋_GB2312"/>
          <w:color w:val="auto"/>
          <w:sz w:val="32"/>
          <w:szCs w:val="32"/>
          <w:highlight w:val="none"/>
          <w:lang w:eastAsia="zh-CN"/>
        </w:rPr>
        <w:t>；</w:t>
      </w:r>
    </w:p>
    <w:p>
      <w:pPr>
        <w:keepNext w:val="0"/>
        <w:keepLines w:val="0"/>
        <w:pageBreakBefore w:val="0"/>
        <w:widowControl/>
        <w:kinsoku/>
        <w:wordWrap/>
        <w:overflowPunct/>
        <w:topLinePunct w:val="0"/>
        <w:autoSpaceDE/>
        <w:autoSpaceDN/>
        <w:bidi w:val="0"/>
        <w:adjustRightInd w:val="0"/>
        <w:snapToGrid/>
        <w:spacing w:line="560" w:lineRule="exact"/>
        <w:ind w:firstLine="624" w:firstLineChars="200"/>
        <w:jc w:val="left"/>
        <w:textAlignment w:val="auto"/>
        <w:rPr>
          <w:rFonts w:hint="default" w:ascii="仿宋_GB2312" w:eastAsia="仿宋_GB2312"/>
          <w:b w:val="0"/>
          <w:bCs w:val="0"/>
          <w:color w:val="auto"/>
          <w:sz w:val="32"/>
          <w:szCs w:val="32"/>
          <w:lang w:val="en-US" w:eastAsia="zh-CN"/>
        </w:rPr>
      </w:pPr>
      <w:r>
        <w:rPr>
          <w:rFonts w:hint="eastAsia" w:ascii="仿宋_GB2312" w:hAnsi="仿宋_GB2312" w:eastAsia="仿宋_GB2312" w:cs="仿宋_GB2312"/>
          <w:b w:val="0"/>
          <w:bCs w:val="0"/>
          <w:color w:val="auto"/>
          <w:kern w:val="0"/>
          <w:sz w:val="32"/>
          <w:szCs w:val="32"/>
          <w:lang w:val="en-US" w:eastAsia="zh-CN"/>
        </w:rPr>
        <w:t>3.经营场所位于</w:t>
      </w:r>
      <w:r>
        <w:rPr>
          <w:rFonts w:hint="eastAsia" w:ascii="仿宋_GB2312" w:hAnsi="仿宋_GB2312" w:eastAsia="仿宋_GB2312" w:cs="仿宋_GB2312"/>
          <w:b w:val="0"/>
          <w:color w:val="auto"/>
          <w:sz w:val="32"/>
          <w:highlight w:val="none"/>
          <w:lang w:val="en-US" w:eastAsia="zh-CN"/>
        </w:rPr>
        <w:t>党政机关内的</w:t>
      </w:r>
      <w:r>
        <w:rPr>
          <w:rFonts w:hint="eastAsia" w:ascii="仿宋_GB2312" w:eastAsia="仿宋_GB2312"/>
          <w:b w:val="0"/>
          <w:bCs w:val="0"/>
          <w:color w:val="auto"/>
          <w:sz w:val="32"/>
          <w:szCs w:val="32"/>
          <w:lang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（五）其他情形</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kern w:val="0"/>
          <w:sz w:val="32"/>
          <w:szCs w:val="32"/>
          <w:lang w:val="en-US" w:eastAsia="zh-CN"/>
        </w:rPr>
        <w:t>1.主营业务属于专业性较强、与</w:t>
      </w:r>
      <w:r>
        <w:rPr>
          <w:rFonts w:hint="eastAsia" w:ascii="仿宋_GB2312" w:hAnsi="仿宋_GB2312" w:eastAsia="仿宋_GB2312" w:cs="仿宋_GB2312"/>
          <w:b w:val="0"/>
          <w:bCs w:val="0"/>
          <w:color w:val="auto"/>
          <w:kern w:val="0"/>
          <w:sz w:val="32"/>
          <w:szCs w:val="32"/>
          <w:lang w:eastAsia="zh-CN"/>
        </w:rPr>
        <w:t>烟草制品零售业务无直接</w:t>
      </w:r>
      <w:r>
        <w:rPr>
          <w:rFonts w:hint="eastAsia" w:ascii="仿宋_GB2312" w:hAnsi="仿宋_GB2312" w:eastAsia="仿宋_GB2312" w:cs="仿宋_GB2312"/>
          <w:b w:val="0"/>
          <w:bCs w:val="0"/>
          <w:color w:val="auto"/>
          <w:kern w:val="0"/>
          <w:sz w:val="32"/>
          <w:szCs w:val="32"/>
          <w:lang w:val="en-US" w:eastAsia="zh-CN"/>
        </w:rPr>
        <w:t>或间接</w:t>
      </w:r>
      <w:r>
        <w:rPr>
          <w:rFonts w:hint="eastAsia" w:ascii="仿宋_GB2312" w:hAnsi="仿宋_GB2312" w:eastAsia="仿宋_GB2312" w:cs="仿宋_GB2312"/>
          <w:b w:val="0"/>
          <w:bCs w:val="0"/>
          <w:color w:val="auto"/>
          <w:kern w:val="0"/>
          <w:sz w:val="32"/>
          <w:szCs w:val="32"/>
          <w:lang w:eastAsia="zh-CN"/>
        </w:rPr>
        <w:t>互补营销关系的</w:t>
      </w:r>
      <w:r>
        <w:rPr>
          <w:rFonts w:hint="eastAsia" w:ascii="仿宋_GB2312" w:hAnsi="仿宋_GB2312" w:eastAsia="仿宋_GB2312" w:cs="仿宋_GB2312"/>
          <w:b w:val="0"/>
          <w:bCs w:val="0"/>
          <w:color w:val="auto"/>
          <w:kern w:val="0"/>
          <w:sz w:val="32"/>
          <w:szCs w:val="32"/>
          <w:lang w:val="en-US" w:eastAsia="zh-CN"/>
        </w:rPr>
        <w:t>经营业态，如母婴用品、文具、玩具、五金建材、建筑装潢、美容美发、化妆品店、药妆医械、中草药售卖、宠物店、文化体育用品、音像制品、家电家具、修理修配、洗涤护理、服装制售、鞋帽箱包、寄卖典当、古董店、汽车相关（维修、销售、美容等）、殡葬用品店、成人用品店等</w:t>
      </w:r>
      <w:r>
        <w:rPr>
          <w:rFonts w:hint="eastAsia" w:ascii="仿宋_GB2312" w:hAnsi="仿宋_GB2312" w:eastAsia="仿宋_GB2312" w:cs="仿宋_GB2312"/>
          <w:b w:val="0"/>
          <w:bCs w:val="0"/>
          <w:color w:val="auto"/>
          <w:kern w:val="0"/>
          <w:sz w:val="32"/>
          <w:szCs w:val="32"/>
          <w:lang w:eastAsia="zh-CN"/>
        </w:rPr>
        <w:t>；</w:t>
      </w:r>
    </w:p>
    <w:p>
      <w:pPr>
        <w:keepNext w:val="0"/>
        <w:keepLines w:val="0"/>
        <w:pageBreakBefore w:val="0"/>
        <w:kinsoku/>
        <w:wordWrap/>
        <w:overflowPunct/>
        <w:topLinePunct w:val="0"/>
        <w:autoSpaceDE/>
        <w:autoSpaceDN/>
        <w:bidi w:val="0"/>
        <w:adjustRightInd w:val="0"/>
        <w:snapToGrid/>
        <w:spacing w:line="560" w:lineRule="exact"/>
        <w:ind w:firstLine="624" w:firstLineChars="200"/>
        <w:jc w:val="left"/>
        <w:textAlignment w:val="auto"/>
        <w:rPr>
          <w:rFonts w:hint="default"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val="en-US" w:eastAsia="zh-CN"/>
        </w:rPr>
        <w:t>2.</w:t>
      </w:r>
      <w:r>
        <w:rPr>
          <w:rFonts w:hint="eastAsia" w:ascii="仿宋_GB2312" w:hAnsi="仿宋_GB2312" w:eastAsia="仿宋_GB2312" w:cs="仿宋_GB2312"/>
          <w:b w:val="0"/>
          <w:bCs w:val="0"/>
          <w:color w:val="auto"/>
          <w:kern w:val="0"/>
          <w:sz w:val="32"/>
          <w:szCs w:val="32"/>
        </w:rPr>
        <w:t>同一经营场所已经办理了烟草专卖零售许可证且许可证在有效期内的；</w:t>
      </w:r>
    </w:p>
    <w:p>
      <w:pPr>
        <w:keepNext w:val="0"/>
        <w:keepLines w:val="0"/>
        <w:pageBreakBefore w:val="0"/>
        <w:widowControl/>
        <w:kinsoku/>
        <w:wordWrap/>
        <w:overflowPunct/>
        <w:topLinePunct w:val="0"/>
        <w:autoSpaceDE/>
        <w:autoSpaceDN/>
        <w:bidi w:val="0"/>
        <w:adjustRightInd w:val="0"/>
        <w:snapToGrid w:val="0"/>
        <w:spacing w:line="560" w:lineRule="exact"/>
        <w:ind w:firstLine="624" w:firstLineChars="200"/>
        <w:jc w:val="left"/>
        <w:textAlignment w:val="auto"/>
        <w:rPr>
          <w:rFonts w:ascii="仿宋_GB2312" w:eastAsia="仿宋_GB2312"/>
          <w:b w:val="0"/>
          <w:bCs w:val="0"/>
          <w:color w:val="auto"/>
          <w:sz w:val="32"/>
          <w:szCs w:val="32"/>
        </w:rPr>
      </w:pPr>
      <w:r>
        <w:rPr>
          <w:rFonts w:hint="eastAsia" w:ascii="仿宋_GB2312" w:eastAsia="仿宋_GB2312"/>
          <w:b w:val="0"/>
          <w:bCs w:val="0"/>
          <w:color w:val="auto"/>
          <w:sz w:val="32"/>
          <w:szCs w:val="32"/>
          <w:lang w:val="en-US" w:eastAsia="zh-CN"/>
        </w:rPr>
        <w:t>3.</w:t>
      </w:r>
      <w:r>
        <w:rPr>
          <w:rFonts w:hint="eastAsia" w:ascii="仿宋_GB2312" w:eastAsia="仿宋_GB2312"/>
          <w:b w:val="0"/>
          <w:bCs w:val="0"/>
          <w:color w:val="auto"/>
          <w:sz w:val="32"/>
          <w:szCs w:val="32"/>
        </w:rPr>
        <w:t>法律、法规、规章</w:t>
      </w:r>
      <w:r>
        <w:rPr>
          <w:rFonts w:hint="eastAsia" w:ascii="仿宋_GB2312" w:eastAsia="仿宋_GB2312"/>
          <w:b w:val="0"/>
          <w:bCs w:val="0"/>
          <w:color w:val="auto"/>
          <w:sz w:val="32"/>
          <w:szCs w:val="32"/>
          <w:lang w:eastAsia="zh-CN"/>
        </w:rPr>
        <w:t>和国家烟草专卖局规定的</w:t>
      </w:r>
      <w:r>
        <w:rPr>
          <w:rFonts w:hint="eastAsia" w:ascii="仿宋_GB2312" w:eastAsia="仿宋_GB2312"/>
          <w:b w:val="0"/>
          <w:bCs w:val="0"/>
          <w:color w:val="auto"/>
          <w:sz w:val="32"/>
          <w:szCs w:val="32"/>
        </w:rPr>
        <w:t>其他</w:t>
      </w:r>
      <w:r>
        <w:rPr>
          <w:rFonts w:hint="eastAsia" w:ascii="仿宋_GB2312" w:eastAsia="仿宋_GB2312"/>
          <w:b w:val="0"/>
          <w:bCs w:val="0"/>
          <w:color w:val="auto"/>
          <w:sz w:val="32"/>
          <w:szCs w:val="32"/>
          <w:lang w:eastAsia="zh-CN"/>
        </w:rPr>
        <w:t>不予发证</w:t>
      </w:r>
      <w:r>
        <w:rPr>
          <w:rFonts w:hint="eastAsia" w:ascii="仿宋_GB2312" w:eastAsia="仿宋_GB2312"/>
          <w:b w:val="0"/>
          <w:bCs w:val="0"/>
          <w:color w:val="auto"/>
          <w:sz w:val="32"/>
          <w:szCs w:val="32"/>
        </w:rPr>
        <w:t>的情形。</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highlight w:val="none"/>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eastAsia="zh-CN"/>
        </w:rPr>
        <w:t>一</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highlight w:val="none"/>
        </w:rPr>
        <w:t xml:space="preserve"> </w:t>
      </w:r>
      <w:r>
        <w:rPr>
          <w:rFonts w:hint="eastAsia" w:ascii="仿宋_GB2312" w:eastAsia="仿宋_GB2312"/>
          <w:b w:val="0"/>
          <w:bCs w:val="0"/>
          <w:color w:val="auto"/>
          <w:sz w:val="32"/>
          <w:szCs w:val="32"/>
          <w:highlight w:val="none"/>
        </w:rPr>
        <w:t>中小学校、幼儿园</w:t>
      </w:r>
      <w:r>
        <w:rPr>
          <w:rFonts w:hint="eastAsia" w:ascii="仿宋_GB2312" w:hAnsi="仿宋_GB2312" w:eastAsia="仿宋_GB2312" w:cs="仿宋_GB2312"/>
          <w:b w:val="0"/>
          <w:bCs w:val="0"/>
          <w:color w:val="auto"/>
          <w:kern w:val="0"/>
          <w:sz w:val="32"/>
          <w:szCs w:val="32"/>
          <w:highlight w:val="none"/>
        </w:rPr>
        <w:t>内及</w:t>
      </w:r>
      <w:r>
        <w:rPr>
          <w:rFonts w:hint="eastAsia" w:ascii="仿宋_GB2312" w:hAnsi="仿宋_GB2312" w:eastAsia="仿宋_GB2312" w:cs="仿宋_GB2312"/>
          <w:b w:val="0"/>
          <w:bCs w:val="0"/>
          <w:color w:val="auto"/>
          <w:kern w:val="0"/>
          <w:sz w:val="32"/>
          <w:szCs w:val="32"/>
          <w:highlight w:val="none"/>
          <w:lang w:eastAsia="zh-CN"/>
        </w:rPr>
        <w:t>出入口</w:t>
      </w:r>
      <w:r>
        <w:rPr>
          <w:rFonts w:hint="eastAsia" w:ascii="仿宋_GB2312" w:hAnsi="仿宋_GB2312" w:eastAsia="仿宋_GB2312" w:cs="仿宋_GB2312"/>
          <w:b w:val="0"/>
          <w:bCs w:val="0"/>
          <w:color w:val="auto"/>
          <w:kern w:val="0"/>
          <w:sz w:val="32"/>
          <w:szCs w:val="32"/>
          <w:highlight w:val="none"/>
        </w:rPr>
        <w:t>100米范围内</w:t>
      </w:r>
      <w:r>
        <w:rPr>
          <w:rFonts w:hint="eastAsia" w:ascii="仿宋_GB2312" w:eastAsia="仿宋_GB2312"/>
          <w:b w:val="0"/>
          <w:bCs w:val="0"/>
          <w:color w:val="auto"/>
          <w:sz w:val="32"/>
          <w:szCs w:val="32"/>
          <w:highlight w:val="none"/>
        </w:rPr>
        <w:t>的零售点，烟草专卖零售许可证有效期届满后，不再延续。</w:t>
      </w:r>
    </w:p>
    <w:p>
      <w:pPr>
        <w:keepNext w:val="0"/>
        <w:keepLines w:val="0"/>
        <w:pageBreakBefore w:val="0"/>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eastAsia="仿宋_GB2312"/>
          <w:b w:val="0"/>
          <w:bCs w:val="0"/>
          <w:color w:val="auto"/>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黑体" w:hAnsi="宋体" w:eastAsia="黑体" w:cs="黑体"/>
          <w:color w:val="auto"/>
          <w:kern w:val="0"/>
          <w:sz w:val="31"/>
          <w:szCs w:val="31"/>
          <w:lang w:val="en-US" w:eastAsia="zh-CN" w:bidi="ar"/>
        </w:rPr>
      </w:pPr>
      <w:r>
        <w:rPr>
          <w:rFonts w:hint="eastAsia" w:ascii="黑体" w:hAnsi="宋体" w:eastAsia="黑体" w:cs="黑体"/>
          <w:color w:val="auto"/>
          <w:kern w:val="0"/>
          <w:sz w:val="32"/>
          <w:szCs w:val="32"/>
          <w:lang w:val="en-US" w:eastAsia="zh-CN" w:bidi="ar"/>
        </w:rPr>
        <w:t>第四章 放宽政策</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十二</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b w:val="0"/>
          <w:color w:val="auto"/>
          <w:sz w:val="32"/>
          <w:highlight w:val="none"/>
          <w:lang w:val="en-US" w:eastAsia="zh-CN"/>
        </w:rPr>
        <w:t>符合下列情形之一的且不违反本规划第十条规定的，不受所在市场单元容量、间距限制。</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default"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（一）属于军烈属（含烈士遗属、因公牺牲军人遗属等）、残疾军人（6级以上）的个体工商户，本人首次申请办理烟草专卖零售许可证；</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（二）《警民共建、从优待警、惠警帮扶合作备忘录》《新疆维吾尔自治区烟草专卖局 自治区公安厅特侦队警民共建、从优待警、惠警帮扶合作备忘录》等制度规定的情形。</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sz w:val="32"/>
          <w:szCs w:val="32"/>
          <w:lang w:eastAsia="zh-CN"/>
        </w:rPr>
        <w:t>第十三条</w:t>
      </w:r>
      <w:r>
        <w:rPr>
          <w:rFonts w:hint="eastAsia" w:ascii="黑体" w:hAnsi="黑体" w:eastAsia="黑体" w:cs="黑体"/>
          <w:b w:val="0"/>
          <w:bCs w:val="0"/>
          <w:color w:val="auto"/>
          <w:sz w:val="32"/>
          <w:szCs w:val="32"/>
          <w:lang w:val="en-US" w:eastAsia="zh-CN"/>
        </w:rPr>
        <w:t xml:space="preserve"> </w:t>
      </w:r>
      <w:r>
        <w:rPr>
          <w:rFonts w:hint="eastAsia" w:ascii="仿宋_GB2312" w:eastAsia="仿宋_GB2312"/>
          <w:b w:val="0"/>
          <w:bCs w:val="0"/>
          <w:color w:val="auto"/>
          <w:sz w:val="32"/>
          <w:szCs w:val="32"/>
          <w:lang w:eastAsia="zh-CN"/>
        </w:rPr>
        <w:t>符合</w:t>
      </w:r>
      <w:r>
        <w:rPr>
          <w:rFonts w:hint="eastAsia" w:ascii="仿宋_GB2312" w:eastAsia="仿宋_GB2312"/>
          <w:b w:val="0"/>
          <w:bCs w:val="0"/>
          <w:color w:val="auto"/>
          <w:sz w:val="32"/>
          <w:szCs w:val="32"/>
        </w:rPr>
        <w:t>下列情形之一</w:t>
      </w:r>
      <w:r>
        <w:rPr>
          <w:rFonts w:hint="eastAsia" w:ascii="仿宋_GB2312" w:eastAsia="仿宋_GB2312"/>
          <w:b w:val="0"/>
          <w:bCs w:val="0"/>
          <w:color w:val="auto"/>
          <w:sz w:val="32"/>
          <w:szCs w:val="32"/>
          <w:lang w:eastAsia="zh-CN"/>
        </w:rPr>
        <w:t>的且不违反本规划第九条第二项第</w:t>
      </w:r>
      <w:r>
        <w:rPr>
          <w:rFonts w:hint="eastAsia" w:ascii="仿宋_GB2312" w:eastAsia="仿宋_GB2312"/>
          <w:b w:val="0"/>
          <w:bCs w:val="0"/>
          <w:color w:val="auto"/>
          <w:sz w:val="32"/>
          <w:szCs w:val="32"/>
          <w:lang w:val="en-US" w:eastAsia="zh-CN"/>
        </w:rPr>
        <w:t>3目及第十条规定的，不</w:t>
      </w:r>
      <w:r>
        <w:rPr>
          <w:rFonts w:hint="eastAsia" w:ascii="仿宋_GB2312" w:eastAsia="仿宋_GB2312"/>
          <w:b w:val="0"/>
          <w:bCs w:val="0"/>
          <w:color w:val="auto"/>
          <w:sz w:val="32"/>
          <w:szCs w:val="32"/>
          <w:lang w:eastAsia="zh-CN"/>
        </w:rPr>
        <w:t>受市场单元</w:t>
      </w:r>
      <w:r>
        <w:rPr>
          <w:rFonts w:hint="eastAsia" w:ascii="仿宋_GB2312" w:hAnsi="仿宋_GB2312" w:eastAsia="仿宋_GB2312" w:cs="仿宋_GB2312"/>
          <w:b w:val="0"/>
          <w:color w:val="auto"/>
          <w:sz w:val="32"/>
          <w:highlight w:val="none"/>
          <w:lang w:val="en-US" w:eastAsia="zh-CN"/>
        </w:rPr>
        <w:t>容量</w:t>
      </w:r>
      <w:r>
        <w:rPr>
          <w:rFonts w:hint="eastAsia" w:ascii="仿宋_GB2312" w:eastAsia="仿宋_GB2312"/>
          <w:b w:val="0"/>
          <w:bCs w:val="0"/>
          <w:color w:val="auto"/>
          <w:sz w:val="32"/>
          <w:szCs w:val="32"/>
          <w:lang w:eastAsia="zh-CN"/>
        </w:rPr>
        <w:t>限制，</w:t>
      </w:r>
      <w:r>
        <w:rPr>
          <w:rFonts w:hint="eastAsia" w:ascii="仿宋_GB2312" w:hAnsi="仿宋_GB2312" w:eastAsia="仿宋_GB2312" w:cs="仿宋_GB2312"/>
          <w:color w:val="auto"/>
          <w:sz w:val="32"/>
          <w:szCs w:val="32"/>
        </w:rPr>
        <w:t>间距放宽50%</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（一）因道路规划、城市建设、房屋征收等客观原因造成无法在核定经营场所经营，持证人在6个月内申请变更到原发证机关辖区内其他地址经营的；</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（二）因中小学校、幼儿园新建、改造导致的先店后校、先店后门等情况，以及合理布局规划修订等客观原因造成零售点不符合相关要求的，持证人在6个月内申请变更到原发证机关辖区内其他地址经营的；</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三）非家庭经营的持证个体工商户，两年内无涉烟违法记录，因持证人死亡或者丧失民事行为能力，烟草专卖零售许可证被依法注销后30个自然日内，原持证人的家庭成员（具有完全民事行为能力的配偶、父母或子女）申请在原经营场所申请新办烟草专卖零售许可证的。</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十四</w:t>
      </w:r>
      <w:r>
        <w:rPr>
          <w:rFonts w:hint="eastAsia" w:ascii="黑体" w:hAnsi="黑体" w:eastAsia="黑体" w:cs="黑体"/>
          <w:b w:val="0"/>
          <w:bCs w:val="0"/>
          <w:color w:val="auto"/>
          <w:sz w:val="32"/>
          <w:szCs w:val="32"/>
        </w:rPr>
        <w:t xml:space="preserve">条 </w:t>
      </w:r>
      <w:r>
        <w:rPr>
          <w:rFonts w:hint="eastAsia" w:ascii="仿宋_GB2312" w:eastAsia="仿宋_GB2312"/>
          <w:b w:val="0"/>
          <w:bCs w:val="0"/>
          <w:color w:val="auto"/>
          <w:sz w:val="32"/>
          <w:szCs w:val="32"/>
          <w:lang w:eastAsia="zh-CN"/>
        </w:rPr>
        <w:t>符合</w:t>
      </w:r>
      <w:r>
        <w:rPr>
          <w:rFonts w:hint="eastAsia" w:ascii="仿宋_GB2312" w:eastAsia="仿宋_GB2312"/>
          <w:b w:val="0"/>
          <w:bCs w:val="0"/>
          <w:color w:val="auto"/>
          <w:sz w:val="32"/>
          <w:szCs w:val="32"/>
        </w:rPr>
        <w:t>下列情形之一</w:t>
      </w:r>
      <w:r>
        <w:rPr>
          <w:rFonts w:hint="eastAsia" w:ascii="仿宋_GB2312" w:eastAsia="仿宋_GB2312"/>
          <w:b w:val="0"/>
          <w:bCs w:val="0"/>
          <w:color w:val="auto"/>
          <w:sz w:val="32"/>
          <w:szCs w:val="32"/>
          <w:lang w:eastAsia="zh-CN"/>
        </w:rPr>
        <w:t>的且不违反本规划第九条第（二）项第</w:t>
      </w:r>
      <w:r>
        <w:rPr>
          <w:rFonts w:hint="eastAsia" w:ascii="仿宋_GB2312" w:eastAsia="仿宋_GB2312"/>
          <w:b w:val="0"/>
          <w:bCs w:val="0"/>
          <w:color w:val="auto"/>
          <w:sz w:val="32"/>
          <w:szCs w:val="32"/>
          <w:lang w:val="en-US" w:eastAsia="zh-CN"/>
        </w:rPr>
        <w:t>3目及第十条规定的，</w:t>
      </w:r>
      <w:r>
        <w:rPr>
          <w:rFonts w:hint="eastAsia" w:ascii="仿宋_GB2312" w:hAnsi="仿宋_GB2312" w:eastAsia="仿宋_GB2312" w:cs="仿宋_GB2312"/>
          <w:color w:val="auto"/>
          <w:sz w:val="32"/>
          <w:szCs w:val="32"/>
          <w:lang w:eastAsia="zh-CN"/>
        </w:rPr>
        <w:t>受</w:t>
      </w:r>
      <w:r>
        <w:rPr>
          <w:rFonts w:hint="eastAsia" w:ascii="仿宋_GB2312" w:hAnsi="仿宋_GB2312" w:eastAsia="仿宋_GB2312" w:cs="仿宋_GB2312"/>
          <w:color w:val="auto"/>
          <w:sz w:val="32"/>
          <w:szCs w:val="32"/>
        </w:rPr>
        <w:t>市场单元</w:t>
      </w:r>
      <w:r>
        <w:rPr>
          <w:rFonts w:hint="eastAsia" w:ascii="仿宋_GB2312" w:hAnsi="仿宋_GB2312" w:eastAsia="仿宋_GB2312" w:cs="仿宋_GB2312"/>
          <w:b w:val="0"/>
          <w:color w:val="auto"/>
          <w:sz w:val="32"/>
          <w:highlight w:val="none"/>
          <w:lang w:val="en-US" w:eastAsia="zh-CN"/>
        </w:rPr>
        <w:t>容量限制，</w:t>
      </w:r>
      <w:r>
        <w:rPr>
          <w:rFonts w:hint="eastAsia" w:ascii="仿宋_GB2312" w:hAnsi="仿宋_GB2312" w:eastAsia="仿宋_GB2312" w:cs="仿宋_GB2312"/>
          <w:color w:val="auto"/>
          <w:sz w:val="32"/>
          <w:szCs w:val="32"/>
        </w:rPr>
        <w:t>间距放宽50%</w:t>
      </w:r>
      <w:r>
        <w:rPr>
          <w:rFonts w:hint="eastAsia" w:ascii="仿宋_GB2312" w:hAnsi="仿宋_GB2312" w:eastAsia="仿宋_GB2312" w:cs="仿宋_GB2312"/>
          <w:color w:val="auto"/>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（一）持有三级以上（含三级）残疾人证（含听力残疾、言语残疾、视力残疾或肢体残疾）的个体工商户，首次申请领取烟草专卖零售许可证且本人使用的；</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（二）国家或当地政府明文规定给予政策扶持并经属地烟草专卖局集体研究认为可以扶持照顾的对象，本人首次申请领取烟草专卖零售许可证且本人使用的。</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jc w:val="left"/>
        <w:textAlignment w:val="auto"/>
        <w:rPr>
          <w:rFonts w:hint="eastAsia" w:ascii="黑体" w:hAnsi="宋体" w:eastAsia="黑体" w:cs="黑体"/>
          <w:color w:val="auto"/>
          <w:kern w:val="0"/>
          <w:sz w:val="31"/>
          <w:szCs w:val="31"/>
          <w:lang w:val="en-US" w:eastAsia="zh-CN" w:bidi="ar"/>
        </w:rPr>
      </w:pP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jc w:val="center"/>
        <w:textAlignment w:val="auto"/>
        <w:rPr>
          <w:rFonts w:hint="eastAsia" w:ascii="黑体" w:hAnsi="宋体" w:eastAsia="黑体" w:cs="黑体"/>
          <w:color w:val="auto"/>
          <w:kern w:val="0"/>
          <w:sz w:val="32"/>
          <w:szCs w:val="32"/>
          <w:lang w:val="en-US" w:eastAsia="zh-CN" w:bidi="ar"/>
        </w:rPr>
      </w:pPr>
      <w:r>
        <w:rPr>
          <w:rFonts w:hint="eastAsia" w:ascii="黑体" w:hAnsi="宋体" w:eastAsia="黑体" w:cs="黑体"/>
          <w:color w:val="auto"/>
          <w:kern w:val="0"/>
          <w:sz w:val="32"/>
          <w:szCs w:val="32"/>
          <w:lang w:val="en-US" w:eastAsia="zh-CN" w:bidi="ar"/>
        </w:rPr>
        <w:t>第五章 雪茄烟零售点布局</w:t>
      </w:r>
    </w:p>
    <w:p>
      <w:pPr>
        <w:keepNext w:val="0"/>
        <w:keepLines w:val="0"/>
        <w:pageBreakBefore w:val="0"/>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黑体" w:hAnsi="黑体" w:eastAsia="黑体" w:cs="黑体"/>
          <w:b w:val="0"/>
          <w:color w:val="auto"/>
          <w:sz w:val="32"/>
          <w:highlight w:val="none"/>
          <w:lang w:val="en-US" w:eastAsia="zh-CN"/>
        </w:rPr>
        <w:t xml:space="preserve">第十五条 </w:t>
      </w:r>
      <w:r>
        <w:rPr>
          <w:rFonts w:hint="eastAsia" w:ascii="仿宋_GB2312" w:hAnsi="仿宋_GB2312" w:eastAsia="仿宋_GB2312" w:cs="仿宋_GB2312"/>
          <w:b w:val="0"/>
          <w:color w:val="auto"/>
          <w:sz w:val="32"/>
          <w:highlight w:val="none"/>
          <w:lang w:val="en-US" w:eastAsia="zh-CN"/>
        </w:rPr>
        <w:t>雪茄烟专营店设置</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申请烟草专卖零售许可范围仅为“雪茄烟本店零售”的零售点，不划定市场单元，不受间距限制，采取数量限制模式。雪茄烟专营店指导数量，不超过上一年度本辖区全部烟草制品零售点总数的千分之五；申请设立雪茄烟专营店，应当遵守本规划第十条不予设置零售点的相关规定。</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雪茄烟专营店申请变更经营范围，增加或调整为卷烟零售的，应当符合本规划全部布局设置要求。</w:t>
      </w:r>
    </w:p>
    <w:p>
      <w:pPr>
        <w:keepNext w:val="0"/>
        <w:keepLines w:val="0"/>
        <w:pageBreakBefore w:val="0"/>
        <w:kinsoku/>
        <w:wordWrap/>
        <w:overflowPunct/>
        <w:topLinePunct w:val="0"/>
        <w:autoSpaceDE/>
        <w:autoSpaceDN/>
        <w:bidi w:val="0"/>
        <w:adjustRightInd/>
        <w:snapToGrid/>
        <w:spacing w:line="560" w:lineRule="exact"/>
        <w:ind w:left="0" w:firstLine="624" w:firstLineChars="200"/>
        <w:jc w:val="left"/>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雪茄烟专营店与普通卷烟零售点之间，相互不作为零售点间距测算、容量数量核算的参照。</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jc w:val="left"/>
        <w:textAlignment w:val="auto"/>
        <w:rPr>
          <w:rFonts w:hint="eastAsia" w:ascii="黑体" w:hAnsi="宋体" w:eastAsia="黑体" w:cs="黑体"/>
          <w:color w:val="auto"/>
          <w:kern w:val="0"/>
          <w:sz w:val="31"/>
          <w:szCs w:val="31"/>
          <w:lang w:val="en-US" w:eastAsia="zh-CN" w:bidi="ar"/>
        </w:rPr>
      </w:pP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jc w:val="center"/>
        <w:textAlignment w:val="auto"/>
        <w:rPr>
          <w:rFonts w:hint="eastAsia" w:ascii="黑体" w:hAnsi="宋体" w:eastAsia="黑体" w:cs="黑体"/>
          <w:color w:val="auto"/>
          <w:kern w:val="0"/>
          <w:sz w:val="32"/>
          <w:szCs w:val="32"/>
          <w:lang w:val="en-US" w:eastAsia="zh-CN" w:bidi="ar"/>
        </w:rPr>
      </w:pPr>
      <w:r>
        <w:rPr>
          <w:rFonts w:hint="eastAsia" w:ascii="黑体" w:hAnsi="宋体" w:eastAsia="黑体" w:cs="黑体"/>
          <w:color w:val="auto"/>
          <w:kern w:val="0"/>
          <w:sz w:val="32"/>
          <w:szCs w:val="32"/>
          <w:lang w:val="en-US" w:eastAsia="zh-CN" w:bidi="ar"/>
        </w:rPr>
        <w:t>第六章 附则</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黑体" w:hAnsi="黑体" w:eastAsia="黑体" w:cs="黑体"/>
          <w:b w:val="0"/>
          <w:bCs w:val="0"/>
          <w:color w:val="auto"/>
          <w:sz w:val="32"/>
          <w:szCs w:val="32"/>
        </w:rPr>
        <w:t>第十</w:t>
      </w:r>
      <w:r>
        <w:rPr>
          <w:rFonts w:hint="eastAsia" w:ascii="黑体" w:hAnsi="黑体" w:eastAsia="黑体" w:cs="黑体"/>
          <w:b w:val="0"/>
          <w:bCs w:val="0"/>
          <w:color w:val="auto"/>
          <w:sz w:val="32"/>
          <w:szCs w:val="32"/>
          <w:lang w:eastAsia="zh-CN"/>
        </w:rPr>
        <w:t>六</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eastAsia="zh-CN"/>
        </w:rPr>
        <w:t xml:space="preserve"> </w:t>
      </w:r>
      <w:r>
        <w:rPr>
          <w:rFonts w:hint="eastAsia" w:ascii="仿宋_GB2312" w:eastAsia="仿宋_GB2312"/>
          <w:b w:val="0"/>
          <w:bCs w:val="0"/>
          <w:color w:val="auto"/>
          <w:sz w:val="32"/>
          <w:szCs w:val="32"/>
          <w:lang w:eastAsia="zh-CN"/>
        </w:rPr>
        <w:t>术语定义</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一）社区市场单元。社区市场单元指由县级及以上人民政府部门依据法定标准以居民委员会实际管辖区域为基础划定的区域。城乡结合部、乡（镇）政府驻地、行政（自然）村（连队）等区域，经属地街道办事处或乡镇人民政府认定属于社区服务管理体系的，纳入社区市场单元管理。</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（二）行政（自然）村（连队）市场单元。行政（自然）村（连队）市场单元指依据县级人民政府部门依法划定的村民委员会法定管辖区域，或经属地乡镇人民政府确认并纳入统一管理的自然村落区域。</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（三）特殊区域市场单元。特殊区域市场单元指具备独特市场生态、特定消费人群的区域，如集贸市场、交通枢纽、旅游景区、工矿区等。</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（四）</w:t>
      </w:r>
      <w:r>
        <w:rPr>
          <w:rFonts w:hint="eastAsia" w:ascii="仿宋_GB2312" w:eastAsia="仿宋_GB2312"/>
          <w:b w:val="0"/>
          <w:bCs w:val="0"/>
          <w:color w:val="auto"/>
          <w:sz w:val="32"/>
          <w:szCs w:val="32"/>
        </w:rPr>
        <w:t>本规划所称“</w:t>
      </w:r>
      <w:r>
        <w:rPr>
          <w:rFonts w:hint="eastAsia" w:ascii="仿宋_GB2312" w:eastAsia="仿宋_GB2312"/>
          <w:b w:val="0"/>
          <w:bCs w:val="0"/>
          <w:color w:val="auto"/>
          <w:sz w:val="32"/>
          <w:szCs w:val="32"/>
          <w:lang w:eastAsia="zh-CN"/>
        </w:rPr>
        <w:t>间距</w:t>
      </w:r>
      <w:r>
        <w:rPr>
          <w:rFonts w:hint="eastAsia" w:ascii="仿宋_GB2312" w:eastAsia="仿宋_GB2312"/>
          <w:b w:val="0"/>
          <w:bCs w:val="0"/>
          <w:color w:val="auto"/>
          <w:sz w:val="32"/>
          <w:szCs w:val="32"/>
        </w:rPr>
        <w:t>”</w:t>
      </w:r>
      <w:r>
        <w:rPr>
          <w:rFonts w:hint="eastAsia" w:ascii="仿宋_GB2312" w:eastAsia="仿宋_GB2312"/>
          <w:b w:val="0"/>
          <w:bCs w:val="0"/>
          <w:color w:val="auto"/>
          <w:sz w:val="32"/>
          <w:szCs w:val="32"/>
          <w:lang w:eastAsia="zh-CN"/>
        </w:rPr>
        <w:t>，分为两类：一是申请点出入口边界与现有零售点出入口边界之间的距离；二是申请点边界与中小学校、幼儿园进出通道口</w:t>
      </w:r>
      <w:r>
        <w:rPr>
          <w:rFonts w:hint="eastAsia" w:ascii="仿宋_GB2312" w:eastAsia="仿宋_GB2312"/>
          <w:b w:val="0"/>
          <w:bCs w:val="0"/>
          <w:color w:val="auto"/>
          <w:sz w:val="32"/>
          <w:szCs w:val="32"/>
        </w:rPr>
        <w:t>（含</w:t>
      </w:r>
      <w:r>
        <w:rPr>
          <w:rFonts w:hint="eastAsia" w:ascii="仿宋_GB2312" w:eastAsia="仿宋_GB2312"/>
          <w:b w:val="0"/>
          <w:bCs w:val="0"/>
          <w:color w:val="auto"/>
          <w:sz w:val="32"/>
          <w:szCs w:val="32"/>
          <w:lang w:eastAsia="zh-CN"/>
        </w:rPr>
        <w:t>正门、</w:t>
      </w:r>
      <w:r>
        <w:rPr>
          <w:rFonts w:hint="eastAsia" w:ascii="仿宋_GB2312" w:eastAsia="仿宋_GB2312"/>
          <w:b w:val="0"/>
          <w:bCs w:val="0"/>
          <w:color w:val="auto"/>
          <w:sz w:val="32"/>
          <w:szCs w:val="32"/>
        </w:rPr>
        <w:t>侧门、后门、边门</w:t>
      </w:r>
      <w:r>
        <w:rPr>
          <w:rFonts w:hint="eastAsia" w:ascii="仿宋_GB2312" w:eastAsia="仿宋_GB2312"/>
          <w:b w:val="0"/>
          <w:bCs w:val="0"/>
          <w:color w:val="auto"/>
          <w:sz w:val="32"/>
          <w:szCs w:val="32"/>
          <w:lang w:eastAsia="zh-CN"/>
        </w:rPr>
        <w:t>、</w:t>
      </w:r>
      <w:r>
        <w:rPr>
          <w:rFonts w:hint="eastAsia" w:ascii="仿宋_GB2312" w:eastAsia="仿宋_GB2312"/>
          <w:b w:val="0"/>
          <w:bCs w:val="0"/>
          <w:color w:val="auto"/>
          <w:sz w:val="32"/>
          <w:szCs w:val="32"/>
        </w:rPr>
        <w:t>消防通道</w:t>
      </w:r>
      <w:r>
        <w:rPr>
          <w:rFonts w:hint="eastAsia" w:ascii="仿宋_GB2312" w:eastAsia="仿宋_GB2312"/>
          <w:b w:val="0"/>
          <w:bCs w:val="0"/>
          <w:color w:val="auto"/>
          <w:sz w:val="32"/>
          <w:szCs w:val="32"/>
          <w:lang w:eastAsia="zh-CN"/>
        </w:rPr>
        <w:t>出入口</w:t>
      </w:r>
      <w:r>
        <w:rPr>
          <w:rFonts w:hint="eastAsia" w:ascii="仿宋_GB2312" w:eastAsia="仿宋_GB2312"/>
          <w:b w:val="0"/>
          <w:bCs w:val="0"/>
          <w:color w:val="auto"/>
          <w:sz w:val="32"/>
          <w:szCs w:val="32"/>
        </w:rPr>
        <w:t>）</w:t>
      </w:r>
      <w:r>
        <w:rPr>
          <w:rFonts w:hint="eastAsia" w:ascii="仿宋_GB2312" w:eastAsia="仿宋_GB2312"/>
          <w:b w:val="0"/>
          <w:bCs w:val="0"/>
          <w:color w:val="auto"/>
          <w:sz w:val="32"/>
          <w:szCs w:val="32"/>
          <w:lang w:eastAsia="zh-CN"/>
        </w:rPr>
        <w:t>边界</w:t>
      </w:r>
      <w:r>
        <w:rPr>
          <w:rFonts w:hint="eastAsia" w:ascii="仿宋_GB2312" w:eastAsia="仿宋_GB2312"/>
          <w:b w:val="0"/>
          <w:bCs w:val="0"/>
          <w:color w:val="auto"/>
          <w:sz w:val="32"/>
          <w:szCs w:val="32"/>
        </w:rPr>
        <w:t>之间</w:t>
      </w:r>
      <w:r>
        <w:rPr>
          <w:rFonts w:hint="eastAsia" w:ascii="仿宋_GB2312" w:eastAsia="仿宋_GB2312"/>
          <w:b w:val="0"/>
          <w:bCs w:val="0"/>
          <w:color w:val="auto"/>
          <w:sz w:val="32"/>
          <w:szCs w:val="32"/>
          <w:lang w:eastAsia="zh-CN"/>
        </w:rPr>
        <w:t>的距离。上述间距均为不违反交通规则前提下</w:t>
      </w:r>
      <w:r>
        <w:rPr>
          <w:rFonts w:hint="eastAsia" w:ascii="仿宋_GB2312" w:eastAsia="仿宋_GB2312"/>
          <w:b w:val="0"/>
          <w:bCs w:val="0"/>
          <w:color w:val="auto"/>
          <w:sz w:val="32"/>
          <w:szCs w:val="32"/>
        </w:rPr>
        <w:t>，</w:t>
      </w:r>
      <w:r>
        <w:rPr>
          <w:rFonts w:hint="eastAsia" w:ascii="仿宋_GB2312" w:eastAsia="仿宋_GB2312"/>
          <w:b w:val="0"/>
          <w:bCs w:val="0"/>
          <w:color w:val="auto"/>
          <w:sz w:val="32"/>
          <w:szCs w:val="32"/>
          <w:lang w:eastAsia="zh-CN"/>
        </w:rPr>
        <w:t>可</w:t>
      </w:r>
      <w:r>
        <w:rPr>
          <w:rFonts w:hint="eastAsia" w:ascii="仿宋_GB2312" w:eastAsia="仿宋_GB2312"/>
          <w:b w:val="0"/>
          <w:bCs w:val="0"/>
          <w:color w:val="auto"/>
          <w:sz w:val="32"/>
          <w:szCs w:val="32"/>
        </w:rPr>
        <w:t>无障碍通行的最短</w:t>
      </w:r>
      <w:r>
        <w:rPr>
          <w:rFonts w:hint="eastAsia" w:ascii="仿宋_GB2312" w:eastAsia="仿宋_GB2312"/>
          <w:b w:val="0"/>
          <w:bCs w:val="0"/>
          <w:color w:val="auto"/>
          <w:sz w:val="32"/>
          <w:szCs w:val="32"/>
          <w:lang w:eastAsia="zh-CN"/>
        </w:rPr>
        <w:t>实际通行</w:t>
      </w:r>
      <w:r>
        <w:rPr>
          <w:rFonts w:hint="eastAsia" w:ascii="仿宋_GB2312" w:eastAsia="仿宋_GB2312"/>
          <w:b w:val="0"/>
          <w:bCs w:val="0"/>
          <w:color w:val="auto"/>
          <w:sz w:val="32"/>
          <w:szCs w:val="32"/>
        </w:rPr>
        <w:t>距离</w:t>
      </w:r>
      <w:r>
        <w:rPr>
          <w:rFonts w:hint="eastAsia" w:ascii="仿宋_GB2312" w:eastAsia="仿宋_GB2312"/>
          <w:b w:val="0"/>
          <w:bCs w:val="0"/>
          <w:color w:val="auto"/>
          <w:sz w:val="32"/>
          <w:szCs w:val="32"/>
          <w:lang w:eastAsia="zh-CN"/>
        </w:rPr>
        <w:t>。</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default"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eastAsia="zh-CN"/>
        </w:rPr>
        <w:t>（五）</w:t>
      </w:r>
      <w:r>
        <w:rPr>
          <w:rFonts w:hint="eastAsia" w:ascii="仿宋_GB2312" w:eastAsia="仿宋_GB2312"/>
          <w:b w:val="0"/>
          <w:bCs w:val="0"/>
          <w:color w:val="auto"/>
          <w:sz w:val="32"/>
          <w:szCs w:val="32"/>
          <w:lang w:val="en-US" w:eastAsia="zh-CN"/>
        </w:rPr>
        <w:t>本规划所称“</w:t>
      </w:r>
      <w:r>
        <w:rPr>
          <w:rFonts w:hint="eastAsia" w:ascii="仿宋_GB2312" w:eastAsia="仿宋_GB2312"/>
          <w:b w:val="0"/>
          <w:bCs w:val="0"/>
          <w:color w:val="auto"/>
          <w:sz w:val="32"/>
          <w:szCs w:val="32"/>
          <w:lang w:eastAsia="zh-CN"/>
        </w:rPr>
        <w:t>中小学校、幼儿园</w:t>
      </w:r>
      <w:r>
        <w:rPr>
          <w:rFonts w:hint="eastAsia" w:ascii="仿宋_GB2312" w:eastAsia="仿宋_GB2312"/>
          <w:b w:val="0"/>
          <w:bCs w:val="0"/>
          <w:color w:val="auto"/>
          <w:sz w:val="32"/>
          <w:szCs w:val="32"/>
          <w:lang w:val="en-US" w:eastAsia="zh-CN"/>
        </w:rPr>
        <w:t>”是指普通中小学、特殊教育学校、有未成年人就读的中等职业学校以及幼儿园，并在当地教育行政主管部门核准登记目录内的中小学校、幼儿园。</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eastAsia="仿宋_GB2312"/>
          <w:b w:val="0"/>
          <w:bCs w:val="0"/>
          <w:color w:val="auto"/>
          <w:sz w:val="32"/>
          <w:szCs w:val="32"/>
          <w:lang w:val="en-US" w:eastAsia="zh-CN"/>
        </w:rPr>
      </w:pPr>
      <w:r>
        <w:rPr>
          <w:rFonts w:hint="eastAsia" w:ascii="仿宋_GB2312" w:eastAsia="仿宋_GB2312"/>
          <w:b w:val="0"/>
          <w:bCs w:val="0"/>
          <w:color w:val="auto"/>
          <w:sz w:val="32"/>
          <w:szCs w:val="32"/>
          <w:lang w:eastAsia="zh-CN"/>
        </w:rPr>
        <w:t>（六）本规划所称营业面积，</w:t>
      </w:r>
      <w:r>
        <w:rPr>
          <w:rFonts w:hint="eastAsia" w:ascii="仿宋_GB2312" w:eastAsia="仿宋_GB2312"/>
          <w:b w:val="0"/>
          <w:bCs w:val="0"/>
          <w:color w:val="auto"/>
          <w:sz w:val="32"/>
          <w:szCs w:val="32"/>
          <w:lang w:val="en-US" w:eastAsia="zh-CN"/>
        </w:rPr>
        <w:t>以实地实际测量面积为准，指经营场所内用于商品陈列、展示、销售的区域面积，不包括仓库、办公、生活等配套功能区域。</w:t>
      </w:r>
    </w:p>
    <w:p>
      <w:pPr>
        <w:keepNext w:val="0"/>
        <w:keepLines w:val="0"/>
        <w:pageBreakBefore w:val="0"/>
        <w:kinsoku/>
        <w:wordWrap/>
        <w:overflowPunct/>
        <w:topLinePunct w:val="0"/>
        <w:autoSpaceDE/>
        <w:autoSpaceDN/>
        <w:bidi w:val="0"/>
        <w:snapToGrid/>
        <w:spacing w:line="560" w:lineRule="exact"/>
        <w:ind w:firstLine="624" w:firstLineChars="200"/>
        <w:jc w:val="left"/>
        <w:textAlignment w:val="auto"/>
        <w:rPr>
          <w:rFonts w:hint="eastAsia" w:ascii="仿宋_GB2312" w:hAnsi="宋体" w:eastAsia="仿宋_GB2312" w:cs="Arial"/>
          <w:b w:val="0"/>
          <w:bCs w:val="0"/>
          <w:color w:val="auto"/>
          <w:sz w:val="32"/>
          <w:szCs w:val="32"/>
          <w:lang w:eastAsia="zh-CN"/>
        </w:rPr>
      </w:pPr>
      <w:r>
        <w:rPr>
          <w:rFonts w:hint="eastAsia" w:ascii="仿宋_GB2312" w:hAnsi="宋体" w:eastAsia="仿宋_GB2312" w:cs="Arial"/>
          <w:b w:val="0"/>
          <w:bCs w:val="0"/>
          <w:color w:val="auto"/>
          <w:sz w:val="32"/>
          <w:szCs w:val="32"/>
          <w:lang w:eastAsia="zh-CN"/>
        </w:rPr>
        <w:t>（七）</w:t>
      </w:r>
      <w:r>
        <w:rPr>
          <w:rFonts w:hint="eastAsia" w:ascii="仿宋_GB2312" w:hAnsi="宋体" w:eastAsia="仿宋_GB2312" w:cs="Arial"/>
          <w:b w:val="0"/>
          <w:bCs w:val="0"/>
          <w:color w:val="auto"/>
          <w:sz w:val="32"/>
          <w:szCs w:val="32"/>
        </w:rPr>
        <w:t>本规划所称</w:t>
      </w:r>
      <w:r>
        <w:rPr>
          <w:rFonts w:hint="eastAsia" w:ascii="仿宋_GB2312" w:hAnsi="宋体" w:eastAsia="仿宋_GB2312" w:cs="Arial"/>
          <w:b w:val="0"/>
          <w:bCs w:val="0"/>
          <w:color w:val="auto"/>
          <w:sz w:val="32"/>
          <w:szCs w:val="32"/>
          <w:lang w:eastAsia="zh-CN"/>
        </w:rPr>
        <w:t>的</w:t>
      </w:r>
      <w:r>
        <w:rPr>
          <w:rFonts w:hint="eastAsia" w:ascii="仿宋_GB2312" w:hAnsi="仿宋_GB2312" w:eastAsia="仿宋_GB2312" w:cs="仿宋_GB2312"/>
          <w:color w:val="auto"/>
          <w:sz w:val="32"/>
          <w:szCs w:val="32"/>
        </w:rPr>
        <w:t>经营场所是指面向消费者全开放，用于烟草制品及其他商品销售、仓储的合法经营用房</w:t>
      </w:r>
      <w:r>
        <w:rPr>
          <w:rFonts w:hint="eastAsia" w:ascii="仿宋_GB2312" w:hAnsi="仿宋_GB2312" w:eastAsia="仿宋_GB2312" w:cs="仿宋_GB2312"/>
          <w:color w:val="auto"/>
          <w:sz w:val="32"/>
          <w:szCs w:val="32"/>
          <w:lang w:eastAsia="zh-CN"/>
        </w:rPr>
        <w:t>。</w:t>
      </w:r>
      <w:r>
        <w:rPr>
          <w:rFonts w:hint="eastAsia" w:ascii="仿宋_GB2312" w:hAnsi="宋体" w:eastAsia="仿宋_GB2312" w:cs="Arial"/>
          <w:b w:val="0"/>
          <w:bCs w:val="0"/>
          <w:color w:val="auto"/>
          <w:sz w:val="32"/>
          <w:szCs w:val="32"/>
          <w:lang w:eastAsia="zh-CN"/>
        </w:rPr>
        <w:t>原则上</w:t>
      </w:r>
      <w:r>
        <w:rPr>
          <w:rFonts w:hint="eastAsia" w:ascii="仿宋_GB2312" w:hAnsi="Times New Roman" w:eastAsia="仿宋_GB2312"/>
          <w:b w:val="0"/>
          <w:bCs w:val="0"/>
          <w:color w:val="auto"/>
          <w:sz w:val="32"/>
          <w:szCs w:val="32"/>
        </w:rPr>
        <w:t>应</w:t>
      </w:r>
      <w:r>
        <w:rPr>
          <w:rFonts w:hint="eastAsia" w:ascii="仿宋_GB2312" w:hAnsi="Times New Roman" w:eastAsia="仿宋_GB2312"/>
          <w:b w:val="0"/>
          <w:bCs w:val="0"/>
          <w:color w:val="auto"/>
          <w:sz w:val="32"/>
          <w:szCs w:val="32"/>
          <w:lang w:eastAsia="zh-CN"/>
        </w:rPr>
        <w:t>当</w:t>
      </w:r>
      <w:r>
        <w:rPr>
          <w:rFonts w:hint="eastAsia" w:ascii="仿宋_GB2312" w:hAnsi="Times New Roman" w:eastAsia="仿宋_GB2312"/>
          <w:b w:val="0"/>
          <w:bCs w:val="0"/>
          <w:color w:val="auto"/>
          <w:sz w:val="32"/>
          <w:szCs w:val="32"/>
        </w:rPr>
        <w:t>为平层全开放式门店</w:t>
      </w:r>
      <w:r>
        <w:rPr>
          <w:rFonts w:hint="eastAsia" w:ascii="仿宋_GB2312" w:hAnsi="Times New Roman" w:eastAsia="仿宋_GB2312"/>
          <w:b w:val="0"/>
          <w:bCs w:val="0"/>
          <w:color w:val="auto"/>
          <w:sz w:val="32"/>
          <w:szCs w:val="32"/>
          <w:lang w:eastAsia="zh-CN"/>
        </w:rPr>
        <w:t>（</w:t>
      </w:r>
      <w:r>
        <w:rPr>
          <w:rFonts w:hint="eastAsia" w:ascii="仿宋_GB2312" w:eastAsia="仿宋_GB2312"/>
          <w:b w:val="0"/>
          <w:bCs w:val="0"/>
          <w:color w:val="auto"/>
          <w:sz w:val="32"/>
          <w:szCs w:val="32"/>
        </w:rPr>
        <w:t>实际经营面积达到</w:t>
      </w:r>
      <w:r>
        <w:rPr>
          <w:rFonts w:hint="eastAsia" w:ascii="仿宋_GB2312" w:eastAsia="仿宋_GB2312"/>
          <w:b w:val="0"/>
          <w:bCs w:val="0"/>
          <w:color w:val="auto"/>
          <w:sz w:val="32"/>
          <w:szCs w:val="32"/>
          <w:lang w:val="en-US" w:eastAsia="zh-CN"/>
        </w:rPr>
        <w:t>800</w:t>
      </w:r>
      <w:r>
        <w:rPr>
          <w:rFonts w:hint="eastAsia" w:ascii="仿宋_GB2312" w:eastAsia="仿宋_GB2312"/>
          <w:b w:val="0"/>
          <w:bCs w:val="0"/>
          <w:color w:val="auto"/>
          <w:sz w:val="32"/>
          <w:szCs w:val="32"/>
        </w:rPr>
        <w:t>平方米的超市、</w:t>
      </w:r>
      <w:r>
        <w:rPr>
          <w:rFonts w:hint="eastAsia" w:ascii="仿宋_GB2312" w:eastAsia="仿宋_GB2312"/>
          <w:b w:val="0"/>
          <w:bCs w:val="0"/>
          <w:color w:val="auto"/>
          <w:sz w:val="32"/>
          <w:szCs w:val="32"/>
          <w:lang w:val="en-US" w:eastAsia="zh-CN"/>
        </w:rPr>
        <w:t>2000</w:t>
      </w:r>
      <w:r>
        <w:rPr>
          <w:rFonts w:hint="eastAsia" w:ascii="仿宋_GB2312" w:eastAsia="仿宋_GB2312"/>
          <w:b w:val="0"/>
          <w:bCs w:val="0"/>
          <w:color w:val="auto"/>
          <w:sz w:val="32"/>
          <w:szCs w:val="32"/>
        </w:rPr>
        <w:t>平方米的商场</w:t>
      </w:r>
      <w:r>
        <w:rPr>
          <w:rFonts w:hint="eastAsia" w:ascii="仿宋_GB2312" w:eastAsia="仿宋_GB2312"/>
          <w:b w:val="0"/>
          <w:bCs w:val="0"/>
          <w:color w:val="auto"/>
          <w:sz w:val="32"/>
          <w:szCs w:val="32"/>
          <w:lang w:eastAsia="zh-CN"/>
        </w:rPr>
        <w:t>除外）。</w:t>
      </w:r>
    </w:p>
    <w:p>
      <w:pPr>
        <w:keepNext w:val="0"/>
        <w:keepLines w:val="0"/>
        <w:pageBreakBefore w:val="0"/>
        <w:kinsoku/>
        <w:wordWrap/>
        <w:overflowPunct/>
        <w:topLinePunct w:val="0"/>
        <w:autoSpaceDE/>
        <w:autoSpaceDN/>
        <w:bidi w:val="0"/>
        <w:snapToGrid/>
        <w:spacing w:line="560" w:lineRule="exact"/>
        <w:ind w:firstLine="624" w:firstLineChars="200"/>
        <w:jc w:val="left"/>
        <w:textAlignment w:val="auto"/>
        <w:rPr>
          <w:rFonts w:hint="eastAsia" w:ascii="仿宋_GB2312" w:hAnsi="宋体" w:eastAsia="仿宋_GB2312" w:cs="Arial"/>
          <w:b w:val="0"/>
          <w:bCs w:val="0"/>
          <w:color w:val="auto"/>
          <w:sz w:val="32"/>
          <w:szCs w:val="32"/>
        </w:rPr>
      </w:pPr>
      <w:r>
        <w:rPr>
          <w:rFonts w:hint="eastAsia" w:ascii="仿宋_GB2312" w:hAnsi="宋体" w:eastAsia="仿宋_GB2312" w:cs="Arial"/>
          <w:b w:val="0"/>
          <w:bCs w:val="0"/>
          <w:color w:val="auto"/>
          <w:sz w:val="32"/>
          <w:szCs w:val="32"/>
          <w:lang w:eastAsia="zh-CN"/>
        </w:rPr>
        <w:t>（八）自动售货机(柜)指无人服务、贩售，主要依靠消费者自助进行选择、结算、提货等一系列操作的机器、柜台等;以及无法核验未成年人身份、缺少管控措施限制未成年人购烟的无人超市、无人便利店及自助商铺。</w:t>
      </w:r>
    </w:p>
    <w:p>
      <w:pPr>
        <w:keepNext w:val="0"/>
        <w:keepLines w:val="0"/>
        <w:pageBreakBefore w:val="0"/>
        <w:kinsoku/>
        <w:wordWrap/>
        <w:overflowPunct/>
        <w:topLinePunct w:val="0"/>
        <w:autoSpaceDE/>
        <w:autoSpaceDN/>
        <w:bidi w:val="0"/>
        <w:spacing w:line="560" w:lineRule="exact"/>
        <w:ind w:firstLine="624" w:firstLineChars="200"/>
        <w:jc w:val="left"/>
        <w:textAlignment w:val="auto"/>
        <w:rPr>
          <w:rFonts w:hint="eastAsia" w:ascii="仿宋_GB2312" w:hAnsi="宋体" w:eastAsia="仿宋_GB2312" w:cs="Arial"/>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十七</w:t>
      </w:r>
      <w:r>
        <w:rPr>
          <w:rFonts w:hint="eastAsia" w:ascii="黑体" w:hAnsi="黑体" w:eastAsia="黑体" w:cs="黑体"/>
          <w:b w:val="0"/>
          <w:bCs w:val="0"/>
          <w:color w:val="auto"/>
          <w:sz w:val="32"/>
          <w:szCs w:val="32"/>
        </w:rPr>
        <w:t xml:space="preserve">条 </w:t>
      </w:r>
      <w:r>
        <w:rPr>
          <w:rFonts w:hint="eastAsia" w:ascii="仿宋_GB2312" w:hAnsi="宋体" w:eastAsia="仿宋_GB2312" w:cs="Arial"/>
          <w:b w:val="0"/>
          <w:bCs w:val="0"/>
          <w:color w:val="auto"/>
          <w:sz w:val="32"/>
          <w:szCs w:val="32"/>
        </w:rPr>
        <w:t>本规划所称</w:t>
      </w:r>
      <w:r>
        <w:rPr>
          <w:rFonts w:hint="eastAsia" w:ascii="仿宋_GB2312" w:hAnsi="仿宋_GB2312" w:eastAsia="仿宋_GB2312" w:cs="仿宋_GB2312"/>
          <w:color w:val="auto"/>
          <w:sz w:val="32"/>
          <w:szCs w:val="32"/>
          <w:highlight w:val="none"/>
          <w:lang w:val="en-US"/>
        </w:rPr>
        <w:t>“以上”、“以下”</w:t>
      </w:r>
      <w:r>
        <w:rPr>
          <w:rFonts w:hint="eastAsia" w:ascii="仿宋_GB2312" w:hAnsi="仿宋_GB2312" w:eastAsia="仿宋_GB2312" w:cs="仿宋_GB2312"/>
          <w:color w:val="auto"/>
          <w:sz w:val="32"/>
          <w:szCs w:val="32"/>
          <w:highlight w:val="none"/>
          <w:lang w:val="en-US" w:eastAsia="zh-CN"/>
        </w:rPr>
        <w:t>、</w:t>
      </w:r>
      <w:r>
        <w:rPr>
          <w:rFonts w:hint="eastAsia" w:ascii="仿宋_GB2312" w:hAnsi="宋体" w:eastAsia="仿宋_GB2312" w:cs="Arial"/>
          <w:b w:val="0"/>
          <w:bCs w:val="0"/>
          <w:color w:val="auto"/>
          <w:sz w:val="32"/>
          <w:szCs w:val="32"/>
          <w:highlight w:val="none"/>
        </w:rPr>
        <w:t>“不小于”</w:t>
      </w:r>
      <w:r>
        <w:rPr>
          <w:rFonts w:hint="eastAsia" w:ascii="仿宋_GB2312" w:hAnsi="宋体" w:eastAsia="仿宋_GB2312" w:cs="Arial"/>
          <w:b w:val="0"/>
          <w:bCs w:val="0"/>
          <w:color w:val="auto"/>
          <w:sz w:val="32"/>
          <w:szCs w:val="32"/>
          <w:highlight w:val="none"/>
          <w:lang w:eastAsia="zh-CN"/>
        </w:rPr>
        <w:t>、</w:t>
      </w:r>
      <w:r>
        <w:rPr>
          <w:rFonts w:hint="eastAsia" w:ascii="仿宋_GB2312" w:hAnsi="宋体" w:eastAsia="仿宋_GB2312" w:cs="Arial"/>
          <w:b w:val="0"/>
          <w:bCs w:val="0"/>
          <w:color w:val="auto"/>
          <w:sz w:val="32"/>
          <w:szCs w:val="32"/>
          <w:highlight w:val="none"/>
        </w:rPr>
        <w:t>“范围内”</w:t>
      </w:r>
      <w:r>
        <w:rPr>
          <w:rFonts w:hint="eastAsia" w:ascii="仿宋_GB2312" w:hAnsi="仿宋_GB2312" w:eastAsia="仿宋_GB2312" w:cs="仿宋_GB2312"/>
          <w:color w:val="auto"/>
          <w:sz w:val="32"/>
          <w:szCs w:val="32"/>
          <w:highlight w:val="none"/>
          <w:lang w:val="en-US"/>
        </w:rPr>
        <w:t>“内”</w:t>
      </w:r>
      <w:r>
        <w:rPr>
          <w:rFonts w:hint="eastAsia" w:ascii="仿宋_GB2312" w:hAnsi="仿宋_GB2312" w:eastAsia="仿宋_GB2312" w:cs="仿宋_GB2312"/>
          <w:color w:val="auto"/>
          <w:sz w:val="32"/>
          <w:szCs w:val="32"/>
          <w:highlight w:val="none"/>
          <w:lang w:val="en-US" w:eastAsia="zh-CN"/>
        </w:rPr>
        <w:t>均</w:t>
      </w:r>
      <w:r>
        <w:rPr>
          <w:rFonts w:hint="eastAsia" w:ascii="仿宋_GB2312" w:hAnsi="仿宋_GB2312" w:eastAsia="仿宋_GB2312" w:cs="仿宋_GB2312"/>
          <w:color w:val="auto"/>
          <w:sz w:val="32"/>
          <w:szCs w:val="32"/>
          <w:highlight w:val="none"/>
          <w:lang w:val="en-US"/>
        </w:rPr>
        <w:t>包含本数。</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rFonts w:hint="eastAsia" w:ascii="仿宋_GB2312" w:hAnsi="宋体" w:eastAsia="仿宋_GB2312" w:cs="Arial"/>
          <w:b w:val="0"/>
          <w:bCs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十八</w:t>
      </w:r>
      <w:r>
        <w:rPr>
          <w:rFonts w:hint="eastAsia" w:ascii="黑体" w:hAnsi="黑体" w:eastAsia="黑体" w:cs="黑体"/>
          <w:b w:val="0"/>
          <w:bCs w:val="0"/>
          <w:color w:val="auto"/>
          <w:sz w:val="32"/>
          <w:szCs w:val="32"/>
        </w:rPr>
        <w:t xml:space="preserve">条 </w:t>
      </w:r>
      <w:r>
        <w:rPr>
          <w:rFonts w:hint="eastAsia" w:ascii="仿宋_GB2312" w:hAnsi="宋体" w:eastAsia="仿宋_GB2312" w:cs="Arial"/>
          <w:b w:val="0"/>
          <w:bCs w:val="0"/>
          <w:color w:val="auto"/>
          <w:sz w:val="32"/>
          <w:szCs w:val="32"/>
        </w:rPr>
        <w:t>本规划由</w:t>
      </w:r>
      <w:r>
        <w:rPr>
          <w:rFonts w:hint="eastAsia" w:ascii="仿宋_GB2312" w:hAnsi="宋体" w:eastAsia="仿宋_GB2312" w:cs="Arial"/>
          <w:b w:val="0"/>
          <w:bCs w:val="0"/>
          <w:color w:val="auto"/>
          <w:sz w:val="32"/>
          <w:szCs w:val="32"/>
          <w:lang w:eastAsia="zh-CN"/>
        </w:rPr>
        <w:t>伊吾县</w:t>
      </w:r>
      <w:r>
        <w:rPr>
          <w:rFonts w:hint="eastAsia" w:ascii="仿宋_GB2312" w:hAnsi="宋体" w:eastAsia="仿宋_GB2312" w:cs="Arial"/>
          <w:b w:val="0"/>
          <w:bCs w:val="0"/>
          <w:color w:val="auto"/>
          <w:sz w:val="32"/>
          <w:szCs w:val="32"/>
        </w:rPr>
        <w:t>烟草专卖局负责解释。</w:t>
      </w:r>
      <w:r>
        <w:rPr>
          <w:rFonts w:hint="eastAsia" w:ascii="仿宋_GB2312" w:eastAsia="仿宋_GB2312"/>
          <w:b w:val="0"/>
          <w:bCs w:val="0"/>
          <w:color w:val="auto"/>
          <w:sz w:val="32"/>
          <w:szCs w:val="32"/>
        </w:rPr>
        <w:t>本规划实施过程中，法律、法规、规章和政策性规定对零售点布局另有规定的，从其规定。</w:t>
      </w:r>
    </w:p>
    <w:p>
      <w:pPr>
        <w:keepNext w:val="0"/>
        <w:keepLines w:val="0"/>
        <w:pageBreakBefore w:val="0"/>
        <w:widowControl w:val="0"/>
        <w:numPr>
          <w:ilvl w:val="0"/>
          <w:numId w:val="0"/>
        </w:numPr>
        <w:tabs>
          <w:tab w:val="center" w:pos="4153"/>
          <w:tab w:val="left" w:pos="7820"/>
          <w:tab w:val="right" w:pos="8306"/>
        </w:tabs>
        <w:kinsoku/>
        <w:wordWrap/>
        <w:overflowPunct/>
        <w:topLinePunct w:val="0"/>
        <w:autoSpaceDE/>
        <w:autoSpaceDN/>
        <w:bidi w:val="0"/>
        <w:adjustRightInd/>
        <w:snapToGrid/>
        <w:spacing w:line="560" w:lineRule="exact"/>
        <w:ind w:firstLine="624" w:firstLineChars="200"/>
        <w:jc w:val="left"/>
        <w:textAlignment w:val="auto"/>
        <w:rPr>
          <w:b w:val="0"/>
          <w:bCs w:val="0"/>
          <w:color w:val="auto"/>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eastAsia="zh-CN"/>
        </w:rPr>
        <w:t>十九</w:t>
      </w:r>
      <w:r>
        <w:rPr>
          <w:rFonts w:hint="eastAsia" w:ascii="黑体" w:hAnsi="黑体" w:eastAsia="黑体" w:cs="黑体"/>
          <w:b w:val="0"/>
          <w:bCs w:val="0"/>
          <w:color w:val="auto"/>
          <w:sz w:val="32"/>
          <w:szCs w:val="32"/>
        </w:rPr>
        <w:t xml:space="preserve">条 </w:t>
      </w:r>
      <w:r>
        <w:rPr>
          <w:rFonts w:hint="eastAsia" w:ascii="仿宋_GB2312" w:hAnsi="仿宋_GB2312" w:eastAsia="仿宋_GB2312" w:cs="仿宋_GB2312"/>
          <w:color w:val="auto"/>
          <w:sz w:val="32"/>
          <w:szCs w:val="32"/>
        </w:rPr>
        <w:t>本规</w:t>
      </w:r>
      <w:r>
        <w:rPr>
          <w:rFonts w:hint="eastAsia" w:ascii="仿宋_GB2312" w:hAnsi="仿宋_GB2312" w:eastAsia="仿宋_GB2312" w:cs="仿宋_GB2312"/>
          <w:color w:val="auto"/>
          <w:sz w:val="32"/>
          <w:szCs w:val="32"/>
          <w:lang w:eastAsia="zh-CN"/>
        </w:rPr>
        <w:t>划</w:t>
      </w:r>
      <w:r>
        <w:rPr>
          <w:rFonts w:hint="eastAsia" w:ascii="仿宋_GB2312" w:hAnsi="仿宋_GB2312" w:eastAsia="仿宋_GB2312" w:cs="仿宋_GB2312"/>
          <w:color w:val="auto"/>
          <w:sz w:val="32"/>
          <w:szCs w:val="32"/>
        </w:rPr>
        <w:t>自202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日起施行，</w:t>
      </w:r>
      <w:r>
        <w:rPr>
          <w:rFonts w:hint="eastAsia" w:ascii="仿宋_GB2312" w:hAnsi="仿宋_GB2312" w:eastAsia="仿宋_GB2312" w:cs="仿宋_GB2312"/>
          <w:color w:val="auto"/>
          <w:sz w:val="32"/>
          <w:szCs w:val="32"/>
          <w:lang w:eastAsia="zh-CN"/>
        </w:rPr>
        <w:t>有效期至</w:t>
      </w:r>
      <w:r>
        <w:rPr>
          <w:rFonts w:hint="eastAsia" w:ascii="仿宋_GB2312" w:hAnsi="仿宋_GB2312" w:eastAsia="仿宋_GB2312" w:cs="仿宋_GB2312"/>
          <w:color w:val="auto"/>
          <w:sz w:val="32"/>
          <w:szCs w:val="32"/>
          <w:lang w:val="en-US" w:eastAsia="zh-CN"/>
        </w:rPr>
        <w:t>2031年11月20日。</w:t>
      </w:r>
      <w:r>
        <w:rPr>
          <w:rFonts w:hint="eastAsia" w:ascii="仿宋_GB2312" w:hAnsi="仿宋_GB2312" w:eastAsia="仿宋_GB2312" w:cs="仿宋_GB2312"/>
          <w:color w:val="auto"/>
          <w:sz w:val="32"/>
          <w:szCs w:val="32"/>
          <w:highlight w:val="none"/>
        </w:rPr>
        <w:t>2021年11月1日</w:t>
      </w:r>
      <w:r>
        <w:rPr>
          <w:rFonts w:hint="eastAsia" w:ascii="仿宋_GB2312" w:hAnsi="仿宋_GB2312" w:eastAsia="仿宋_GB2312" w:cs="仿宋_GB2312"/>
          <w:color w:val="auto"/>
          <w:sz w:val="32"/>
          <w:szCs w:val="32"/>
        </w:rPr>
        <w:t>施行的《</w:t>
      </w:r>
      <w:r>
        <w:rPr>
          <w:rFonts w:hint="eastAsia" w:ascii="仿宋_GB2312" w:hAnsi="仿宋_GB2312" w:eastAsia="仿宋_GB2312" w:cs="仿宋_GB2312"/>
          <w:color w:val="auto"/>
          <w:sz w:val="32"/>
          <w:szCs w:val="32"/>
          <w:lang w:eastAsia="zh-CN"/>
        </w:rPr>
        <w:t>伊吾县</w:t>
      </w:r>
      <w:r>
        <w:rPr>
          <w:rFonts w:hint="eastAsia" w:ascii="仿宋_GB2312" w:hAnsi="仿宋_GB2312" w:eastAsia="仿宋_GB2312" w:cs="仿宋_GB2312"/>
          <w:color w:val="auto"/>
          <w:sz w:val="32"/>
          <w:szCs w:val="32"/>
        </w:rPr>
        <w:t>烟草制品零售点布局管理规定》同时废止。</w:t>
      </w:r>
    </w:p>
    <w:sectPr>
      <w:headerReference r:id="rId4" w:type="first"/>
      <w:footerReference r:id="rId7" w:type="first"/>
      <w:headerReference r:id="rId3" w:type="default"/>
      <w:footerReference r:id="rId5" w:type="default"/>
      <w:footerReference r:id="rId6" w:type="even"/>
      <w:pgSz w:w="11906" w:h="16838"/>
      <w:pgMar w:top="2098" w:right="1588" w:bottom="1984" w:left="1588" w:header="851" w:footer="1474" w:gutter="0"/>
      <w:pgNumType w:fmt="decimal"/>
      <w:cols w:space="720" w:num="1"/>
      <w:docGrid w:type="linesAndChar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none" w:color="auto" w:sz="0" w:space="0"/>
        <w:left w:val="none" w:color="auto" w:sz="0" w:space="0"/>
        <w:bottom w:val="none" w:color="auto" w:sz="0" w:space="0"/>
        <w:right w:val="none" w:color="auto" w:sz="0" w:space="0"/>
      </w:pBdr>
      <w:ind w:left="320" w:leftChars="100" w:right="320" w:rightChars="10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2"/>
                            <w:pBdr>
                              <w:top w:val="none" w:color="auto" w:sz="0" w:space="0"/>
                              <w:left w:val="none" w:color="auto" w:sz="0" w:space="0"/>
                              <w:bottom w:val="none" w:color="auto" w:sz="0" w:space="0"/>
                              <w:right w:val="none" w:color="auto" w:sz="0" w:space="0"/>
                            </w:pBdr>
                            <w:ind w:left="320" w:leftChars="100" w:right="320" w:rightChars="100"/>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pPr>
                      <w:pStyle w:val="2"/>
                      <w:pBdr>
                        <w:top w:val="none" w:color="auto" w:sz="0" w:space="0"/>
                        <w:left w:val="none" w:color="auto" w:sz="0" w:space="0"/>
                        <w:bottom w:val="none" w:color="auto" w:sz="0" w:space="0"/>
                        <w:right w:val="none" w:color="auto" w:sz="0" w:space="0"/>
                      </w:pBdr>
                      <w:ind w:left="320" w:leftChars="100" w:right="320" w:rightChars="100"/>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7"/>
      </w:rPr>
    </w:pPr>
    <w:r>
      <w:fldChar w:fldCharType="begin"/>
    </w:r>
    <w:r>
      <w:rPr>
        <w:rStyle w:val="7"/>
      </w:rPr>
      <w:instrText xml:space="preserve">PAGE  </w:instrText>
    </w:r>
    <w:r>
      <w:fldChar w:fldCharType="end"/>
    </w:r>
  </w:p>
  <w:p>
    <w:pPr>
      <w:pStyle w:val="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D9BDC3"/>
    <w:rsid w:val="1C7148F0"/>
    <w:rsid w:val="1FBA427F"/>
    <w:rsid w:val="2ACF3708"/>
    <w:rsid w:val="3D9B403D"/>
    <w:rsid w:val="3FD9BDC3"/>
    <w:rsid w:val="485905A5"/>
    <w:rsid w:val="5EFA219C"/>
    <w:rsid w:val="7D4BDC67"/>
    <w:rsid w:val="BBB9E08D"/>
    <w:rsid w:val="E1D8CB6E"/>
    <w:rsid w:val="EBF75B2B"/>
    <w:rsid w:val="FBDBD5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190.666666666667</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2026-10-22T12:57:00Z</dcterms:created>
  <dc:creator>kylin</dc:creator>
  <cp:lastModifiedBy>Administrator</cp:lastModifiedBy>
  <cp:lastPrinted>2026-10-21T17:38:12Z</cp:lastPrinted>
  <dcterms:modified xsi:type="dcterms:W3CDTF">2026-10-21T09:03:29Z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34FAB772AAE44803BC8F98231EFD6CFE</vt:lpwstr>
  </property>
</Properties>
</file>