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numPr>
          <w:ilvl w:val="0"/>
          <w:numId w:val="2"/>
        </w:numPr>
        <w:kinsoku/>
        <w:wordWrap/>
        <w:overflowPunct/>
        <w:topLinePunct w:val="0"/>
        <w:autoSpaceDE/>
        <w:autoSpaceDN/>
        <w:bidi w:val="0"/>
        <w:adjustRightInd/>
        <w:snapToGrid/>
        <w:spacing w:before="0" w:after="0" w:line="640" w:lineRule="exact"/>
        <w:jc w:val="center"/>
        <w:textAlignment w:val="auto"/>
        <w:rPr>
          <w:rFonts w:hint="eastAsia" w:eastAsia="方正小标宋简体" w:cs="方正小标宋简体"/>
          <w:sz w:val="44"/>
          <w:szCs w:val="44"/>
          <w:u w:val="none"/>
        </w:rPr>
      </w:pPr>
      <w:bookmarkStart w:id="0" w:name="_Toc76683344"/>
      <w:r>
        <w:rPr>
          <w:rFonts w:hint="eastAsia" w:ascii="方正小标宋简体" w:hAnsi="方正小标宋简体" w:eastAsia="方正小标宋简体" w:cs="方正小标宋简体"/>
          <w:bCs/>
          <w:sz w:val="44"/>
          <w:szCs w:val="44"/>
          <w:u w:val="none"/>
          <w:lang w:eastAsia="zh-CN"/>
        </w:rPr>
        <w:t>伊吾县市场监督管理局</w:t>
      </w:r>
    </w:p>
    <w:p>
      <w:pPr>
        <w:pStyle w:val="5"/>
        <w:keepNext w:val="0"/>
        <w:keepLines w:val="0"/>
        <w:pageBreakBefore w:val="0"/>
        <w:widowControl w:val="0"/>
        <w:numPr>
          <w:ilvl w:val="0"/>
          <w:numId w:val="2"/>
        </w:numPr>
        <w:kinsoku/>
        <w:wordWrap/>
        <w:overflowPunct/>
        <w:topLinePunct w:val="0"/>
        <w:autoSpaceDE/>
        <w:autoSpaceDN/>
        <w:bidi w:val="0"/>
        <w:adjustRightInd/>
        <w:snapToGrid/>
        <w:spacing w:before="0" w:after="0" w:line="640" w:lineRule="exact"/>
        <w:jc w:val="center"/>
        <w:textAlignment w:val="auto"/>
        <w:rPr>
          <w:rFonts w:hint="eastAsia" w:eastAsia="方正小标宋简体" w:cs="方正小标宋简体"/>
          <w:sz w:val="44"/>
          <w:szCs w:val="44"/>
        </w:rPr>
      </w:pPr>
      <w:r>
        <w:rPr>
          <w:rFonts w:hint="eastAsia" w:hAnsi="方正小标宋简体" w:eastAsia="方正小标宋简体" w:cs="方正小标宋简体"/>
          <w:sz w:val="44"/>
          <w:szCs w:val="44"/>
          <w:lang w:val="en-US"/>
        </w:rPr>
        <w:t>行政处罚告知书</w:t>
      </w:r>
      <w:bookmarkEnd w:id="0"/>
    </w:p>
    <w:p>
      <w:pPr>
        <w:keepNext w:val="0"/>
        <w:keepLines w:val="0"/>
        <w:pageBreakBefore w:val="0"/>
        <w:widowControl w:val="0"/>
        <w:kinsoku/>
        <w:wordWrap/>
        <w:overflowPunct/>
        <w:topLinePunct w:val="0"/>
        <w:autoSpaceDE/>
        <w:autoSpaceDN/>
        <w:bidi w:val="0"/>
        <w:adjustRightInd/>
        <w:snapToGrid/>
        <w:spacing w:line="520" w:lineRule="exact"/>
        <w:ind w:firstLine="1920" w:firstLineChars="600"/>
        <w:jc w:val="both"/>
        <w:textAlignment w:val="auto"/>
        <w:rPr>
          <w:rFonts w:hint="eastAsia" w:ascii="仿宋" w:hAnsi="仿宋" w:eastAsia="仿宋" w:cs="仿宋_GB2312"/>
          <w:bCs/>
          <w:color w:val="auto"/>
          <w:sz w:val="32"/>
          <w:szCs w:val="32"/>
          <w:u w:val="single"/>
          <w:lang w:val="zh-CN" w:eastAsia="zh-CN"/>
        </w:rPr>
      </w:pPr>
      <w:r>
        <w:rPr>
          <w:rFonts w:hint="eastAsia" w:ascii="仿宋" w:hAnsi="仿宋" w:eastAsia="仿宋" w:cs="仿宋_GB2312"/>
          <w:bCs/>
          <w:color w:val="auto"/>
          <w:sz w:val="32"/>
          <w:szCs w:val="32"/>
          <w:u w:val="single"/>
          <w:lang w:val="zh-CN" w:eastAsia="zh-CN"/>
        </w:rPr>
        <w:t>哈伊吾</w:t>
      </w:r>
      <w:r>
        <w:rPr>
          <w:rFonts w:hint="eastAsia" w:ascii="仿宋" w:hAnsi="仿宋" w:eastAsia="仿宋" w:cs="仿宋_GB2312"/>
          <w:bCs/>
          <w:color w:val="auto"/>
          <w:sz w:val="32"/>
          <w:szCs w:val="32"/>
          <w:u w:val="none"/>
          <w:lang w:val="zh-CN" w:eastAsia="zh-CN"/>
        </w:rPr>
        <w:t>市监罚告〔</w:t>
      </w:r>
      <w:r>
        <w:rPr>
          <w:rFonts w:hint="eastAsia" w:ascii="仿宋" w:hAnsi="仿宋" w:eastAsia="仿宋" w:cs="仿宋_GB2312"/>
          <w:bCs/>
          <w:color w:val="auto"/>
          <w:sz w:val="32"/>
          <w:szCs w:val="32"/>
          <w:u w:val="single"/>
          <w:lang w:val="en-US" w:eastAsia="zh-CN"/>
        </w:rPr>
        <w:t>2026</w:t>
      </w:r>
      <w:r>
        <w:rPr>
          <w:rFonts w:hint="eastAsia" w:ascii="仿宋" w:hAnsi="仿宋" w:eastAsia="仿宋" w:cs="仿宋_GB2312"/>
          <w:bCs/>
          <w:color w:val="auto"/>
          <w:sz w:val="32"/>
          <w:szCs w:val="32"/>
          <w:u w:val="none"/>
          <w:lang w:val="zh-CN" w:eastAsia="zh-CN"/>
        </w:rPr>
        <w:t xml:space="preserve"> 〕</w:t>
      </w:r>
      <w:r>
        <w:rPr>
          <w:rFonts w:hint="eastAsia" w:ascii="仿宋" w:hAnsi="仿宋" w:eastAsia="仿宋" w:cs="仿宋_GB2312"/>
          <w:bCs/>
          <w:color w:val="auto"/>
          <w:sz w:val="32"/>
          <w:szCs w:val="32"/>
          <w:u w:val="single"/>
          <w:lang w:val="zh-CN" w:eastAsia="zh-CN"/>
        </w:rPr>
        <w:t xml:space="preserve"> </w:t>
      </w:r>
      <w:r>
        <w:rPr>
          <w:rFonts w:hint="eastAsia" w:ascii="仿宋" w:hAnsi="仿宋" w:eastAsia="仿宋" w:cs="仿宋_GB2312"/>
          <w:bCs/>
          <w:color w:val="auto"/>
          <w:sz w:val="32"/>
          <w:szCs w:val="32"/>
          <w:u w:val="single"/>
          <w:lang w:val="en-US" w:eastAsia="zh-CN"/>
        </w:rPr>
        <w:t>8</w:t>
      </w:r>
      <w:r>
        <w:rPr>
          <w:rFonts w:hint="eastAsia" w:ascii="仿宋" w:hAnsi="仿宋" w:eastAsia="仿宋" w:cs="仿宋_GB2312"/>
          <w:bCs/>
          <w:color w:val="auto"/>
          <w:sz w:val="32"/>
          <w:szCs w:val="32"/>
          <w:u w:val="none"/>
          <w:lang w:val="zh-CN" w:eastAsia="zh-CN"/>
        </w:rPr>
        <w:t>号</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_GB2312"/>
          <w:bCs/>
          <w:color w:val="auto"/>
          <w:sz w:val="32"/>
          <w:szCs w:val="32"/>
          <w:u w:val="single"/>
          <w:lang w:val="zh-CN" w:eastAsia="zh-CN"/>
        </w:rPr>
      </w:pPr>
      <w:bookmarkStart w:id="1" w:name="OLE_LINK1"/>
    </w:p>
    <w:bookmarkEnd w:id="1"/>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Times New Roman" w:hAnsi="Times New Roman" w:eastAsia="仿宋_GB2312" w:cs="仿宋"/>
          <w:sz w:val="32"/>
          <w:szCs w:val="32"/>
        </w:rPr>
      </w:pPr>
      <w:r>
        <w:rPr>
          <w:rFonts w:hint="eastAsia" w:ascii="仿宋" w:hAnsi="仿宋" w:eastAsia="仿宋" w:cs="仿宋_GB2312"/>
          <w:bCs/>
          <w:color w:val="auto"/>
          <w:sz w:val="32"/>
          <w:szCs w:val="32"/>
          <w:u w:val="single"/>
          <w:lang w:val="zh-CN" w:eastAsia="zh-CN"/>
        </w:rPr>
        <w:t>伊吾县江涛运输部等</w:t>
      </w:r>
      <w:r>
        <w:rPr>
          <w:rFonts w:hint="eastAsia" w:ascii="仿宋" w:hAnsi="仿宋" w:eastAsia="仿宋" w:cs="仿宋_GB2312"/>
          <w:bCs/>
          <w:color w:val="auto"/>
          <w:sz w:val="32"/>
          <w:szCs w:val="32"/>
          <w:u w:val="single"/>
          <w:lang w:val="en-US" w:eastAsia="zh-CN"/>
        </w:rPr>
        <w:t>93</w:t>
      </w:r>
      <w:r>
        <w:rPr>
          <w:rFonts w:hint="eastAsia" w:ascii="仿宋" w:hAnsi="仿宋" w:eastAsia="仿宋" w:cs="仿宋_GB2312"/>
          <w:bCs/>
          <w:color w:val="auto"/>
          <w:sz w:val="32"/>
          <w:szCs w:val="32"/>
          <w:u w:val="single"/>
          <w:lang w:val="zh-CN" w:eastAsia="zh-CN"/>
        </w:rPr>
        <w:t>户个体工商户</w:t>
      </w:r>
      <w:r>
        <w:rPr>
          <w:rFonts w:hint="eastAsia" w:ascii="Times New Roman" w:hAnsi="Times New Roman"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sz w:val="32"/>
          <w:szCs w:val="32"/>
        </w:rPr>
      </w:pPr>
      <w:r>
        <w:rPr>
          <w:rFonts w:hint="eastAsia" w:ascii="Times New Roman" w:hAnsi="Times New Roman" w:eastAsia="仿宋_GB2312" w:cs="仿宋"/>
          <w:sz w:val="32"/>
          <w:szCs w:val="32"/>
        </w:rPr>
        <w:t>由本局立案调查的你</w:t>
      </w:r>
      <w:r>
        <w:rPr>
          <w:rFonts w:hint="eastAsia" w:eastAsia="仿宋_GB2312" w:cs="仿宋"/>
          <w:sz w:val="32"/>
          <w:szCs w:val="32"/>
          <w:lang w:eastAsia="zh-CN"/>
        </w:rPr>
        <w:t>（单位）</w:t>
      </w:r>
      <w:r>
        <w:rPr>
          <w:rFonts w:hint="eastAsia" w:ascii="Times New Roman" w:hAnsi="Times New Roman" w:eastAsia="仿宋_GB2312" w:cs="仿宋"/>
          <w:sz w:val="32"/>
          <w:szCs w:val="32"/>
        </w:rPr>
        <w:t>涉嫌</w:t>
      </w:r>
      <w:r>
        <w:rPr>
          <w:rFonts w:hint="eastAsia" w:ascii="仿宋" w:hAnsi="仿宋" w:eastAsia="仿宋" w:cs="仿宋_GB2312"/>
          <w:bCs/>
          <w:color w:val="auto"/>
          <w:sz w:val="32"/>
          <w:szCs w:val="32"/>
          <w:u w:val="single"/>
          <w:lang w:val="zh-CN" w:eastAsia="zh-CN"/>
        </w:rPr>
        <w:t>变更市场主体登记事项，未按规定办理变更登记</w:t>
      </w:r>
      <w:r>
        <w:rPr>
          <w:rFonts w:hint="eastAsia" w:ascii="Times New Roman" w:hAnsi="Times New Roman" w:eastAsia="仿宋_GB2312" w:cs="仿宋"/>
          <w:sz w:val="32"/>
          <w:szCs w:val="32"/>
        </w:rPr>
        <w:t>一案，已调查终结。依据《中华人民共和国行政处罚法》第四十四条的规定，现将本局拟作出行政处罚的内容及事实、理由、依据告知如下：</w:t>
      </w:r>
      <w:r>
        <w:rPr>
          <w:rFonts w:hint="eastAsia" w:ascii="仿宋" w:hAnsi="仿宋" w:eastAsia="仿宋" w:cs="仿宋_GB2312"/>
          <w:bCs/>
          <w:color w:val="auto"/>
          <w:sz w:val="32"/>
          <w:szCs w:val="32"/>
          <w:u w:val="single"/>
          <w:lang w:val="zh-CN" w:eastAsia="zh-CN"/>
        </w:rPr>
        <w:t>根据哈密市市场监督管理局</w:t>
      </w:r>
      <w:r>
        <w:rPr>
          <w:rFonts w:hint="eastAsia" w:ascii="仿宋" w:hAnsi="仿宋" w:eastAsia="仿宋" w:cs="仿宋_GB2312"/>
          <w:bCs/>
          <w:color w:val="auto"/>
          <w:sz w:val="32"/>
          <w:szCs w:val="32"/>
          <w:u w:val="single"/>
          <w:lang w:val="en-US" w:eastAsia="zh-CN"/>
        </w:rPr>
        <w:t>2025年8月18日下发的</w:t>
      </w:r>
      <w:r>
        <w:rPr>
          <w:rFonts w:hint="eastAsia" w:ascii="仿宋" w:hAnsi="仿宋" w:eastAsia="仿宋" w:cs="仿宋_GB2312"/>
          <w:bCs/>
          <w:color w:val="auto"/>
          <w:sz w:val="32"/>
          <w:szCs w:val="32"/>
          <w:u w:val="single"/>
          <w:lang w:val="zh-CN" w:eastAsia="zh-CN"/>
        </w:rPr>
        <w:t>《关于对长期未经营企业、农民专业合作社、个体工商户进行清理吊销的通知》工作要求，伊吾县市场监督管理局对变更市场主体登记事项</w:t>
      </w:r>
      <w:r>
        <w:rPr>
          <w:rFonts w:hint="eastAsia" w:ascii="仿宋" w:hAnsi="仿宋" w:eastAsia="仿宋" w:cs="仿宋_GB2312"/>
          <w:bCs/>
          <w:color w:val="auto"/>
          <w:sz w:val="32"/>
          <w:szCs w:val="32"/>
          <w:u w:val="single"/>
          <w:lang w:val="en-US" w:eastAsia="zh-CN"/>
        </w:rPr>
        <w:t>,未按规定办理变更登记</w:t>
      </w:r>
      <w:r>
        <w:rPr>
          <w:rFonts w:hint="eastAsia" w:ascii="仿宋" w:hAnsi="仿宋" w:eastAsia="仿宋" w:cs="仿宋_GB2312"/>
          <w:bCs/>
          <w:color w:val="auto"/>
          <w:sz w:val="32"/>
          <w:szCs w:val="32"/>
          <w:u w:val="single"/>
          <w:lang w:val="zh-CN" w:eastAsia="zh-CN"/>
        </w:rPr>
        <w:t>的个体工商户开展立案调查，现查明，伊吾县江涛运输部等</w:t>
      </w:r>
      <w:r>
        <w:rPr>
          <w:rFonts w:hint="eastAsia" w:ascii="仿宋" w:hAnsi="仿宋" w:eastAsia="仿宋" w:cs="仿宋_GB2312"/>
          <w:bCs/>
          <w:color w:val="auto"/>
          <w:sz w:val="32"/>
          <w:szCs w:val="32"/>
          <w:u w:val="single"/>
          <w:lang w:val="en-US" w:eastAsia="zh-CN"/>
        </w:rPr>
        <w:t>93</w:t>
      </w:r>
      <w:r>
        <w:rPr>
          <w:rFonts w:hint="eastAsia" w:ascii="仿宋" w:hAnsi="仿宋" w:eastAsia="仿宋" w:cs="仿宋_GB2312"/>
          <w:bCs/>
          <w:color w:val="auto"/>
          <w:sz w:val="32"/>
          <w:szCs w:val="32"/>
          <w:u w:val="single"/>
          <w:lang w:val="zh-CN" w:eastAsia="zh-CN"/>
        </w:rPr>
        <w:t>户个体工商户202</w:t>
      </w:r>
      <w:r>
        <w:rPr>
          <w:rFonts w:hint="eastAsia" w:ascii="仿宋" w:hAnsi="仿宋" w:eastAsia="仿宋" w:cs="仿宋_GB2312"/>
          <w:bCs/>
          <w:color w:val="auto"/>
          <w:sz w:val="32"/>
          <w:szCs w:val="32"/>
          <w:u w:val="single"/>
          <w:lang w:val="en-US" w:eastAsia="zh-CN"/>
        </w:rPr>
        <w:t>3</w:t>
      </w:r>
      <w:r>
        <w:rPr>
          <w:rFonts w:hint="eastAsia" w:ascii="仿宋" w:hAnsi="仿宋" w:eastAsia="仿宋" w:cs="仿宋_GB2312"/>
          <w:bCs/>
          <w:color w:val="auto"/>
          <w:sz w:val="32"/>
          <w:szCs w:val="32"/>
          <w:u w:val="single"/>
          <w:lang w:val="zh-CN" w:eastAsia="zh-CN"/>
        </w:rPr>
        <w:t>年度、202</w:t>
      </w:r>
      <w:r>
        <w:rPr>
          <w:rFonts w:hint="eastAsia" w:ascii="仿宋" w:hAnsi="仿宋" w:eastAsia="仿宋" w:cs="仿宋_GB2312"/>
          <w:bCs/>
          <w:color w:val="auto"/>
          <w:sz w:val="32"/>
          <w:szCs w:val="32"/>
          <w:u w:val="single"/>
          <w:lang w:val="en-US" w:eastAsia="zh-CN"/>
        </w:rPr>
        <w:t>4</w:t>
      </w:r>
      <w:r>
        <w:rPr>
          <w:rFonts w:hint="eastAsia" w:ascii="仿宋" w:hAnsi="仿宋" w:eastAsia="仿宋" w:cs="仿宋_GB2312"/>
          <w:bCs/>
          <w:color w:val="auto"/>
          <w:sz w:val="32"/>
          <w:szCs w:val="32"/>
          <w:u w:val="single"/>
          <w:lang w:val="zh-CN" w:eastAsia="zh-CN"/>
        </w:rPr>
        <w:t>年度连续两年未依法履行年度申报法定义务，</w:t>
      </w:r>
      <w:r>
        <w:rPr>
          <w:rFonts w:hint="eastAsia" w:ascii="仿宋" w:hAnsi="仿宋" w:eastAsia="仿宋" w:cs="仿宋_GB2312"/>
          <w:bCs/>
          <w:color w:val="auto"/>
          <w:sz w:val="32"/>
          <w:szCs w:val="32"/>
          <w:u w:val="single"/>
          <w:lang w:val="en-US" w:eastAsia="zh-CN"/>
        </w:rPr>
        <w:t>未在税务部门按期纳税申报，通过登记的经营场所或者经营者住所无法取得联系。我局分别于2025年10月24日、2025年11月27日在《国家企业信用信息公示系统（新疆）》发布年报补报行政提示公告、</w:t>
      </w:r>
      <w:r>
        <w:rPr>
          <w:rFonts w:hint="eastAsia" w:ascii="仿宋_GB2312" w:hAnsi="仿宋" w:eastAsia="仿宋_GB2312"/>
          <w:sz w:val="32"/>
          <w:szCs w:val="32"/>
          <w:u w:val="single"/>
        </w:rPr>
        <w:t>《责令改正通知书》</w:t>
      </w:r>
      <w:r>
        <w:rPr>
          <w:rFonts w:hint="eastAsia" w:ascii="仿宋_GB2312" w:hAnsi="仿宋" w:eastAsia="仿宋_GB2312"/>
          <w:sz w:val="32"/>
          <w:szCs w:val="32"/>
          <w:u w:val="single"/>
          <w:lang w:eastAsia="zh-CN"/>
        </w:rPr>
        <w:t>送达公告，</w:t>
      </w:r>
      <w:r>
        <w:rPr>
          <w:rFonts w:hint="eastAsia" w:ascii="仿宋" w:hAnsi="仿宋" w:eastAsia="仿宋" w:cs="仿宋_GB2312"/>
          <w:bCs/>
          <w:color w:val="auto"/>
          <w:sz w:val="32"/>
          <w:szCs w:val="32"/>
          <w:u w:val="single"/>
          <w:lang w:val="zh-CN" w:eastAsia="zh-CN"/>
        </w:rPr>
        <w:t>伊吾县江涛运输部等</w:t>
      </w:r>
      <w:r>
        <w:rPr>
          <w:rFonts w:hint="eastAsia" w:ascii="仿宋" w:hAnsi="仿宋" w:eastAsia="仿宋" w:cs="仿宋_GB2312"/>
          <w:bCs/>
          <w:color w:val="auto"/>
          <w:sz w:val="32"/>
          <w:szCs w:val="32"/>
          <w:u w:val="single"/>
          <w:lang w:val="en-US" w:eastAsia="zh-CN"/>
        </w:rPr>
        <w:t>93</w:t>
      </w:r>
      <w:r>
        <w:rPr>
          <w:rFonts w:hint="eastAsia" w:ascii="仿宋" w:hAnsi="仿宋" w:eastAsia="仿宋" w:cs="仿宋_GB2312"/>
          <w:bCs/>
          <w:color w:val="auto"/>
          <w:sz w:val="32"/>
          <w:szCs w:val="32"/>
          <w:u w:val="single"/>
          <w:lang w:val="zh-CN" w:eastAsia="zh-CN"/>
        </w:rPr>
        <w:t>户个体工商户在规定期限内仍未履行年度申报义务或按规定办理注销手续，违反了《中华人民共和国市场主体登记管理条例》第二十四条：“市场主体变更登记事项，应当自作出变更决议、决定或者法定变更事项发生之日起</w:t>
      </w:r>
      <w:r>
        <w:rPr>
          <w:rFonts w:hint="eastAsia" w:ascii="仿宋" w:hAnsi="仿宋" w:eastAsia="仿宋" w:cs="仿宋_GB2312"/>
          <w:bCs/>
          <w:color w:val="auto"/>
          <w:sz w:val="32"/>
          <w:szCs w:val="32"/>
          <w:u w:val="single"/>
          <w:lang w:val="en-US" w:eastAsia="zh-CN"/>
        </w:rPr>
        <w:t>30日内向登记机关申请变更登记</w:t>
      </w:r>
      <w:r>
        <w:rPr>
          <w:rFonts w:hint="eastAsia" w:ascii="仿宋" w:hAnsi="仿宋" w:eastAsia="仿宋" w:cs="仿宋_GB2312"/>
          <w:bCs/>
          <w:color w:val="auto"/>
          <w:sz w:val="32"/>
          <w:szCs w:val="32"/>
          <w:u w:val="single"/>
          <w:lang w:val="zh-CN" w:eastAsia="zh-CN"/>
        </w:rPr>
        <w:t>。”的规定。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bCs/>
          <w:color w:val="auto"/>
          <w:sz w:val="32"/>
          <w:szCs w:val="32"/>
          <w:u w:val="single"/>
          <w:lang w:val="en-US" w:eastAsia="zh-CN"/>
        </w:rPr>
      </w:pPr>
      <w:r>
        <w:rPr>
          <w:rFonts w:hint="eastAsia" w:ascii="仿宋" w:hAnsi="仿宋" w:eastAsia="仿宋" w:cs="仿宋_GB2312"/>
          <w:bCs/>
          <w:color w:val="auto"/>
          <w:sz w:val="32"/>
          <w:szCs w:val="32"/>
          <w:u w:val="single"/>
          <w:lang w:val="zh-CN" w:eastAsia="zh-CN"/>
        </w:rPr>
        <w:t>依据《中华人民共和国市场主体登记管理条例》第四十六条</w:t>
      </w:r>
      <w:r>
        <w:rPr>
          <w:rFonts w:hint="eastAsia" w:ascii="仿宋_GB2312" w:eastAsia="仿宋_GB2312"/>
          <w:sz w:val="32"/>
          <w:szCs w:val="32"/>
          <w:u w:val="single"/>
        </w:rPr>
        <w:t>“</w:t>
      </w:r>
      <w:r>
        <w:rPr>
          <w:rFonts w:hint="eastAsia" w:ascii="仿宋_GB2312" w:eastAsia="仿宋_GB2312"/>
          <w:sz w:val="32"/>
          <w:szCs w:val="32"/>
          <w:u w:val="single"/>
          <w:lang w:eastAsia="zh-CN"/>
        </w:rPr>
        <w:t>市场主体未依照本条例办理变更登记的</w:t>
      </w:r>
      <w:r>
        <w:rPr>
          <w:rFonts w:hint="eastAsia" w:ascii="仿宋_GB2312" w:eastAsia="仿宋_GB2312"/>
          <w:sz w:val="32"/>
          <w:szCs w:val="32"/>
          <w:u w:val="single"/>
        </w:rPr>
        <w:t>，</w:t>
      </w:r>
      <w:r>
        <w:rPr>
          <w:rFonts w:hint="eastAsia" w:ascii="仿宋_GB2312" w:eastAsia="仿宋_GB2312"/>
          <w:sz w:val="32"/>
          <w:szCs w:val="32"/>
          <w:u w:val="single"/>
          <w:lang w:eastAsia="zh-CN"/>
        </w:rPr>
        <w:t>由登记机关责令改正，拒不改正的，处</w:t>
      </w:r>
      <w:r>
        <w:rPr>
          <w:rFonts w:hint="eastAsia" w:ascii="仿宋_GB2312" w:eastAsia="仿宋_GB2312"/>
          <w:sz w:val="32"/>
          <w:szCs w:val="32"/>
          <w:u w:val="single"/>
          <w:lang w:val="en-US" w:eastAsia="zh-CN"/>
        </w:rPr>
        <w:t>1万元以上10万元以下的罚款，情节严重的，</w:t>
      </w:r>
      <w:r>
        <w:rPr>
          <w:rFonts w:hint="eastAsia" w:ascii="仿宋_GB2312" w:eastAsia="仿宋_GB2312"/>
          <w:sz w:val="32"/>
          <w:szCs w:val="32"/>
          <w:u w:val="single"/>
        </w:rPr>
        <w:t>吊销其营业执照</w:t>
      </w:r>
      <w:r>
        <w:rPr>
          <w:rFonts w:hint="eastAsia" w:ascii="仿宋_GB2312" w:eastAsia="仿宋_GB2312"/>
          <w:sz w:val="32"/>
          <w:szCs w:val="32"/>
          <w:u w:val="single"/>
          <w:lang w:eastAsia="zh-CN"/>
        </w:rPr>
        <w:t>”的</w:t>
      </w:r>
      <w:r>
        <w:rPr>
          <w:rFonts w:hint="eastAsia" w:ascii="仿宋_GB2312" w:eastAsia="仿宋_GB2312"/>
          <w:sz w:val="32"/>
          <w:szCs w:val="32"/>
          <w:u w:val="single"/>
          <w:lang w:val="zh-CN" w:eastAsia="zh-CN"/>
        </w:rPr>
        <w:t>规定</w:t>
      </w:r>
      <w:r>
        <w:rPr>
          <w:rFonts w:hint="eastAsia" w:ascii="仿宋" w:hAnsi="仿宋" w:eastAsia="仿宋" w:cs="仿宋_GB2312"/>
          <w:bCs/>
          <w:color w:val="auto"/>
          <w:sz w:val="32"/>
          <w:szCs w:val="32"/>
          <w:u w:val="single"/>
          <w:lang w:val="zh-CN" w:eastAsia="zh-CN"/>
        </w:rPr>
        <w:t>，本局拟对伊吾县江涛运输部等93户个体工商户，作出处罚如下：</w:t>
      </w:r>
      <w:r>
        <w:rPr>
          <w:rFonts w:hint="eastAsia" w:ascii="仿宋" w:hAnsi="仿宋" w:eastAsia="仿宋" w:cs="仿宋_GB2312"/>
          <w:bCs/>
          <w:color w:val="auto"/>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_GB2312"/>
          <w:bCs/>
          <w:color w:val="auto"/>
          <w:sz w:val="32"/>
          <w:szCs w:val="32"/>
          <w:u w:val="single"/>
          <w:lang w:val="zh-CN" w:eastAsia="zh-CN"/>
        </w:rPr>
      </w:pPr>
      <w:r>
        <w:rPr>
          <w:rFonts w:hint="eastAsia" w:ascii="仿宋" w:hAnsi="仿宋" w:eastAsia="仿宋" w:cs="仿宋_GB2312"/>
          <w:bCs/>
          <w:color w:val="auto"/>
          <w:sz w:val="32"/>
          <w:szCs w:val="32"/>
          <w:u w:val="single"/>
          <w:lang w:val="zh-CN" w:eastAsia="zh-CN"/>
        </w:rPr>
        <w:t>吊销个体工商户营业执照。</w:t>
      </w:r>
      <w:r>
        <w:rPr>
          <w:rFonts w:hint="eastAsia" w:ascii="仿宋" w:hAnsi="仿宋" w:eastAsia="仿宋" w:cs="仿宋_GB2312"/>
          <w:bCs/>
          <w:color w:val="auto"/>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sz w:val="32"/>
          <w:szCs w:val="32"/>
        </w:rPr>
      </w:pPr>
      <w:r>
        <w:rPr>
          <w:rFonts w:hint="eastAsia" w:eastAsia="仿宋_GB2312" w:cs="仿宋"/>
          <w:sz w:val="32"/>
          <w:szCs w:val="32"/>
          <w:lang w:eastAsia="zh-CN"/>
        </w:rPr>
        <w:t>☑</w:t>
      </w:r>
      <w:r>
        <w:rPr>
          <w:rFonts w:hint="eastAsia" w:ascii="Times New Roman" w:hAnsi="Times New Roman" w:eastAsia="仿宋_GB2312" w:cs="仿宋"/>
          <w:sz w:val="32"/>
          <w:szCs w:val="32"/>
        </w:rPr>
        <w:t>依据《中华人民共和国行政处罚法》第四十四条、第四十五条、第六十三条、第六十四条第一项，以及《市场监督管理行政处罚听证办法》第五条的规定，你有权进行陈述、申辩</w:t>
      </w:r>
      <w:r>
        <w:rPr>
          <w:rFonts w:hint="eastAsia" w:ascii="Times New Roman" w:hAnsi="Times New Roman" w:eastAsia="仿宋_GB2312" w:cs="仿宋"/>
          <w:sz w:val="32"/>
          <w:szCs w:val="32"/>
          <w:lang w:eastAsia="zh-CN"/>
        </w:rPr>
        <w:t>，</w:t>
      </w:r>
      <w:r>
        <w:rPr>
          <w:rFonts w:hint="eastAsia" w:ascii="Times New Roman" w:hAnsi="Times New Roman" w:eastAsia="仿宋_GB2312" w:cs="仿宋"/>
          <w:sz w:val="32"/>
          <w:szCs w:val="32"/>
        </w:rPr>
        <w:t>并可以要求听证。自收到本告知书之日起五个工作日内未行使陈述、申辩权，未要求听证的，视为放弃此权利。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Times New Roman" w:eastAsia="仿宋_GB2312" w:cs="仿宋"/>
          <w:color w:val="000000"/>
          <w:sz w:val="32"/>
          <w:szCs w:val="32"/>
          <w:u w:val="single"/>
        </w:rPr>
      </w:pPr>
      <w:r>
        <w:rPr>
          <w:rFonts w:hint="eastAsia" w:ascii="Times New Roman" w:hAnsi="Times New Roman" w:eastAsia="仿宋_GB2312" w:cs="仿宋"/>
          <w:sz w:val="32"/>
          <w:szCs w:val="32"/>
        </w:rPr>
        <w:t>联系人：</w:t>
      </w:r>
      <w:r>
        <w:rPr>
          <w:rFonts w:hint="eastAsia" w:eastAsia="仿宋_GB2312" w:cs="仿宋"/>
          <w:sz w:val="32"/>
          <w:szCs w:val="32"/>
          <w:u w:val="single"/>
          <w:lang w:eastAsia="zh-CN"/>
        </w:rPr>
        <w:t>谭昆明、苑贝贝</w:t>
      </w:r>
      <w:r>
        <w:rPr>
          <w:rFonts w:hint="eastAsia" w:ascii="Times New Roman" w:hAnsi="Times New Roman" w:eastAsia="仿宋_GB2312" w:cs="仿宋"/>
          <w:sz w:val="32"/>
          <w:szCs w:val="32"/>
          <w:u w:val="single"/>
        </w:rPr>
        <w:t xml:space="preserve"> </w:t>
      </w:r>
      <w:r>
        <w:rPr>
          <w:rFonts w:hint="eastAsia" w:ascii="Times New Roman" w:hAnsi="Times New Roman" w:eastAsia="仿宋_GB2312" w:cs="仿宋"/>
          <w:sz w:val="32"/>
          <w:szCs w:val="32"/>
        </w:rPr>
        <w:t>联系电话：</w:t>
      </w:r>
      <w:r>
        <w:rPr>
          <w:rFonts w:hint="eastAsia" w:ascii="Times New Roman" w:hAnsi="Times New Roman" w:eastAsia="仿宋_GB2312" w:cs="仿宋"/>
          <w:sz w:val="32"/>
          <w:szCs w:val="32"/>
          <w:u w:val="single"/>
        </w:rPr>
        <w:t xml:space="preserve"> </w:t>
      </w:r>
      <w:r>
        <w:rPr>
          <w:rFonts w:hint="eastAsia" w:eastAsia="仿宋_GB2312" w:cs="仿宋"/>
          <w:sz w:val="32"/>
          <w:szCs w:val="32"/>
          <w:u w:val="single"/>
          <w:lang w:val="en-US" w:eastAsia="zh-CN"/>
        </w:rPr>
        <w:t>0902-6721315</w:t>
      </w:r>
      <w:r>
        <w:rPr>
          <w:rFonts w:hint="eastAsia" w:ascii="Times New Roman" w:hAnsi="Times New Roman" w:eastAsia="仿宋_GB2312"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仿宋"/>
          <w:color w:val="000000"/>
          <w:sz w:val="32"/>
          <w:szCs w:val="32"/>
          <w:shd w:val="pct10" w:color="auto" w:fill="FFFFFF"/>
        </w:rPr>
      </w:pPr>
      <w:r>
        <w:rPr>
          <w:rFonts w:hint="eastAsia" w:ascii="仿宋_GB2312" w:hAnsi="仿宋" w:eastAsia="仿宋_GB2312" w:cs="仿宋"/>
          <w:sz w:val="32"/>
          <w:szCs w:val="32"/>
        </w:rPr>
        <w:t>联系地址：</w:t>
      </w:r>
      <w:r>
        <w:rPr>
          <w:rFonts w:hint="eastAsia" w:ascii="仿宋_GB2312" w:hAnsi="仿宋" w:eastAsia="仿宋_GB2312" w:cs="仿宋"/>
          <w:sz w:val="32"/>
          <w:szCs w:val="32"/>
          <w:u w:val="single"/>
          <w:lang w:eastAsia="zh-CN"/>
        </w:rPr>
        <w:t>伊吾县红色教育基地</w:t>
      </w:r>
      <w:r>
        <w:rPr>
          <w:rFonts w:hint="eastAsia" w:ascii="仿宋_GB2312" w:hAnsi="仿宋" w:eastAsia="仿宋_GB2312" w:cs="仿宋"/>
          <w:sz w:val="32"/>
          <w:szCs w:val="32"/>
          <w:u w:val="single"/>
          <w:lang w:val="en-US" w:eastAsia="zh-CN"/>
        </w:rPr>
        <w:t>3016室</w:t>
      </w:r>
      <w:r>
        <w:rPr>
          <w:rFonts w:hint="eastAsia" w:ascii="仿宋_GB2312" w:hAnsi="仿宋" w:eastAsia="仿宋_GB2312"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Mongolian Baiti"/>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Mongolian Baiti"/>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Mongolian Baiti"/>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640" w:firstLine="601"/>
        <w:jc w:val="right"/>
        <w:textAlignment w:val="auto"/>
        <w:rPr>
          <w:rFonts w:hint="eastAsia" w:ascii="Times New Roman" w:hAnsi="Times New Roman" w:eastAsia="仿宋_GB2312" w:cs="仿宋"/>
          <w:color w:val="000000"/>
          <w:sz w:val="32"/>
          <w:szCs w:val="32"/>
        </w:rPr>
      </w:pPr>
      <w:r>
        <w:rPr>
          <w:rFonts w:hint="eastAsia" w:ascii="Times New Roman" w:hAnsi="Times New Roman" w:eastAsia="仿宋_GB2312" w:cs="Mongolian Baiti"/>
          <w:sz w:val="32"/>
          <w:szCs w:val="32"/>
          <w:u w:val="none"/>
          <w:lang w:eastAsia="zh-CN"/>
        </w:rPr>
        <w:t>伊吾县市场监督管理局</w:t>
      </w:r>
      <w:r>
        <w:rPr>
          <w:rFonts w:hint="eastAsia" w:ascii="Times New Roman" w:hAnsi="Times New Roman" w:eastAsia="仿宋_GB2312" w:cs="仿宋"/>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01"/>
        <w:jc w:val="center"/>
        <w:textAlignment w:val="auto"/>
        <w:outlineLvl w:val="1"/>
        <w:rPr>
          <w:rFonts w:hint="eastAsia" w:ascii="Times New Roman" w:hAnsi="Times New Roman" w:eastAsia="仿宋_GB2312" w:cs="仿宋"/>
          <w:color w:val="000000"/>
          <w:sz w:val="32"/>
          <w:szCs w:val="32"/>
        </w:rPr>
      </w:pPr>
      <w:r>
        <w:rPr>
          <w:rFonts w:hint="eastAsia" w:ascii="Times New Roman" w:hAnsi="Times New Roman" w:eastAsia="仿宋_GB2312" w:cs="仿宋"/>
          <w:color w:val="000000"/>
          <w:sz w:val="32"/>
          <w:szCs w:val="32"/>
        </w:rPr>
        <w:t xml:space="preserve">                        （印 章）     </w:t>
      </w: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r>
        <w:rPr>
          <w:rFonts w:hint="eastAsia" w:ascii="仿宋_GB2312" w:eastAsia="仿宋_GB2312" w:cs="仿宋"/>
          <w:color w:val="000000"/>
          <w:sz w:val="32"/>
          <w:szCs w:val="32"/>
          <w:lang w:val="en-US" w:eastAsia="zh-CN"/>
        </w:rPr>
        <w:t>2026</w:t>
      </w:r>
      <w:r>
        <w:rPr>
          <w:rFonts w:hint="eastAsia" w:ascii="仿宋_GB2312" w:hAnsi="Times New Roman" w:eastAsia="仿宋_GB2312" w:cs="仿宋"/>
          <w:color w:val="000000"/>
          <w:sz w:val="32"/>
          <w:szCs w:val="32"/>
        </w:rPr>
        <w:t xml:space="preserve">年 </w:t>
      </w:r>
      <w:r>
        <w:rPr>
          <w:rFonts w:hint="eastAsia" w:ascii="仿宋_GB2312" w:eastAsia="仿宋_GB2312" w:cs="仿宋"/>
          <w:color w:val="000000"/>
          <w:sz w:val="32"/>
          <w:szCs w:val="32"/>
          <w:lang w:val="en-US" w:eastAsia="zh-CN"/>
        </w:rPr>
        <w:t>1</w:t>
      </w:r>
      <w:r>
        <w:rPr>
          <w:rFonts w:hint="eastAsia" w:ascii="仿宋_GB2312" w:hAnsi="Times New Roman" w:eastAsia="仿宋_GB2312" w:cs="仿宋"/>
          <w:color w:val="000000"/>
          <w:sz w:val="32"/>
          <w:szCs w:val="32"/>
          <w:lang w:val="en-US" w:eastAsia="zh-CN"/>
        </w:rPr>
        <w:t xml:space="preserve"> </w:t>
      </w:r>
      <w:r>
        <w:rPr>
          <w:rFonts w:hint="eastAsia" w:ascii="仿宋_GB2312" w:hAnsi="Times New Roman" w:eastAsia="仿宋_GB2312" w:cs="仿宋"/>
          <w:color w:val="000000"/>
          <w:sz w:val="32"/>
          <w:szCs w:val="32"/>
        </w:rPr>
        <w:t>月</w:t>
      </w:r>
      <w:r>
        <w:rPr>
          <w:rFonts w:hint="eastAsia" w:ascii="仿宋_GB2312" w:eastAsia="仿宋_GB2312" w:cs="仿宋"/>
          <w:color w:val="000000"/>
          <w:sz w:val="32"/>
          <w:szCs w:val="32"/>
          <w:lang w:val="en-US" w:eastAsia="zh-CN"/>
        </w:rPr>
        <w:t>27</w:t>
      </w:r>
      <w:r>
        <w:rPr>
          <w:rFonts w:hint="eastAsia" w:ascii="仿宋_GB2312" w:hAnsi="Times New Roman" w:eastAsia="仿宋_GB2312" w:cs="仿宋"/>
          <w:color w:val="000000"/>
          <w:sz w:val="32"/>
          <w:szCs w:val="32"/>
        </w:rPr>
        <w:t>日</w:t>
      </w: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right="1120" w:firstLine="600"/>
        <w:jc w:val="right"/>
        <w:textAlignment w:val="auto"/>
        <w:rPr>
          <w:rFonts w:hint="eastAsia" w:ascii="仿宋_GB2312" w:hAnsi="Times New Roman" w:eastAsia="仿宋_GB2312" w:cs="仿宋"/>
          <w:color w:val="000000"/>
          <w:sz w:val="32"/>
          <w:szCs w:val="32"/>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DejaVu Math TeX Gyre"/>
    <w:panose1 w:val="02040503050203030202"/>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A"/>
    <w:multiLevelType w:val="multilevel"/>
    <w:tmpl w:val="0000000A"/>
    <w:lvl w:ilvl="0" w:tentative="0">
      <w:start w:val="1"/>
      <w:numFmt w:val="none"/>
      <w:pStyle w:val="5"/>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813D2"/>
    <w:rsid w:val="18E113CE"/>
    <w:rsid w:val="25687B85"/>
    <w:rsid w:val="28685B3D"/>
    <w:rsid w:val="31D41A6C"/>
    <w:rsid w:val="34117B57"/>
    <w:rsid w:val="35F71813"/>
    <w:rsid w:val="36DB3DCC"/>
    <w:rsid w:val="3B914B05"/>
    <w:rsid w:val="461D545F"/>
    <w:rsid w:val="4CC43921"/>
    <w:rsid w:val="50CE08D4"/>
    <w:rsid w:val="54D270FA"/>
    <w:rsid w:val="569F5098"/>
    <w:rsid w:val="5F113E07"/>
    <w:rsid w:val="61961DB6"/>
    <w:rsid w:val="61E97E7D"/>
    <w:rsid w:val="64B02406"/>
    <w:rsid w:val="66EC10D7"/>
    <w:rsid w:val="66EE69E9"/>
    <w:rsid w:val="6EC36DDF"/>
    <w:rsid w:val="7AF566FF"/>
    <w:rsid w:val="7AFE6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numPr>
        <w:ilvl w:val="0"/>
        <w:numId w:val="1"/>
      </w:numPr>
      <w:spacing w:before="240" w:after="120"/>
      <w:jc w:val="left"/>
      <w:outlineLvl w:val="0"/>
    </w:pPr>
    <w:rPr>
      <w:rFonts w:ascii="Times New Roman" w:hAnsi="Times New Roman" w:cs="Mangal"/>
      <w:color w:val="00000A"/>
      <w:sz w:val="24"/>
      <w:lang w:val="zh-CN" w:bidi="hi-I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3"/>
    <w:qFormat/>
    <w:uiPriority w:val="0"/>
    <w:pPr>
      <w:ind w:firstLine="420"/>
    </w:pPr>
  </w:style>
  <w:style w:type="paragraph" w:styleId="3">
    <w:name w:val="Body Text Indent"/>
    <w:basedOn w:val="1"/>
    <w:next w:val="4"/>
    <w:qFormat/>
    <w:uiPriority w:val="0"/>
    <w:pPr>
      <w:ind w:firstLine="640" w:firstLineChars="200"/>
    </w:pPr>
    <w:rPr>
      <w:rFonts w:eastAsia="仿宋_GB2312"/>
      <w:kern w:val="0"/>
      <w:sz w:val="32"/>
    </w:rPr>
  </w:style>
  <w:style w:type="paragraph" w:styleId="4">
    <w:name w:val="Normal Indent"/>
    <w:basedOn w:val="1"/>
    <w:next w:val="1"/>
    <w:qFormat/>
    <w:uiPriority w:val="0"/>
    <w:pPr>
      <w:ind w:firstLine="420" w:firstLineChars="200"/>
    </w:pPr>
  </w:style>
  <w:style w:type="paragraph" w:styleId="6">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2026-01-15T03:18:00Z</dcterms:created>
  <dc:creator>Admin</dc:creator>
  <cp:lastModifiedBy>Administrator</cp:lastModifiedBy>
  <cp:lastPrinted>2026-01-15T07:50:00Z</cp:lastPrinted>
  <dcterms:modified xsi:type="dcterms:W3CDTF">2026-02-05T09:28:55Z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8487A760D48F41758D0932337769752D</vt:lpwstr>
  </property>
</Properties>
</file>