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4"/>
          <w:sz w:val="44"/>
          <w:szCs w:val="44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4"/>
          <w:sz w:val="44"/>
          <w:szCs w:val="44"/>
          <w:lang w:val="zh-CN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4"/>
          <w:sz w:val="44"/>
          <w:szCs w:val="44"/>
        </w:rPr>
        <w:t>长期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4"/>
          <w:sz w:val="44"/>
          <w:szCs w:val="44"/>
          <w:lang w:val="zh-CN"/>
        </w:rPr>
        <w:t>使用林地</w:t>
      </w:r>
    </w:p>
    <w:p>
      <w:pPr>
        <w:spacing w:line="360" w:lineRule="auto"/>
        <w:ind w:left="4638" w:hanging="4638" w:hangingChars="550"/>
        <w:jc w:val="center"/>
        <w:rPr>
          <w:rFonts w:eastAsia="仿宋_GB2312"/>
          <w:b/>
          <w:sz w:val="84"/>
          <w:szCs w:val="84"/>
        </w:rPr>
      </w:pPr>
    </w:p>
    <w:p>
      <w:pPr>
        <w:pStyle w:val="2"/>
        <w:rPr>
          <w:rFonts w:eastAsia="仿宋_GB2312"/>
          <w:b/>
          <w:sz w:val="84"/>
          <w:szCs w:val="84"/>
        </w:rPr>
      </w:pPr>
    </w:p>
    <w:p>
      <w:pPr>
        <w:pStyle w:val="3"/>
      </w:pPr>
    </w:p>
    <w:p>
      <w:pPr>
        <w:outlineLvl w:val="9"/>
      </w:pPr>
    </w:p>
    <w:p>
      <w:pPr>
        <w:spacing w:line="360" w:lineRule="auto"/>
        <w:ind w:left="3975" w:hanging="2420" w:hangingChars="5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补</w:t>
      </w:r>
    </w:p>
    <w:p>
      <w:pPr>
        <w:spacing w:line="360" w:lineRule="auto"/>
        <w:ind w:left="3975" w:hanging="2420" w:hangingChars="5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偿</w:t>
      </w:r>
    </w:p>
    <w:p>
      <w:pPr>
        <w:spacing w:line="360" w:lineRule="auto"/>
        <w:ind w:left="3975" w:hanging="2420" w:hangingChars="5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协</w:t>
      </w:r>
    </w:p>
    <w:p>
      <w:pPr>
        <w:spacing w:line="360" w:lineRule="auto"/>
        <w:ind w:left="3975" w:hanging="2420" w:hangingChars="5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</w:p>
    <w:p>
      <w:pPr>
        <w:tabs>
          <w:tab w:val="left" w:pos="4905"/>
        </w:tabs>
        <w:spacing w:line="360" w:lineRule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4905"/>
        </w:tabs>
        <w:spacing w:line="360" w:lineRule="auto"/>
        <w:rPr>
          <w:rFonts w:eastAsia="仿宋_GB2312"/>
          <w:sz w:val="30"/>
          <w:szCs w:val="30"/>
        </w:rPr>
      </w:pPr>
    </w:p>
    <w:p>
      <w:pPr>
        <w:tabs>
          <w:tab w:val="left" w:pos="4905"/>
        </w:tabs>
        <w:spacing w:line="360" w:lineRule="auto"/>
        <w:rPr>
          <w:rFonts w:eastAsia="仿宋_GB2312"/>
          <w:sz w:val="30"/>
          <w:szCs w:val="30"/>
        </w:rPr>
      </w:pPr>
    </w:p>
    <w:p>
      <w:pPr>
        <w:outlineLvl w:val="9"/>
      </w:pPr>
    </w:p>
    <w:p>
      <w:pPr>
        <w:tabs>
          <w:tab w:val="left" w:pos="4905"/>
        </w:tabs>
        <w:spacing w:line="360" w:lineRule="auto"/>
        <w:jc w:val="center"/>
      </w:pPr>
      <w:r>
        <w:rPr>
          <w:rFonts w:hint="eastAsia" w:eastAsia="仿宋_GB2312"/>
          <w:b/>
          <w:sz w:val="44"/>
          <w:szCs w:val="44"/>
          <w:lang w:val="en-US" w:eastAsia="zh-CN"/>
        </w:rPr>
        <w:t>XX</w:t>
      </w:r>
      <w:r>
        <w:rPr>
          <w:rFonts w:eastAsia="仿宋_GB2312"/>
          <w:b/>
          <w:sz w:val="44"/>
          <w:szCs w:val="44"/>
        </w:rPr>
        <w:t>年</w:t>
      </w:r>
      <w:r>
        <w:rPr>
          <w:rFonts w:hint="eastAsia" w:eastAsia="仿宋_GB2312"/>
          <w:b/>
          <w:sz w:val="44"/>
          <w:szCs w:val="44"/>
          <w:lang w:val="en-US" w:eastAsia="zh-CN"/>
        </w:rPr>
        <w:t>XX</w:t>
      </w:r>
      <w:r>
        <w:rPr>
          <w:rFonts w:eastAsia="仿宋_GB2312"/>
          <w:b/>
          <w:sz w:val="44"/>
          <w:szCs w:val="44"/>
        </w:rPr>
        <w:t>月</w:t>
      </w:r>
    </w:p>
    <w:p>
      <w:pPr>
        <w:spacing w:line="360" w:lineRule="auto"/>
        <w:jc w:val="center"/>
        <w:rPr>
          <w:rFonts w:hint="default" w:eastAsia="仿宋_GB2312"/>
          <w:b/>
          <w:sz w:val="30"/>
          <w:szCs w:val="30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5" w:h="16838"/>
          <w:pgMar w:top="1440" w:right="1803" w:bottom="1440" w:left="1803" w:header="850" w:footer="992" w:gutter="0"/>
          <w:pgNumType w:fmt="numberInDash"/>
          <w:cols w:space="0" w:num="1"/>
          <w:rtlGutter w:val="0"/>
          <w:docGrid w:type="lines" w:linePitch="436" w:charSpace="0"/>
        </w:sectPr>
      </w:pPr>
      <w:r>
        <w:rPr>
          <w:rFonts w:hint="eastAsia" w:eastAsia="仿宋_GB2312"/>
          <w:b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xx项目使用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林地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补偿协议书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textAlignment w:val="auto"/>
        <w:rPr>
          <w:rFonts w:hint="default" w:ascii="Times New Roman" w:hAnsi="Times New Roman" w:eastAsia="仿宋_GB2312" w:cs="Times New Roman"/>
          <w:b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0"/>
          <w:sz w:val="32"/>
          <w:szCs w:val="32"/>
          <w:lang w:eastAsia="zh-CN"/>
        </w:rPr>
        <w:t>使用林地</w:t>
      </w:r>
      <w:r>
        <w:rPr>
          <w:rFonts w:hint="eastAsia" w:ascii="仿宋_GB2312" w:hAnsi="仿宋_GB2312" w:eastAsia="仿宋_GB2312" w:cs="仿宋_GB2312"/>
          <w:b/>
          <w:spacing w:val="0"/>
          <w:sz w:val="32"/>
          <w:szCs w:val="32"/>
        </w:rPr>
        <w:t>单位：</w:t>
      </w:r>
      <w:r>
        <w:rPr>
          <w:rFonts w:hint="eastAsia" w:ascii="仿宋_GB2312" w:hAnsi="仿宋_GB2312" w:eastAsia="仿宋_GB2312" w:cs="仿宋_GB2312"/>
          <w:b/>
          <w:spacing w:val="-11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/>
          <w:spacing w:val="-11"/>
          <w:sz w:val="32"/>
          <w:szCs w:val="32"/>
          <w:lang w:val="zh-CN"/>
        </w:rPr>
        <w:t>（简称</w:t>
      </w:r>
      <w:r>
        <w:rPr>
          <w:rFonts w:hint="eastAsia" w:ascii="仿宋_GB2312" w:hAnsi="仿宋_GB2312" w:eastAsia="仿宋_GB2312" w:cs="仿宋_GB2312"/>
          <w:b/>
          <w:spacing w:val="-11"/>
          <w:sz w:val="32"/>
          <w:szCs w:val="32"/>
        </w:rPr>
        <w:t>甲方）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0"/>
          <w:sz w:val="32"/>
          <w:szCs w:val="32"/>
        </w:rPr>
        <w:t>被</w:t>
      </w:r>
      <w:r>
        <w:rPr>
          <w:rFonts w:hint="eastAsia" w:ascii="仿宋_GB2312" w:hAnsi="仿宋_GB2312" w:eastAsia="仿宋_GB2312" w:cs="仿宋_GB2312"/>
          <w:b/>
          <w:spacing w:val="0"/>
          <w:sz w:val="32"/>
          <w:szCs w:val="32"/>
          <w:lang w:eastAsia="zh-CN"/>
        </w:rPr>
        <w:t>使用林地</w:t>
      </w:r>
      <w:r>
        <w:rPr>
          <w:rFonts w:hint="eastAsia" w:ascii="仿宋_GB2312" w:hAnsi="仿宋_GB2312" w:eastAsia="仿宋_GB2312" w:cs="仿宋_GB2312"/>
          <w:b/>
          <w:spacing w:val="0"/>
          <w:sz w:val="32"/>
          <w:szCs w:val="32"/>
        </w:rPr>
        <w:t>单位：</w:t>
      </w:r>
      <w:r>
        <w:rPr>
          <w:rFonts w:hint="eastAsia" w:ascii="仿宋_GB2312" w:hAnsi="仿宋_GB2312" w:eastAsia="仿宋_GB2312" w:cs="仿宋_GB2312"/>
          <w:b/>
          <w:spacing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/>
          <w:spacing w:val="0"/>
          <w:sz w:val="32"/>
          <w:szCs w:val="32"/>
          <w:lang w:eastAsia="zh-CN"/>
        </w:rPr>
        <w:t>（简称乙方）</w:t>
      </w:r>
    </w:p>
    <w:p>
      <w:pPr>
        <w:keepNext w:val="0"/>
        <w:keepLines w:val="0"/>
        <w:pageBreakBefore w:val="0"/>
        <w:widowControl w:val="0"/>
        <w:tabs>
          <w:tab w:val="left" w:pos="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xx文件《xx的批复》（xx号）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，甲方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拟在伊吾县辖区内使用林地总面积xx公顷，其中：永久使用林地面积xx公顷，临时使用林地面积xx公顷，使用林地、林木权属均为xx。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为依法维护国家、集体和个人的合法权益，依据《中华人民共和国土地管理法》、《中华人民共和国森林法》等有关规定，经甲、乙双方协商，现就该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项目拟使用国有</w:t>
      </w:r>
      <w:r>
        <w:rPr>
          <w:rFonts w:hint="eastAsia" w:ascii="仿宋_GB2312" w:hAnsi="仿宋_GB2312" w:eastAsia="仿宋_GB2312" w:cs="仿宋_GB2312"/>
          <w:sz w:val="32"/>
          <w:szCs w:val="32"/>
        </w:rPr>
        <w:t>林地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xx林地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补偿及有关事宜签订协议如下：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一、双方的权利和义务</w:t>
      </w:r>
    </w:p>
    <w:p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1、甲方的权利和义务</w:t>
      </w:r>
    </w:p>
    <w:p>
      <w:pPr>
        <w:keepNext w:val="0"/>
        <w:keepLines w:val="0"/>
        <w:pageBreakBefore w:val="0"/>
        <w:widowControl w:val="0"/>
        <w:tabs>
          <w:tab w:val="left" w:pos="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占用林地的要求，向乙方提供该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建设占用林地的申请及相关批复文件等资料。</w:t>
      </w:r>
    </w:p>
    <w:p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（2）甲方在施工过程中应按照建设占用林地要求施工，并采取有效措施确保施工周围植被的保护。向乙方办理占用林地相关事宜。</w:t>
      </w:r>
    </w:p>
    <w:p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（3）甲方按照本协议的约定，支付占用林地的各项补偿费用。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2、乙方的权利和义务</w:t>
      </w:r>
    </w:p>
    <w:p>
      <w:pPr>
        <w:keepNext w:val="0"/>
        <w:keepLines w:val="0"/>
        <w:pageBreakBefore w:val="0"/>
        <w:widowControl w:val="0"/>
        <w:tabs>
          <w:tab w:val="left" w:pos="4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（1）负责该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占用林地的组织协调，并及时解决该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在施工过程中占用林地相关事宜，创造良好的用地环境，确保该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顺利实施。</w:t>
      </w:r>
    </w:p>
    <w:p>
      <w:pPr>
        <w:keepNext w:val="0"/>
        <w:keepLines w:val="0"/>
        <w:pageBreakBefore w:val="0"/>
        <w:widowControl w:val="0"/>
        <w:tabs>
          <w:tab w:val="left" w:pos="4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（2）负责做好该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建设占用林地的调查、登记和补偿费用发放等工作，妥善安置被占用林地的单位和牧民，保证该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正常建设不受影响。</w:t>
      </w:r>
    </w:p>
    <w:p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（3）乙方收到甲方提交的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建设项目使用林地申请资料后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在有效期限内上报上级林业主管部门，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确保用地单位依法用地。</w:t>
      </w:r>
    </w:p>
    <w:p>
      <w:pPr>
        <w:keepNext w:val="0"/>
        <w:keepLines w:val="0"/>
        <w:pageBreakBefore w:val="0"/>
        <w:widowControl w:val="0"/>
        <w:tabs>
          <w:tab w:val="left" w:pos="4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二、占用林地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项补偿费用的收取依据及标准</w:t>
      </w:r>
    </w:p>
    <w:p>
      <w:pPr>
        <w:keepNext w:val="0"/>
        <w:keepLines w:val="0"/>
        <w:pageBreakBefore w:val="0"/>
        <w:widowControl w:val="0"/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楷体" w:hAnsi="楷体" w:eastAsia="楷体" w:cs="楷体"/>
          <w:spacing w:val="-11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spacing w:val="-11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pacing w:val="-11"/>
          <w:sz w:val="32"/>
          <w:szCs w:val="32"/>
        </w:rPr>
        <w:t>依据：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土地管理法（2021年修订）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》、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中华人民共和国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森林法》、《森林法实施条例》及有关法规规定。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1.林地补偿费、安置补助费：伊吾县人民政府办公室文件《关于公布伊吾县征收农用地区片综合地价的通知》（伊政办发〔2024〕3号）、新疆维吾尔自治区国土资源厅 新疆维吾尔自治区发展和改革委员会 新疆维吾尔自治区财政厅文件《关于公布实施自治区征地统一年产值标准的通知》（新国土资发〔2011〕19号）及新疆维吾尔自治区林业厅文件《关于执行新疆维吾尔自治区人民政府&lt;关于同意自治区征地统一年产值标准的批复&gt;的通知》（新林资字〔2011〕161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2.森林植被恢复费：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新疆维吾尔自治区财政厅 林业厅《关于调整自治区森林植被恢复费征收标准等有关问题的通知》（新财非税[2016]22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三、补偿费及支付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1、根据甲方委托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编制的《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林地</w:t>
      </w:r>
      <w:r>
        <w:rPr>
          <w:rFonts w:hint="eastAsia" w:ascii="仿宋_GB2312" w:hAnsi="仿宋_GB2312" w:eastAsia="仿宋_GB2312" w:cs="仿宋_GB2312"/>
          <w:caps/>
          <w:sz w:val="32"/>
          <w:szCs w:val="32"/>
          <w:lang w:val="en-US" w:eastAsia="zh-CN"/>
        </w:rPr>
        <w:t>现状调查表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》计算出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项补偿费用如下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pStyle w:val="2"/>
        <w:spacing w:line="258" w:lineRule="auto"/>
      </w:pPr>
    </w:p>
    <w:tbl>
      <w:tblPr>
        <w:tblStyle w:val="7"/>
        <w:tblW w:w="10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484"/>
        <w:gridCol w:w="127"/>
        <w:gridCol w:w="1375"/>
        <w:gridCol w:w="121"/>
        <w:gridCol w:w="1450"/>
        <w:gridCol w:w="888"/>
        <w:gridCol w:w="1232"/>
        <w:gridCol w:w="682"/>
        <w:gridCol w:w="682"/>
        <w:gridCol w:w="1072"/>
        <w:gridCol w:w="1047"/>
        <w:gridCol w:w="8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066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长期使用林地补偿费用计算表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0660" w:type="dxa"/>
            <w:gridSpan w:val="13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表D.1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29" w:type="dxa"/>
            <w:vMerge w:val="restart"/>
            <w:tcBorders>
              <w:top w:val="single" w:color="auto" w:sz="4" w:space="0"/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用地性质</w:t>
            </w:r>
          </w:p>
        </w:tc>
        <w:tc>
          <w:tcPr>
            <w:tcW w:w="611" w:type="dxa"/>
            <w:gridSpan w:val="2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496" w:type="dxa"/>
            <w:gridSpan w:val="2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地类</w:t>
            </w:r>
          </w:p>
        </w:tc>
        <w:tc>
          <w:tcPr>
            <w:tcW w:w="1450" w:type="dxa"/>
            <w:vMerge w:val="restart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区片范围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区片综合地价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补偿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比例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地类调整系数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占用林地（公顷）/株数</w:t>
            </w: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补偿费用（万元）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629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1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496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元/亩</w:t>
            </w: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元/公顷（元/株数）</w:t>
            </w:r>
          </w:p>
        </w:tc>
        <w:tc>
          <w:tcPr>
            <w:tcW w:w="68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629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长期使用林地</w:t>
            </w:r>
          </w:p>
        </w:tc>
        <w:tc>
          <w:tcPr>
            <w:tcW w:w="355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629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307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林地补偿费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629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629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307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安置补助费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29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629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307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林木补偿费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629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629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307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森林植被恢复费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29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6" w:space="0"/>
              <w:left w:val="single" w:color="auto" w:sz="4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2、根据自治区有关规定，甲方将林地补偿费、林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补偿费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安置补助费合计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万元（大写: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xx元整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）支付给乙方。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账户号：伊吾县财政局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账号：30290001040000025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开户行：中国农业银行股份有限公司伊吾县支行营业室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xx项目林地补偿费、安置补助费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3、向税务局申报森林植被恢复费xx万元（大写：XX元整）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用途: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XX项目森林植被恢复费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四、其他约定事项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占用林地数量以当地县林业部门与甲方共同调查核实并确认的数量。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2、乙方积极协助甲方按照法律、法规规定办理该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占用林地相关审批手续。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3、本协议未经事宜，经双方协商解决，协商不成时，均可向所在地人民法院裁决。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4、本协议一式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陆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份，甲方持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贰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份，乙方持贰份，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上报贰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经双方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签字盖章后生效。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以下无正文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甲  方：（盖章）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乙  方：（盖章）</w:t>
      </w:r>
    </w:p>
    <w:p>
      <w:pPr>
        <w:keepNext w:val="0"/>
        <w:keepLines w:val="0"/>
        <w:pageBreakBefore w:val="0"/>
        <w:widowControl w:val="0"/>
        <w:tabs>
          <w:tab w:val="left" w:pos="600"/>
          <w:tab w:val="left" w:pos="48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600"/>
          <w:tab w:val="left" w:pos="48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法人/委托代理人：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法人/委托代理人：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2X</w:t>
      </w: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2X</w:t>
      </w: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Style w:val="9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133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133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6" name="文本框 5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209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BQayzU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209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5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13" name="文本框 8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211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SnyQ0AgAAZQ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CKUp8k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211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C457D"/>
    <w:rsid w:val="0ACA194B"/>
    <w:rsid w:val="28BC457D"/>
    <w:rsid w:val="6809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2022-09-16T10:49:00Z</dcterms:created>
  <dc:creator>Administrator</dc:creator>
  <cp:lastModifiedBy>Administrator</cp:lastModifiedBy>
  <dcterms:modified xsi:type="dcterms:W3CDTF">2025-01-24T08:23:34Z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8111BED4D0414B9199F55A3F876836B2</vt:lpwstr>
  </property>
</Properties>
</file>